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Grey: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and the 2×2×2 formation-energy cycles are given in Table S2b, which start from scratch and therefore include small offsets from the relaxation endpoints (Section 3.7).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b</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a</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The 2×2×2 pristine value uses the single point of the unrelaxed pristine perfect cell (Table S2a), whose relaxation energy at Γ is −9 meV. </w:t>
      </w:r>
      <w:r w:rsidRPr="004E6412">
        <w:rPr>
          <w:rFonts w:asciiTheme="majorBidi" w:hAnsiTheme="majorBidi" w:cstheme="majorBidi"/>
          <w:i/>
          <w:iCs/>
          <w:vertAlign w:val="superscript"/>
        </w:rPr>
        <w:t>b</w:t>
      </w:r>
      <w:r w:rsidRPr="004E6412">
        <w:rPr>
          <w:rFonts w:asciiTheme="majorBidi" w:hAnsiTheme="majorBidi" w:cstheme="majorBidi"/>
          <w:i/>
          <w:iCs/>
        </w:rPr>
        <w:t xml:space="preserve"> Relaxed in this work (Section 2.6); the single point on unrelaxed positions gives +4.74 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of the doped cells (pristine: +4.95 eV, Table 2).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