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odyText"/>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(lower bound)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(Ti, O and Rb; the Pr checksum was not recorded) and the atomic wavefunctions that projwfc.x reads from each dataset (Ti 3s/3p/3d, O 2s/2p, Pr 5p/5d, Rb 4s); the Pr dataset contains no 4f wavefunction. Kinetic-energy cut-offs of 40 Ry (wavefunctions) and 320 Ry (charge density) were used throughout. No cut-off convergence test was performed; comparable anatase defect work uses 55 Ry [13], and the consequences are discussed in Section 5.</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 and U can alternatively be fixed by enforcing piecewise linearity of the energy on polaronic defect states [38]; no such calibration was attempted here.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its k-mesh, cut-off and residual stress were not recorded in the run log. 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input was not re-inspected for this revision and the relaxed Pr_VO geometry was not analysed; the Pr–O distance of ≈2.17 Å quoted in earlier drafts is undocumented and is not used (the Shannon-radius sum for six-fold Pr</w:t>
      </w:r>
      <w:r>
        <w:rPr>
          <w:vertAlign w:val="superscript"/>
        </w:rPr>
        <w:t xml:space="preserve">3+</w:t>
      </w:r>
      <w:r>
        <w:t xml:space="preserve">–O</w:t>
      </w:r>
      <w:r>
        <w:rPr>
          <w:vertAlign w:val="superscript"/>
        </w:rPr>
        <w:t xml:space="preserve">2−</w:t>
      </w:r>
      <w:r>
        <w:t xml:space="preserve"> </w:t>
      </w:r>
      <w:r>
        <w:t xml:space="preserve">is 2.39 Å [26]).</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(0.005 or 0.01 Ry) is not established; the production input files were not re-inspected for this revision. With smearing, the total energy printed by pw.x is the smearing free energy; the entropy term is small when few states lie near the Fermi level but has not been tabulated. The −TS terms were not extracted from the outputs. For orientation, with Gaussian smearing a single level at E</w:t>
      </w:r>
      <w:r>
        <w:rPr>
          <w:vertAlign w:val="subscript"/>
        </w:rPr>
        <w:t xml:space="preserve">F</w:t>
      </w:r>
      <w:r>
        <w:t xml:space="preserve"> </w:t>
      </w:r>
      <w:r>
        <w:t xml:space="preserve">contributes σ/(2√π) per spin channel to −TS, about 0.02 eV at 0.005 Ry and 0.04 eV at 0.01 Ry; the term grows with the number of levels within σ of E</w:t>
      </w:r>
      <w:r>
        <w:rPr>
          <w:vertAlign w:val="subscript"/>
        </w:rPr>
        <w:t xml:space="preserve">F</w:t>
      </w:r>
      <w:r>
        <w:t xml:space="preserve"> </w:t>
      </w:r>
      <w:r>
        <w:t xml:space="preserve">and would have to reach several tenths of an eV to affect the spin-state comparisons of Section 3.3. The electronic self-consistency threshold was 1×10</w:t>
      </w:r>
      <w:r>
        <w:rPr>
          <w:vertAlign w:val="superscript"/>
        </w:rPr>
        <w:t xml:space="preserve">−8</w:t>
      </w:r>
      <w:r>
        <w:t xml:space="preserve"> </w:t>
      </w:r>
      <w:r>
        <w:t xml:space="preserve">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production Pristine_perfect energy (−4275.01530 Ry) is not from a relaxed geometry: the run log records it as a single-point calculation on the positions of the variable-cell relaxation of the conventional cell, with a residual maximum force of 0.0225 Ry/Bohr (0.58 eV/Å) in the 2×2×1 cell at Γ; the logged energy in eV converts to the same Rydberg value, and a from-scratch single point on the same positions reproduces it to 10</w:t>
      </w:r>
      <w:r>
        <w:rPr>
          <w:vertAlign w:val="superscript"/>
        </w:rPr>
        <w:t xml:space="preserve">−5</w:t>
      </w:r>
      <w:r>
        <w:t xml:space="preserve"> </w:t>
      </w:r>
      <w:r>
        <w:t xml:space="preserve">Ry (Table S2a). The doped perfect cells were relaxed after their unrelaxed single points were found to carry forces of 0.43–0.66 Ry/Bohr; the pristine perfect cell was not. Relaxing it would lower E(Pristine_perfect) and raise the pristine formation energy of Table 2, and the two reductions measured from it, by the relaxation energy, which was not computed (Section 5); the pristine E</w:t>
      </w:r>
      <w:r>
        <w:rPr>
          <w:vertAlign w:val="subscript"/>
        </w:rPr>
        <w:t xml:space="preserve">f</w:t>
      </w:r>
      <w:r>
        <w:t xml:space="preserve"> </w:t>
      </w:r>
      <w:r>
        <w:t xml:space="preserve">is therefore a lower bound, whereas the doped-cell formation energies and their contrast do not involve this cell.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forc_conv_thr was 0.005 Ry/Bohr for every relaxation; etot_conv_thr was not recorded (pw.x default 1×10</w:t>
      </w:r>
      <w:r>
        <w:rPr>
          <w:vertAlign w:val="superscript"/>
        </w:rPr>
        <w:t xml:space="preserve">−4</w:t>
      </w:r>
      <w:r>
        <w:t xml:space="preserve"> </w:t>
      </w:r>
      <w:r>
        <w:t xml:space="preserve">Ry unless set). This tolerance is looser than the 0.01–0.03 eV/Å commonly used for defect energetics, and its consequences are discussed in Section 5. The BFGS force histories are contained in the deposited output files.</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 The recorded settings are input_dft =</w:t>
      </w:r>
      <w:r>
        <w:t xml:space="preserve"> </w:t>
      </w:r>
      <w:r>
        <w:t xml:space="preserve">‘</w:t>
      </w:r>
      <w:r>
        <w:t xml:space="preserve">hse</w:t>
      </w:r>
      <w:r>
        <w:t xml:space="preserve">’</w:t>
      </w:r>
      <w:r>
        <w:t xml:space="preserve">, exx_fraction = 0.25 and screening_parameter = 0.106 Bohr</w:t>
      </w:r>
      <w:r>
        <w:rPr>
          <w:vertAlign w:val="superscript"/>
        </w:rPr>
        <w:t xml:space="preserve">−1</w:t>
      </w:r>
      <w:r>
        <w:t xml:space="preserve"> </w:t>
      </w:r>
      <w:r>
        <w:t xml:space="preserve">(0.2 Å</w:t>
      </w:r>
      <w:r>
        <w:rPr>
          <w:vertAlign w:val="superscript"/>
        </w:rPr>
        <w:t xml:space="preserve">−1</w:t>
      </w:r>
      <w:r>
        <w:t xml:space="preserve">; Krukau et al. recommend 0.11 Bohr</w:t>
      </w:r>
      <w:r>
        <w:rPr>
          <w:vertAlign w:val="superscript"/>
        </w:rPr>
        <w:t xml:space="preserve">−1</w:t>
      </w:r>
      <w:r>
        <w:t xml:space="preserve"> </w:t>
      </w:r>
      <w:r>
        <w:t xml:space="preserve">[41]), with the same PAW datasets as the production runs; the run log records no other exact-exchange setting, so the q-grid, ecutfock and EXX threshold are taken to be the pw.x defaults.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 (iv) Dispersion: 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 The relaxed Pr_VO geometry was not analysed in the same way, because its output was not available for this revision. 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a lower bound because the perfect reference cell was not relaxed (Section 2.6).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at least 3.45 eV for Pr and 8.81 eV for Rb (differences of the unrounded values; lower bounds for the same reason).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r>
              <w:t xml:space="preserve"> </w:t>
            </w:r>
            <w:r>
              <w:rPr>
                <w:vertAlign w:val="superscript"/>
              </w:rPr>
              <w:t xml:space="preserve">b</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rPr>
          <w:iCs/>
          <w:i/>
        </w:rPr>
        <w:t xml:space="preserve"> </w:t>
      </w:r>
      <w:r>
        <w:rPr>
          <w:vertAlign w:val="superscript"/>
          <w:iCs/>
          <w:i/>
        </w:rPr>
        <w:t xml:space="preserve">b</w:t>
      </w:r>
      <w:r>
        <w:rPr>
          <w:iCs/>
          <w:i/>
        </w:rPr>
        <w:t xml:space="preserve"> </w:t>
      </w:r>
      <w:r>
        <w:rPr>
          <w:iCs/>
          <w:i/>
        </w:rPr>
        <w:t xml:space="preserve">E(Pristine_perfect) is a single point on unrelaxed positions (F</w:t>
      </w:r>
      <w:r>
        <w:rPr>
          <w:vertAlign w:val="subscript"/>
          <w:iCs/>
          <w:i/>
        </w:rPr>
        <w:t xml:space="preserve">max</w:t>
      </w:r>
      <w:r>
        <w:rPr>
          <w:iCs/>
          <w:i/>
        </w:rPr>
        <w:t xml:space="preserve"> </w:t>
      </w:r>
      <w:r>
        <w:rPr>
          <w:iCs/>
          <w:i/>
        </w:rPr>
        <w:t xml:space="preserve">0.0225 Ry/Bohr, Section 2.6), so the pristine E</w:t>
      </w:r>
      <w:r>
        <w:rPr>
          <w:vertAlign w:val="subscript"/>
          <w:iCs/>
          <w:i/>
        </w:rPr>
        <w:t xml:space="preserve">f</w:t>
      </w:r>
      <w:r>
        <w:rPr>
          <w:iCs/>
          <w:i/>
        </w:rPr>
        <w:t xml:space="preserve"> </w:t>
      </w:r>
      <w:r>
        <w:rPr>
          <w:iCs/>
          <w:i/>
        </w:rPr>
        <w:t xml:space="preserve">is a lower bound.</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 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Pr>
          <w:vertAlign w:val="subscript"/>
        </w:rPr>
        <w:t xml:space="preserve">F</w:t>
      </w:r>
      <w:r>
        <w:t xml:space="preserve"> </w:t>
      </w:r>
      <w:r>
        <w:t xml:space="preserve">were not extracted from the outputs. 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 and the pristine V</w:t>
      </w:r>
      <w:r>
        <w:rPr>
          <w:vertAlign w:val="subscript"/>
        </w:rPr>
        <w:t xml:space="preserve">O</w:t>
      </w:r>
      <w:r>
        <w:t xml:space="preserve"> </w:t>
      </w:r>
      <w:r>
        <w:t xml:space="preserve">cell is non-magnetic (Section S1), in line with embedded coupled-cluster calculations that place the triplet of the neutral anatase vacancy 1.4 eV above a closed-shell colour-centre singlet [48].</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m</w:t>
      </w:r>
      <w:r>
        <w:rPr>
          <w:vertAlign w:val="subscript"/>
          <w:iCs/>
          <w:i/>
        </w:rPr>
        <w:t xml:space="preserve">abs</w:t>
      </w:r>
      <w:r>
        <w:rPr>
          <w:iCs/>
          <w:i/>
        </w:rPr>
        <w:t xml:space="preserve"> </w:t>
      </w:r>
      <w:r>
        <w:rPr>
          <w:iCs/>
          <w:i/>
        </w:rPr>
        <w:t xml:space="preserve">and E</w:t>
      </w:r>
      <w:r>
        <w:rPr>
          <w:vertAlign w:val="subscript"/>
          <w:iCs/>
          <w:i/>
        </w:rPr>
        <w:t xml:space="preserve">F</w:t>
      </w:r>
      <w:r>
        <w:rPr>
          <w:iCs/>
          <w:i/>
        </w:rPr>
        <w:t xml:space="preserve"> </w:t>
      </w:r>
      <w:r>
        <w:rPr>
          <w:iCs/>
          <w:i/>
        </w:rPr>
        <w:t xml:space="preserve">were not recorded.</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 The dual-U Rb energies were logged in eV; converted with the factor the run spreadsheet uses throughout (13.605693 eV/Ry, which reproduces the four production cells logged in both units to 0.0006 eV), they are −4324.98591 Ry (Rb_perfect) and −4284.02974 Ry (Rb_VO, incomplete relaxation), and m</w:t>
      </w:r>
      <w:r>
        <w:rPr>
          <w:vertAlign w:val="subscript"/>
        </w:rPr>
        <w:t xml:space="preserve">abs</w:t>
      </w:r>
      <w:r>
        <w:t xml:space="preserve"> </w:t>
      </w:r>
      <w:r>
        <w:t xml:space="preserve">was not recorded for any dual-U run (Table S5). 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 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 m</w:t>
      </w:r>
      <w:r>
        <w:rPr>
          <w:vertAlign w:val="subscript"/>
        </w:rPr>
        <w:t xml:space="preserve">abs</w:t>
      </w:r>
      <w:r>
        <w:t xml:space="preserve"> </w:t>
      </w:r>
      <w:r>
        <w:t xml:space="preserve">was not recorded for the q = +1 cell. 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Koopmans-compliant hybrid-functional calculations find that holes in bulk anatase self-trap on a single oxygen site [49,50]; the Rb_VO hole is consistent with that picture, here bound next to the dopant.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pPr>
        <w:pStyle w:val="BodyText"/>
      </w:pPr>
      <w:r>
        <w:rPr>
          <w:iCs/>
          <w:i/>
        </w:rPr>
        <w:t xml:space="preserve">Bader charges.</w:t>
      </w:r>
      <w:r>
        <w:t xml:space="preserve"> </w:t>
      </w:r>
      <w:r>
        <w:t xml:space="preserve">Bader analysis of the relaxed Pr_VO and Rb_VO cells (Table S3) places 8.96 e on Pr and 8.13 e on Rb, i.e. charges of +2.04 e and +0.87 e relative to the PAW valence (±0.03 e; values implied by the recorded electron totals and sublattice means, Table S3), consistent with the +3 and +1 formal states after the usual reduction of Bader charges relative to formal values. The per-atom populations were not re-extracted for this revision, so the dopant values are those implied by the recorded totals and sublattice means; grid convergence of the Bader charges was not tested (Section 2.8). 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iCs/>
          <w:i/>
        </w:rPr>
        <w:t xml:space="preserve">Uncertainty of the main results.</w:t>
      </w:r>
      <w:r>
        <w:t xml:space="preserve"> </w:t>
      </w:r>
      <w:r>
        <w:t xml:space="preserve">Of the numerical settings, only the k-mesh was varied for the formation energies: it shifts the individual values by 0.10–0.14 eV and the Pr–Rb contrast by 0.04 eV, an amount that the from-scratch offsets of the 2×2×2 single points could account for. The plane-wave cut-off, the smearing entropy, the residual forces, the supercell size and the oxygen-reference error were not quantified (Section 5). The O</w:t>
      </w:r>
      <w:r>
        <w:rPr>
          <w:vertAlign w:val="subscript"/>
        </w:rPr>
        <w:t xml:space="preserve">2</w:t>
      </w:r>
      <w:r>
        <w:t xml:space="preserve"> </w:t>
      </w:r>
      <w:r>
        <w:t xml:space="preserve">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the latter also to the relaxation status of the pristine perfect cell (Section 2.6).</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(at least 3.45 eV for one electron in the Pr cell and 8.81 eV for two in the Rb cell; lower bounds because the pristine reference cell is unrelaxed, Section 2.6)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at least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For Rb the formation energy is negative already at the oxygen-rich limit and decreases further as μ</w:t>
      </w:r>
      <w:r>
        <w:rPr>
          <w:vertAlign w:val="subscript"/>
        </w:rPr>
        <w:t xml:space="preserve">O</w:t>
      </w:r>
      <w:r>
        <w:t xml:space="preserve"> </w:t>
      </w:r>
      <w:r>
        <w:t xml:space="preserve">is lowered, so a vacancy-free Rb</w:t>
      </w:r>
      <w:r>
        <w:rPr>
          <w:vertAlign w:val="subscript"/>
        </w:rPr>
        <w:t xml:space="preserve">Ti</w:t>
      </w:r>
      <w:r>
        <w:t xml:space="preserve"> </w:t>
      </w:r>
      <w:r>
        <w:t xml:space="preserve">cell is not a stable reference at any oxygen chemical potential at which TiO</w:t>
      </w:r>
      <w:r>
        <w:rPr>
          <w:vertAlign w:val="subscript"/>
        </w:rPr>
        <w:t xml:space="preserve">2</w:t>
      </w:r>
      <w:r>
        <w:t xml:space="preserve"> </w:t>
      </w:r>
      <w:r>
        <w:t xml:space="preserve">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production pristine perfect cell was not relaxed (residual force 0.0225 Ry/Bohr, Section 2.6), so the pristine formation energy and the two reductions measured from it are lower bounds, short by its relaxation energy, which was not computed. The effect of tighter relaxation on the energetics and on the localisation results has not been tested. (v)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Pr and Rb oxides were not evaluated, and the O</w:t>
      </w:r>
      <w:r>
        <w:rPr>
          <w:vertAlign w:val="subscript"/>
        </w:rPr>
        <w:t xml:space="preserve">2</w:t>
      </w:r>
      <w:r>
        <w:t xml:space="preserve"> </w:t>
      </w:r>
      <w:r>
        <w:t xml:space="preserve">overbinding of PBE was not corrected; no statement about the synthesisable phase of Rb-doped anatase is therefore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(including Rb interstitials, a plausible alternative for a large monovalent ion), surface sites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a lower bound, because the perfect reference cell was not relaxed),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t xml:space="preserve">This work was supported by the Universiti Malaya Research Grant [grant number RU004-2025H].</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Falletta, S.; Pasquarello, A. Hubbard U through Polaronic Defect States. arXiv:2209.11341 [cond-mat.mtrl-sci], 2022.</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p>
      <w:pPr>
        <w:pStyle w:val="BodyText"/>
      </w:pPr>
      <w:r>
        <w:t xml:space="preserve">[48] Chen, J.; Bogdanov, N. A.; Usvyat, D.; Fang, W.; Michaelides, A.; Alavi, A. The Color Center Singlet State of Oxygen Vacancies in TiO2. arXiv:2011.03269 [cond-mat.mtrl-sci], 2020.</w:t>
      </w:r>
    </w:p>
    <w:p>
      <w:pPr>
        <w:pStyle w:val="BodyText"/>
      </w:pPr>
      <w:r>
        <w:t xml:space="preserve">[49] McBride, S.; Chen, W.; Ćuk, T.; Hautier, G. Do Small Hole Polarons Form in Bulk Rutile TiO2? arXiv:2410.21452 [cond-mat.mtrl-sci], 2024.</w:t>
      </w:r>
    </w:p>
    <w:p>
      <w:pPr>
        <w:pStyle w:val="BodyText"/>
      </w:pPr>
      <w:r>
        <w:t xml:space="preserve">[50] Ahart, C. S.; Li, D.; Blumberger, J.; Liu, S. Polaron Transport in TiO2 from Machine Learning Molecular Dynamics. arXiv:2606.01763 [cond-mat.mtrl-sci], 2026.</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2026-10-05T07:50:39Z</dcterms:created>
  <dcterms:modified xsi:type="dcterms:W3CDTF">2026-10-05T07:50:39Z</dcterms:modified>
</cp:coreProperties>
</file>

<file path=docProps/custom.xml><?xml version="1.0" encoding="utf-8"?>
<Properties xmlns="http://schemas.openxmlformats.org/officeDocument/2006/custom-properties" xmlns:vt="http://schemas.openxmlformats.org/officeDocument/2006/docPropsVTypes"/>
</file>