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6"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Start w:id="24" w:name="round-3c-remaining-citation-items"/>
    <w:p>
      <w:pPr>
        <w:pStyle w:val="Heading3"/>
      </w:pPr>
      <w:r>
        <w:t xml:space="preserve">Round 3c: remaining citation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R3-30</w:t>
            </w:r>
          </w:p>
        </w:tc>
        <w:tc>
          <w:tcPr/>
          <w:p>
            <w:pPr>
              <w:pStyle w:val="Compact"/>
              <w:jc w:val="left"/>
            </w:pPr>
            <w:r>
              <w:t xml:space="preserve">Deák et al. 2014</w:t>
            </w:r>
          </w:p>
        </w:tc>
        <w:tc>
          <w:tcPr/>
          <w:p>
            <w:pPr>
              <w:pStyle w:val="Compact"/>
              <w:jc w:val="left"/>
            </w:pPr>
            <w:r>
              <w:t xml:space="preserve">Not in the authors’ library; the U ≈ 3.5 eV statement could not be verified.</w:t>
            </w:r>
          </w:p>
        </w:tc>
        <w:tc>
          <w:tcPr/>
          <w:p>
            <w:pPr>
              <w:pStyle w:val="Compact"/>
              <w:jc w:val="left"/>
            </w:pPr>
            <w:r>
              <w:t xml:space="preserve">Replaced by Orhan &amp; O’Regan 2020 (authors’ 65.pdf, Table II: linear-response U = 3.57 eV, U</w:t>
            </w:r>
            <w:r>
              <w:rPr>
                <w:vertAlign w:val="subscript"/>
              </w:rPr>
              <w:t xml:space="preserve">eff</w:t>
            </w:r>
            <w:r>
              <w:t xml:space="preserve"> </w:t>
            </w:r>
            <w:r>
              <w:t xml:space="preserve">= 3.28 eV for anatase Ti-3d; U</w:t>
            </w:r>
            <w:r>
              <w:rPr>
                <w:vertAlign w:val="subscript"/>
              </w:rPr>
              <w:t xml:space="preserve">eff</w:t>
            </w:r>
            <w:r>
              <w:t xml:space="preserve"> </w:t>
            </w:r>
            <w:r>
              <w:t xml:space="preserve">= 7.66 eV for O-2p, LDA); O-2p value added as a benchmark for the transferred 5.5 eV.</w:t>
            </w:r>
          </w:p>
        </w:tc>
      </w:tr>
      <w:tr>
        <w:tc>
          <w:tcPr/>
          <w:p>
            <w:pPr>
              <w:pStyle w:val="Compact"/>
              <w:jc w:val="left"/>
            </w:pPr>
            <w:r>
              <w:t xml:space="preserve">R3-31</w:t>
            </w:r>
          </w:p>
        </w:tc>
        <w:tc>
          <w:tcPr/>
          <w:p>
            <w:pPr>
              <w:pStyle w:val="Compact"/>
              <w:jc w:val="left"/>
            </w:pPr>
            <w:r>
              <w:t xml:space="preserve">Bahmanrokh et al. 2020</w:t>
            </w:r>
          </w:p>
        </w:tc>
        <w:tc>
          <w:tcPr/>
          <w:p>
            <w:pPr>
              <w:pStyle w:val="Compact"/>
              <w:jc w:val="left"/>
            </w:pPr>
            <w:r>
              <w:t xml:space="preserve">Formalism includes ionic (V</w:t>
            </w:r>
            <w:r>
              <w:rPr>
                <w:vertAlign w:val="subscript"/>
              </w:rPr>
              <w:t xml:space="preserve">O</w:t>
            </w:r>
            <w:r>
              <w:t xml:space="preserve">) and electronic (h•, e′, Ti</w:t>
            </w:r>
            <w:r>
              <w:rPr>
                <w:vertAlign w:val="superscript"/>
              </w:rPr>
              <w:t xml:space="preserve">4+</w:t>
            </w:r>
            <w:r>
              <w:t xml:space="preserve">/Ti</w:t>
            </w:r>
            <w:r>
              <w:rPr>
                <w:vertAlign w:val="superscript"/>
              </w:rPr>
              <w:t xml:space="preserve">3+</w:t>
            </w:r>
            <w:r>
              <w:t xml:space="preserve"> </w:t>
            </w:r>
            <w:r>
              <w:t xml:space="preserve">redox) compensation (Table 3). Nine authors.</w:t>
            </w:r>
          </w:p>
        </w:tc>
        <w:tc>
          <w:tcPr/>
          <w:p>
            <w:pPr>
              <w:pStyle w:val="Compact"/>
              <w:jc w:val="left"/>
            </w:pPr>
            <w:r>
              <w:t xml:space="preserve">Marker removed; record completed.</w:t>
            </w:r>
          </w:p>
        </w:tc>
      </w:tr>
      <w:tr>
        <w:tc>
          <w:tcPr/>
          <w:p>
            <w:pPr>
              <w:pStyle w:val="Compact"/>
              <w:jc w:val="left"/>
            </w:pPr>
            <w:r>
              <w:t xml:space="preserve">R3-32</w:t>
            </w:r>
          </w:p>
        </w:tc>
        <w:tc>
          <w:tcPr/>
          <w:p>
            <w:pPr>
              <w:pStyle w:val="Compact"/>
              <w:jc w:val="left"/>
            </w:pPr>
            <w:r>
              <w:t xml:space="preserve">Chen et al. 2014</w:t>
            </w:r>
          </w:p>
        </w:tc>
        <w:tc>
          <w:tcPr/>
          <w:p>
            <w:pPr>
              <w:pStyle w:val="Compact"/>
              <w:jc w:val="left"/>
            </w:pPr>
            <w:r>
              <w:t xml:space="preserve">Plain GGA (CASTEP), 12-atom cell, 4f in valence, no U, no compensation discussion.</w:t>
            </w:r>
          </w:p>
        </w:tc>
        <w:tc>
          <w:tcPr/>
          <w:p>
            <w:pPr>
              <w:pStyle w:val="Compact"/>
              <w:jc w:val="left"/>
            </w:pPr>
            <w:r>
              <w:t xml:space="preserve">Described as such; marker removed.</w:t>
            </w:r>
          </w:p>
        </w:tc>
      </w:tr>
      <w:tr>
        <w:tc>
          <w:tcPr/>
          <w:p>
            <w:pPr>
              <w:pStyle w:val="Compact"/>
              <w:jc w:val="left"/>
            </w:pPr>
            <w:r>
              <w:t xml:space="preserve">R3-33</w:t>
            </w:r>
          </w:p>
        </w:tc>
        <w:tc>
          <w:tcPr/>
          <w:p>
            <w:pPr>
              <w:pStyle w:val="Compact"/>
              <w:jc w:val="left"/>
            </w:pPr>
            <w:r>
              <w:t xml:space="preserve">Pecunia et al. 2021</w:t>
            </w:r>
          </w:p>
        </w:tc>
        <w:tc>
          <w:tcPr/>
          <w:p>
            <w:pPr>
              <w:pStyle w:val="Compact"/>
              <w:jc w:val="left"/>
            </w:pPr>
            <w:r>
              <w:t xml:space="preserve">Not in the authors’ library; full text not reachable from this environment.</w:t>
            </w:r>
          </w:p>
        </w:tc>
        <w:tc>
          <w:tcPr/>
          <w:p>
            <w:pPr>
              <w:pStyle w:val="Compact"/>
              <w:jc w:val="left"/>
            </w:pPr>
            <w:r>
              <w:t xml:space="preserve">[NEEDS CITATION] kept.</w:t>
            </w:r>
          </w:p>
        </w:tc>
      </w:tr>
    </w:tbl>
    <w:bookmarkEnd w:id="24"/>
    <w:bookmarkStart w:id="25" w:name="X661650b7a2b4a6508db841846e36a2ec2652dcd"/>
    <w:p>
      <w:pPr>
        <w:pStyle w:val="Heading3"/>
      </w:pPr>
      <w:r>
        <w:t xml:space="preserve">Round 3d: independent adversarial review of the round-3 changes</w:t>
      </w:r>
    </w:p>
    <w:p>
      <w:pPr>
        <w:pStyle w:val="FirstParagraph"/>
      </w:pPr>
      <w:r>
        <w:t xml:space="preserve">An independent reviewer recomputed every round-3 number (all reproduced) and raised the points below; each was checked against the raw outputs before acting.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R3-34</w:t>
            </w:r>
          </w:p>
        </w:tc>
        <w:tc>
          <w:tcPr/>
          <w:p>
            <w:pPr>
              <w:pStyle w:val="Compact"/>
              <w:jc w:val="left"/>
            </w:pPr>
            <w:r>
              <w:t xml:space="preserve">major</w:t>
            </w:r>
          </w:p>
        </w:tc>
        <w:tc>
          <w:tcPr/>
          <w:p>
            <w:pPr>
              <w:pStyle w:val="Compact"/>
              <w:jc w:val="left"/>
            </w:pPr>
            <w:r>
              <w:t xml:space="preserve">“</w:t>
            </w:r>
            <w:r>
              <w:t xml:space="preserve">Identical atom ordering</w:t>
            </w:r>
            <w:r>
              <w:t xml:space="preserve">”</w:t>
            </w:r>
            <w:r>
              <w:t xml:space="preserve"> </w:t>
            </w:r>
            <w:r>
              <w:t xml:space="preserve">does not prove the same vacancy in both cells.</w:t>
            </w:r>
          </w:p>
        </w:tc>
        <w:tc>
          <w:tcPr/>
          <w:p>
            <w:pPr>
              <w:pStyle w:val="Compact"/>
              <w:jc w:val="left"/>
            </w:pPr>
            <w:r>
              <w:t xml:space="preserve">Replaced by the Pr_VO Löwdin evidence (four lowest O populations on four of the five remaining first-shell oxygens; Ti2 and Ti26 among the three highest Ti-3d populations), stated as consistent, not proven; the</w:t>
            </w:r>
            <w:r>
              <w:t xml:space="preserve"> </w:t>
            </w:r>
            <w:r>
              <w:t xml:space="preserve">“</w:t>
            </w:r>
            <w:r>
              <w:t xml:space="preserve">O3 not computed</w:t>
            </w:r>
            <w:r>
              <w:t xml:space="preserve">”</w:t>
            </w:r>
            <w:r>
              <w:t xml:space="preserve"> </w:t>
            </w:r>
            <w:r>
              <w:t xml:space="preserve">clause removed.</w:t>
            </w:r>
          </w:p>
        </w:tc>
      </w:tr>
      <w:tr>
        <w:tc>
          <w:tcPr/>
          <w:p>
            <w:pPr>
              <w:pStyle w:val="Compact"/>
              <w:jc w:val="left"/>
            </w:pPr>
            <w:r>
              <w:t xml:space="preserve">R3-35</w:t>
            </w:r>
          </w:p>
        </w:tc>
        <w:tc>
          <w:tcPr/>
          <w:p>
            <w:pPr>
              <w:pStyle w:val="Compact"/>
              <w:jc w:val="left"/>
            </w:pPr>
            <w:r>
              <w:t xml:space="preserve">major</w:t>
            </w:r>
          </w:p>
        </w:tc>
        <w:tc>
          <w:tcPr/>
          <w:p>
            <w:pPr>
              <w:pStyle w:val="Compact"/>
              <w:jc w:val="left"/>
            </w:pPr>
            <w:r>
              <w:t xml:space="preserve">The Rb_VO cell kept a mirror plane (2 symmetry operations; verified), so hole states that break it were excluded.</w:t>
            </w:r>
          </w:p>
        </w:tc>
        <w:tc>
          <w:tcPr/>
          <w:p>
            <w:pPr>
              <w:pStyle w:val="Compact"/>
              <w:jc w:val="left"/>
            </w:pPr>
            <w:r>
              <w:t xml:space="preserve">Disclosed in §2.4, §3.6 and Limitation (xiii).</w:t>
            </w:r>
          </w:p>
        </w:tc>
      </w:tr>
      <w:tr>
        <w:tc>
          <w:tcPr/>
          <w:p>
            <w:pPr>
              <w:pStyle w:val="Compact"/>
              <w:jc w:val="left"/>
            </w:pPr>
            <w:r>
              <w:t xml:space="preserve">R3-36</w:t>
            </w:r>
          </w:p>
        </w:tc>
        <w:tc>
          <w:tcPr/>
          <w:p>
            <w:pPr>
              <w:pStyle w:val="Compact"/>
              <w:jc w:val="left"/>
            </w:pPr>
            <w:r>
              <w:t xml:space="preserve">major</w:t>
            </w:r>
          </w:p>
        </w:tc>
        <w:tc>
          <w:tcPr/>
          <w:p>
            <w:pPr>
              <w:pStyle w:val="Compact"/>
              <w:jc w:val="left"/>
            </w:pPr>
            <w:r>
              <w:t xml:space="preserve">“</w:t>
            </w:r>
            <w:r>
              <w:t xml:space="preserve">Rb moves 1.27 Å, so relaxation contributes</w:t>
            </w:r>
            <w:r>
              <w:t xml:space="preserve">”</w:t>
            </w:r>
            <w:r>
              <w:t xml:space="preserve"> </w:t>
            </w:r>
            <w:r>
              <w:t xml:space="preserve">overclaims: the displacement is from the ideal site, and no relaxation energy was computed.</w:t>
            </w:r>
          </w:p>
        </w:tc>
        <w:tc>
          <w:tcPr/>
          <w:p>
            <w:pPr>
              <w:pStyle w:val="Compact"/>
              <w:jc w:val="left"/>
            </w:pPr>
            <w:r>
              <w:t xml:space="preserve">Abstract, §3.1, §3.2, §4.1, §4.3, Conclusions, Highlights and cover letter reworded; Rb–O 2.54 Å vs Shannon sum 2.92 Å noted.</w:t>
            </w:r>
          </w:p>
        </w:tc>
      </w:tr>
      <w:tr>
        <w:tc>
          <w:tcPr/>
          <w:p>
            <w:pPr>
              <w:pStyle w:val="Compact"/>
              <w:jc w:val="left"/>
            </w:pPr>
            <w:r>
              <w:t xml:space="preserve">R3-37</w:t>
            </w:r>
          </w:p>
        </w:tc>
        <w:tc>
          <w:tcPr/>
          <w:p>
            <w:pPr>
              <w:pStyle w:val="Compact"/>
              <w:jc w:val="left"/>
            </w:pPr>
            <w:r>
              <w:t xml:space="preserve">major</w:t>
            </w:r>
          </w:p>
        </w:tc>
        <w:tc>
          <w:tcPr/>
          <w:p>
            <w:pPr>
              <w:pStyle w:val="Compact"/>
              <w:jc w:val="left"/>
            </w:pPr>
            <w:r>
              <w:t xml:space="preserve">The</w:t>
            </w:r>
            <w:r>
              <w:t xml:space="preserve"> </w:t>
            </w:r>
            <w:r>
              <w:t xml:space="preserve">“</w:t>
            </w:r>
            <w:r>
              <w:t xml:space="preserve">2.4–2.5 eV in both cells</w:t>
            </w:r>
            <w:r>
              <w:t xml:space="preserve">”</w:t>
            </w:r>
            <w:r>
              <w:t xml:space="preserve"> </w:t>
            </w:r>
            <w:r>
              <w:t xml:space="preserve">band separation is broadening-dependent (Rb_VO total DOS gives 2.22 eV).</w:t>
            </w:r>
          </w:p>
        </w:tc>
        <w:tc>
          <w:tcPr/>
          <w:p>
            <w:pPr>
              <w:pStyle w:val="Compact"/>
              <w:jc w:val="left"/>
            </w:pPr>
            <w:r>
              <w:t xml:space="preserve">Replaced by the Rb_VO eigenvalue gap (2.87 eV, majority; verified from the NSCF output) and the Pr_VO PDOS separation (2.46 eV) with its caveat.</w:t>
            </w:r>
          </w:p>
        </w:tc>
      </w:tr>
      <w:tr>
        <w:tc>
          <w:tcPr/>
          <w:p>
            <w:pPr>
              <w:pStyle w:val="Compact"/>
              <w:jc w:val="left"/>
            </w:pPr>
            <w:r>
              <w:t xml:space="preserve">R3-38</w:t>
            </w:r>
          </w:p>
        </w:tc>
        <w:tc>
          <w:tcPr/>
          <w:p>
            <w:pPr>
              <w:pStyle w:val="Compact"/>
              <w:jc w:val="left"/>
            </w:pPr>
            <w:r>
              <w:t xml:space="preserve">major</w:t>
            </w:r>
          </w:p>
        </w:tc>
        <w:tc>
          <w:tcPr/>
          <w:p>
            <w:pPr>
              <w:pStyle w:val="Compact"/>
              <w:jc w:val="left"/>
            </w:pPr>
            <w:r>
              <w:t xml:space="preserve">“</w:t>
            </w:r>
            <w:r>
              <w:t xml:space="preserve">Production solution with the spins interchanged</w:t>
            </w:r>
            <w:r>
              <w:t xml:space="preserve">”</w:t>
            </w:r>
            <w:r>
              <w:t xml:space="preserve"> </w:t>
            </w:r>
            <w:r>
              <w:t xml:space="preserve">not established.</w:t>
            </w:r>
          </w:p>
        </w:tc>
        <w:tc>
          <w:tcPr/>
          <w:p>
            <w:pPr>
              <w:pStyle w:val="Compact"/>
              <w:jc w:val="left"/>
            </w:pPr>
            <w:r>
              <w:t xml:space="preserve">Softened: Figure 4 taken to represent both near-degenerate solutions; AUTHOR ACTION for E</w:t>
            </w:r>
            <w:r>
              <w:rPr>
                <w:vertAlign w:val="subscript"/>
              </w:rPr>
              <w:t xml:space="preserve">tot</w:t>
            </w:r>
            <w:r>
              <w:t xml:space="preserve">, m, m</w:t>
            </w:r>
            <w:r>
              <w:rPr>
                <w:vertAlign w:val="subscript"/>
              </w:rPr>
              <w:t xml:space="preserve">abs</w:t>
            </w:r>
            <w:r>
              <w:t xml:space="preserve"> </w:t>
            </w:r>
            <w:r>
              <w:t xml:space="preserve">of the PDOS SCF. Degauss of production runs marked</w:t>
            </w:r>
            <w:r>
              <w:t xml:space="preserve"> </w:t>
            </w:r>
            <w:r>
              <w:t xml:space="preserve">“</w:t>
            </w:r>
            <w:r>
              <w:t xml:space="preserve">not established</w:t>
            </w:r>
            <w:r>
              <w:t xml:space="preserve">”</w:t>
            </w:r>
            <w:r>
              <w:t xml:space="preserve"> </w:t>
            </w:r>
            <w:r>
              <w:t xml:space="preserve">(the 0.01 Ry PDOS SCF reproduces the production E</w:t>
            </w:r>
            <w:r>
              <w:rPr>
                <w:vertAlign w:val="subscript"/>
              </w:rPr>
              <w:t xml:space="preserve">F</w:t>
            </w:r>
            <w:r>
              <w:t xml:space="preserve">).</w:t>
            </w:r>
          </w:p>
        </w:tc>
      </w:tr>
      <w:tr>
        <w:tc>
          <w:tcPr/>
          <w:p>
            <w:pPr>
              <w:pStyle w:val="Compact"/>
              <w:jc w:val="left"/>
            </w:pPr>
            <w:r>
              <w:t xml:space="preserve">R3-39</w:t>
            </w:r>
          </w:p>
        </w:tc>
        <w:tc>
          <w:tcPr/>
          <w:p>
            <w:pPr>
              <w:pStyle w:val="Compact"/>
              <w:jc w:val="left"/>
            </w:pPr>
            <w:r>
              <w:t xml:space="preserve">major</w:t>
            </w:r>
          </w:p>
        </w:tc>
        <w:tc>
          <w:tcPr/>
          <w:p>
            <w:pPr>
              <w:pStyle w:val="Compact"/>
              <w:jc w:val="left"/>
            </w:pPr>
            <w:r>
              <w:t xml:space="preserve">Pr_VO equal spin channels / zero Löwdin moments are by construction from the m = 0 density.</w:t>
            </w:r>
          </w:p>
        </w:tc>
        <w:tc>
          <w:tcPr/>
          <w:p>
            <w:pPr>
              <w:pStyle w:val="Compact"/>
              <w:jc w:val="left"/>
            </w:pPr>
            <w:r>
              <w:t xml:space="preserve">Stated as such; no longer offered as evidence.</w:t>
            </w:r>
          </w:p>
        </w:tc>
      </w:tr>
      <w:tr>
        <w:tc>
          <w:tcPr/>
          <w:p>
            <w:pPr>
              <w:pStyle w:val="Compact"/>
              <w:jc w:val="left"/>
            </w:pPr>
            <w:r>
              <w:t xml:space="preserve">R3-40</w:t>
            </w:r>
          </w:p>
        </w:tc>
        <w:tc>
          <w:tcPr/>
          <w:p>
            <w:pPr>
              <w:pStyle w:val="Compact"/>
              <w:jc w:val="left"/>
            </w:pPr>
            <w:r>
              <w:t xml:space="preserve">major</w:t>
            </w:r>
          </w:p>
        </w:tc>
        <w:tc>
          <w:tcPr/>
          <w:p>
            <w:pPr>
              <w:pStyle w:val="Compact"/>
              <w:jc w:val="left"/>
            </w:pPr>
            <w:r>
              <w:t xml:space="preserve">Figure 1 drew Ti26 at the wrong periodic image (vacancy appeared to have one Ti neighbour); arrow threshold not stated.</w:t>
            </w:r>
          </w:p>
        </w:tc>
        <w:tc>
          <w:tcPr/>
          <w:p>
            <w:pPr>
              <w:pStyle w:val="Compact"/>
              <w:jc w:val="left"/>
            </w:pPr>
            <w:r>
              <w:t xml:space="preserve">Image choice now made on ideal coordinates about the dopant–vacancy midpoint; caption states the 0.2 Å threshold.</w:t>
            </w:r>
          </w:p>
        </w:tc>
      </w:tr>
      <w:tr>
        <w:tc>
          <w:tcPr/>
          <w:p>
            <w:pPr>
              <w:pStyle w:val="Compact"/>
              <w:jc w:val="left"/>
            </w:pPr>
            <w:r>
              <w:t xml:space="preserve">R3-41</w:t>
            </w:r>
          </w:p>
        </w:tc>
        <w:tc>
          <w:tcPr/>
          <w:p>
            <w:pPr>
              <w:pStyle w:val="Compact"/>
              <w:jc w:val="left"/>
            </w:pPr>
            <w:r>
              <w:t xml:space="preserve">minor</w:t>
            </w:r>
          </w:p>
        </w:tc>
        <w:tc>
          <w:tcPr/>
          <w:p>
            <w:pPr>
              <w:pStyle w:val="Compact"/>
              <w:jc w:val="left"/>
            </w:pPr>
            <w:r>
              <w:t xml:space="preserve">Löwdin Ti polarisation accounts for essentially all of the m</w:t>
            </w:r>
            <w:r>
              <w:rPr>
                <w:vertAlign w:val="subscript"/>
              </w:rPr>
              <w:t xml:space="preserve">abs</w:t>
            </w:r>
            <w:r>
              <w:t xml:space="preserve"> </w:t>
            </w:r>
            <w:r>
              <w:t xml:space="preserve">−</w:t>
            </w:r>
          </w:p>
        </w:tc>
        <w:tc>
          <w:tcPr/>
          <w:p>
            <w:pPr>
              <w:pStyle w:val="Compact"/>
              <w:jc w:val="left"/>
            </w:pPr>
            <w:r>
              <w:t xml:space="preserve">m</w:t>
            </w:r>
          </w:p>
        </w:tc>
      </w:tr>
      <w:tr>
        <w:tc>
          <w:tcPr/>
          <w:p>
            <w:pPr>
              <w:pStyle w:val="Compact"/>
              <w:jc w:val="left"/>
            </w:pPr>
            <w:r>
              <w:t xml:space="preserve">R3-42</w:t>
            </w:r>
          </w:p>
        </w:tc>
        <w:tc>
          <w:tcPr/>
          <w:p>
            <w:pPr>
              <w:pStyle w:val="Compact"/>
              <w:jc w:val="left"/>
            </w:pPr>
            <w:r>
              <w:t xml:space="preserve">minor</w:t>
            </w:r>
          </w:p>
        </w:tc>
        <w:tc>
          <w:tcPr/>
          <w:p>
            <w:pPr>
              <w:pStyle w:val="Compact"/>
              <w:jc w:val="left"/>
            </w:pPr>
            <w:r>
              <w:t xml:space="preserve">The 0.038 eV from-scratch offset equals ΔΔE; D3 offset origin unproven.</w:t>
            </w:r>
          </w:p>
        </w:tc>
        <w:tc>
          <w:tcPr/>
          <w:p>
            <w:pPr>
              <w:pStyle w:val="Compact"/>
              <w:jc w:val="left"/>
            </w:pPr>
            <w:r>
              <w:t xml:space="preserve">Both stated.</w:t>
            </w:r>
          </w:p>
        </w:tc>
      </w:tr>
      <w:tr>
        <w:tc>
          <w:tcPr/>
          <w:p>
            <w:pPr>
              <w:pStyle w:val="Compact"/>
              <w:jc w:val="left"/>
            </w:pPr>
            <w:r>
              <w:t xml:space="preserve">R3-43</w:t>
            </w:r>
          </w:p>
        </w:tc>
        <w:tc>
          <w:tcPr/>
          <w:p>
            <w:pPr>
              <w:pStyle w:val="Compact"/>
              <w:jc w:val="left"/>
            </w:pPr>
            <w:r>
              <w:t xml:space="preserve">minor</w:t>
            </w:r>
          </w:p>
        </w:tc>
        <w:tc>
          <w:tcPr/>
          <w:p>
            <w:pPr>
              <w:pStyle w:val="Compact"/>
              <w:jc w:val="left"/>
            </w:pPr>
            <w:r>
              <w:t xml:space="preserve">Broadened state counts (0.70, 0.79) are broadening-dependent; the hole is one band 0.04–0.13 eV above E</w:t>
            </w:r>
            <w:r>
              <w:rPr>
                <w:vertAlign w:val="subscript"/>
              </w:rPr>
              <w:t xml:space="preserve">F</w:t>
            </w:r>
            <w:r>
              <w:t xml:space="preserve"> </w:t>
            </w:r>
            <w:r>
              <w:t xml:space="preserve">(verified).</w:t>
            </w:r>
          </w:p>
        </w:tc>
        <w:tc>
          <w:tcPr/>
          <w:p>
            <w:pPr>
              <w:pStyle w:val="Compact"/>
              <w:jc w:val="left"/>
            </w:pPr>
            <w:r>
              <w:t xml:space="preserve">Stated in text and caption.</w:t>
            </w:r>
          </w:p>
        </w:tc>
      </w:tr>
      <w:tr>
        <w:tc>
          <w:tcPr/>
          <w:p>
            <w:pPr>
              <w:pStyle w:val="Compact"/>
              <w:jc w:val="left"/>
            </w:pPr>
            <w:r>
              <w:t xml:space="preserve">R3-44</w:t>
            </w:r>
          </w:p>
        </w:tc>
        <w:tc>
          <w:tcPr/>
          <w:p>
            <w:pPr>
              <w:pStyle w:val="Compact"/>
              <w:jc w:val="left"/>
            </w:pPr>
            <w:r>
              <w:t xml:space="preserve">minor</w:t>
            </w:r>
          </w:p>
        </w:tc>
        <w:tc>
          <w:tcPr/>
          <w:p>
            <w:pPr>
              <w:pStyle w:val="Compact"/>
              <w:jc w:val="left"/>
            </w:pPr>
            <w:r>
              <w:t xml:space="preserve">NSCF reported 33–37 unconverged eigenvalues per k-point (verified).</w:t>
            </w:r>
          </w:p>
        </w:tc>
        <w:tc>
          <w:tcPr/>
          <w:p>
            <w:pPr>
              <w:pStyle w:val="Compact"/>
              <w:jc w:val="left"/>
            </w:pPr>
            <w:r>
              <w:t xml:space="preserve">Disclosed; AUTHOR ACTION to repeat with diago_full_acc.</w:t>
            </w:r>
          </w:p>
        </w:tc>
      </w:tr>
      <w:tr>
        <w:tc>
          <w:tcPr/>
          <w:p>
            <w:pPr>
              <w:pStyle w:val="Compact"/>
              <w:jc w:val="left"/>
            </w:pPr>
            <w:r>
              <w:t xml:space="preserve">R3-45</w:t>
            </w:r>
          </w:p>
        </w:tc>
        <w:tc>
          <w:tcPr/>
          <w:p>
            <w:pPr>
              <w:pStyle w:val="Compact"/>
              <w:jc w:val="left"/>
            </w:pPr>
            <w:r>
              <w:t xml:space="preserve">minor</w:t>
            </w:r>
          </w:p>
        </w:tc>
        <w:tc>
          <w:tcPr/>
          <w:p>
            <w:pPr>
              <w:pStyle w:val="Compact"/>
              <w:jc w:val="left"/>
            </w:pPr>
            <w:r>
              <w:t xml:space="preserve">“</w:t>
            </w:r>
            <w:r>
              <w:t xml:space="preserve">O17</w:t>
            </w:r>
            <w:r>
              <w:t xml:space="preserve">”</w:t>
            </w:r>
            <w:r>
              <w:t xml:space="preserve"> </w:t>
            </w:r>
            <w:r>
              <w:t xml:space="preserve">used for two different atoms.</w:t>
            </w:r>
          </w:p>
        </w:tc>
        <w:tc>
          <w:tcPr/>
          <w:p>
            <w:pPr>
              <w:pStyle w:val="Compact"/>
              <w:jc w:val="left"/>
            </w:pPr>
            <w:r>
              <w:t xml:space="preserve">Alternative sites renamed</w:t>
            </w:r>
            <w:r>
              <w:t xml:space="preserve"> </w:t>
            </w:r>
            <w:r>
              <w:t xml:space="preserve">“</w:t>
            </w:r>
            <w:r>
              <w:t xml:space="preserve">site 1/7/17 of the orchestration input</w:t>
            </w:r>
            <w:r>
              <w:t xml:space="preserve">”</w:t>
            </w:r>
            <w:r>
              <w:t xml:space="preserve">.</w:t>
            </w:r>
          </w:p>
        </w:tc>
      </w:tr>
      <w:tr>
        <w:tc>
          <w:tcPr/>
          <w:p>
            <w:pPr>
              <w:pStyle w:val="Compact"/>
              <w:jc w:val="left"/>
            </w:pPr>
            <w:r>
              <w:t xml:space="preserve">R3-46</w:t>
            </w:r>
          </w:p>
        </w:tc>
        <w:tc>
          <w:tcPr/>
          <w:p>
            <w:pPr>
              <w:pStyle w:val="Compact"/>
              <w:jc w:val="left"/>
            </w:pPr>
            <w:r>
              <w:t xml:space="preserve">minor</w:t>
            </w:r>
          </w:p>
        </w:tc>
        <w:tc>
          <w:tcPr/>
          <w:p>
            <w:pPr>
              <w:pStyle w:val="Compact"/>
              <w:jc w:val="left"/>
            </w:pPr>
            <w:r>
              <w:t xml:space="preserve">Small numbers: O8–vacancy 3.39 Å; Rb E</w:t>
            </w:r>
            <w:r>
              <w:rPr>
                <w:vertAlign w:val="subscript"/>
              </w:rPr>
              <w:t xml:space="preserve">F</w:t>
            </w:r>
            <w:r>
              <w:t xml:space="preserve"> </w:t>
            </w:r>
            <w:r>
              <w:t xml:space="preserve">shift −0.75 eV; Table S2a pristine offset; ledger run cross-references; Table S1 footnote; SI table order; Table S9 footnote b; stale Bader marker; revision note; Table S4 note;</w:t>
            </w:r>
            <w:r>
              <w:t xml:space="preserve"> </w:t>
            </w:r>
            <w:r>
              <w:t xml:space="preserve">“</w:t>
            </w:r>
            <w:r>
              <w:t xml:space="preserve">Ti</w:t>
            </w:r>
            <w:r>
              <w:rPr>
                <w:vertAlign w:val="superscript"/>
              </w:rPr>
              <w:t xml:space="preserve">3+</w:t>
            </w:r>
            <w:r>
              <w:t xml:space="preserve"> </w:t>
            </w:r>
            <w:r>
              <w:t xml:space="preserve">character</w:t>
            </w:r>
            <w:r>
              <w:t xml:space="preserve">”</w:t>
            </w:r>
            <w:r>
              <w:t xml:space="preserve">; Torres wording; Limitation (v); pw.x condition wording; Introduction Chen sentence; grammar.</w:t>
            </w:r>
          </w:p>
        </w:tc>
        <w:tc>
          <w:tcPr/>
          <w:p>
            <w:pPr>
              <w:pStyle w:val="Compact"/>
              <w:jc w:val="left"/>
            </w:pPr>
            <w:r>
              <w:t xml:space="preserve">All corrected.</w:t>
            </w:r>
          </w:p>
        </w:tc>
      </w:tr>
    </w:tbl>
    <w:bookmarkEnd w:id="25"/>
    <w:bookmarkEnd w:id="26"/>
    <w:bookmarkStart w:id="27" w:name="X09c9e44968ee40efa3ac33bdebdef5ecde8083f"/>
    <w:p>
      <w:pPr>
        <w:pStyle w:val="Heading2"/>
      </w:pPr>
      <w:r>
        <w:t xml:space="preserve">Round 4: automated pre-submission review (paperreview.ai, 4 October 2026)</w:t>
      </w:r>
    </w:p>
    <w:p>
      <w:pPr>
        <w:pStyle w:val="FirstParagraph"/>
      </w:pPr>
      <w:r>
        <w:t xml:space="preserve">The authors obtained an automated review of v4. Each point is answered in</w:t>
      </w:r>
      <w:r>
        <w:t xml:space="preserve"> </w:t>
      </w:r>
      <w:r>
        <w:rPr>
          <w:rStyle w:val="VerbatimChar"/>
        </w:rPr>
        <w:t xml:space="preserve">Response_to_AI_PreSubmission_Review.md</w:t>
      </w:r>
      <w:r>
        <w:t xml:space="preserve">. The changes to the manuscript, SI and package are logged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Review item</w:t>
            </w:r>
          </w:p>
        </w:tc>
        <w:tc>
          <w:tcPr/>
          <w:p>
            <w:pPr>
              <w:pStyle w:val="Compact"/>
              <w:jc w:val="left"/>
            </w:pPr>
            <w:r>
              <w:t xml:space="preserve">Action</w:t>
            </w:r>
          </w:p>
        </w:tc>
      </w:tr>
      <w:tr>
        <w:tc>
          <w:tcPr/>
          <w:p>
            <w:pPr>
              <w:pStyle w:val="Compact"/>
              <w:jc w:val="left"/>
            </w:pPr>
            <w:r>
              <w:t xml:space="preserve">R4-01</w:t>
            </w:r>
          </w:p>
        </w:tc>
        <w:tc>
          <w:tcPr/>
          <w:p>
            <w:pPr>
              <w:pStyle w:val="Compact"/>
              <w:jc w:val="left"/>
            </w:pPr>
            <w:r>
              <w:t xml:space="preserve">W3, Q4: U(O-2p) uncalibrated; PWL route not mentioned</w:t>
            </w:r>
          </w:p>
        </w:tc>
        <w:tc>
          <w:tcPr/>
          <w:p>
            <w:pPr>
              <w:pStyle w:val="Compact"/>
              <w:jc w:val="left"/>
            </w:pPr>
            <w:r>
              <w:t xml:space="preserve">§2.2 cites Falletta &amp; Pasquarello 2022 (arXiv:2209.11341) for U from piecewise linearity on polaronic states and states that no such calibration was done. Linear-response hp.x inputs prepared (</w:t>
            </w:r>
            <w:r>
              <w:rPr>
                <w:rStyle w:val="VerbatimChar"/>
              </w:rPr>
              <w:t xml:space="preserve">revision_calculations/</w:t>
            </w:r>
            <w:r>
              <w:t xml:space="preserve">, job 9).</w:t>
            </w:r>
          </w:p>
        </w:tc>
      </w:tr>
      <w:tr>
        <w:tc>
          <w:tcPr/>
          <w:p>
            <w:pPr>
              <w:pStyle w:val="Compact"/>
              <w:jc w:val="left"/>
            </w:pPr>
            <w:r>
              <w:t xml:space="preserve">R4-02</w:t>
            </w:r>
          </w:p>
        </w:tc>
        <w:tc>
          <w:tcPr/>
          <w:p>
            <w:pPr>
              <w:pStyle w:val="Compact"/>
              <w:jc w:val="left"/>
            </w:pPr>
            <w:r>
              <w:t xml:space="preserve">Detailed comments: pristine V</w:t>
            </w:r>
            <w:r>
              <w:rPr>
                <w:vertAlign w:val="subscript"/>
              </w:rPr>
              <w:t xml:space="preserve">O</w:t>
            </w:r>
            <w:r>
              <w:t xml:space="preserve"> </w:t>
            </w:r>
            <w:r>
              <w:t xml:space="preserve">non-magnetic vs high-level theory</w:t>
            </w:r>
          </w:p>
        </w:tc>
        <w:tc>
          <w:tcPr/>
          <w:p>
            <w:pPr>
              <w:pStyle w:val="Compact"/>
              <w:jc w:val="left"/>
            </w:pPr>
            <w:r>
              <w:t xml:space="preserve">§3.3 cites Chen et al. 2020 (arXiv:2011.03269): embedded coupled-cluster puts the triplet 1.4 eV above a closed-shell colour-centre singlet.</w:t>
            </w:r>
          </w:p>
        </w:tc>
      </w:tr>
      <w:tr>
        <w:tc>
          <w:tcPr/>
          <w:p>
            <w:pPr>
              <w:pStyle w:val="Compact"/>
              <w:jc w:val="left"/>
            </w:pPr>
            <w:r>
              <w:t xml:space="preserve">R4-03</w:t>
            </w:r>
          </w:p>
        </w:tc>
        <w:tc>
          <w:tcPr/>
          <w:p>
            <w:pPr>
              <w:pStyle w:val="Compact"/>
              <w:jc w:val="left"/>
            </w:pPr>
            <w:r>
              <w:t xml:space="preserve">Related work: O-centred hole polarons in anatase</w:t>
            </w:r>
          </w:p>
        </w:tc>
        <w:tc>
          <w:tcPr/>
          <w:p>
            <w:pPr>
              <w:pStyle w:val="Compact"/>
              <w:jc w:val="left"/>
            </w:pPr>
            <w:r>
              <w:t xml:space="preserve">§3.6 cites McBride et al. 2024 (arXiv:2410.21452; anatase benchmark: stable polaron, α = 0.15) and Ahart et al. 2026 (arXiv:2606.01763; 78% of the spin on one O, HSE 19%). Both read in full; the rutile focus of McBride et al. noted in the response.</w:t>
            </w:r>
          </w:p>
        </w:tc>
      </w:tr>
      <w:tr>
        <w:tc>
          <w:tcPr/>
          <w:p>
            <w:pPr>
              <w:pStyle w:val="Compact"/>
              <w:jc w:val="left"/>
            </w:pPr>
            <w:r>
              <w:t xml:space="preserve">R4-04</w:t>
            </w:r>
          </w:p>
        </w:tc>
        <w:tc>
          <w:tcPr/>
          <w:p>
            <w:pPr>
              <w:pStyle w:val="Compact"/>
              <w:jc w:val="left"/>
            </w:pPr>
            <w:r>
              <w:t xml:space="preserve">W3, Q9: HSE06 check inconsistent</w:t>
            </w:r>
          </w:p>
        </w:tc>
        <w:tc>
          <w:tcPr/>
          <w:p>
            <w:pPr>
              <w:pStyle w:val="Compact"/>
              <w:jc w:val="left"/>
            </w:pPr>
            <w:r>
              <w:t xml:space="preserve">Total-energy and Fermi-energy comparison removed from §3.6; Methods §2.8(iii) note now says to delete the hybrid item if the input cannot be recovered.</w:t>
            </w:r>
          </w:p>
        </w:tc>
      </w:tr>
      <w:tr>
        <w:tc>
          <w:tcPr/>
          <w:p>
            <w:pPr>
              <w:pStyle w:val="Compact"/>
              <w:jc w:val="left"/>
            </w:pPr>
            <w:r>
              <w:t xml:space="preserve">R4-05</w:t>
            </w:r>
          </w:p>
        </w:tc>
        <w:tc>
          <w:tcPr/>
          <w:p>
            <w:pPr>
              <w:pStyle w:val="Compact"/>
              <w:jc w:val="left"/>
            </w:pPr>
            <w:r>
              <w:t xml:space="preserve">W10, Q5: dopant–vacancy binding</w:t>
            </w:r>
          </w:p>
        </w:tc>
        <w:tc>
          <w:tcPr/>
          <w:p>
            <w:pPr>
              <w:pStyle w:val="Compact"/>
              <w:jc w:val="left"/>
            </w:pPr>
            <w:r>
              <w:t xml:space="preserve">§3.7 reports the in-cell Pr–V</w:t>
            </w:r>
            <w:r>
              <w:rPr>
                <w:vertAlign w:val="subscript"/>
              </w:rPr>
              <w:t xml:space="preserve">O</w:t>
            </w:r>
            <w:r>
              <w:t xml:space="preserve"> </w:t>
            </w:r>
            <w:r>
              <w:t xml:space="preserve">association energy, 1.43 eV (0.78 eV from the second shell), labelled not a dilute-limit value. Recomputed from Table S4 (2.72 − 1.29; 2.07 − 1.29).</w:t>
            </w:r>
          </w:p>
        </w:tc>
      </w:tr>
      <w:tr>
        <w:tc>
          <w:tcPr/>
          <w:p>
            <w:pPr>
              <w:pStyle w:val="Compact"/>
              <w:jc w:val="left"/>
            </w:pPr>
            <w:r>
              <w:t xml:space="preserve">R4-06</w:t>
            </w:r>
          </w:p>
        </w:tc>
        <w:tc>
          <w:tcPr/>
          <w:p>
            <w:pPr>
              <w:pStyle w:val="Compact"/>
              <w:jc w:val="left"/>
            </w:pPr>
            <w:r>
              <w:t xml:space="preserve">Detailed comments: error bars and propagation</w:t>
            </w:r>
          </w:p>
        </w:tc>
        <w:tc>
          <w:tcPr/>
          <w:p>
            <w:pPr>
              <w:pStyle w:val="Compact"/>
              <w:jc w:val="left"/>
            </w:pPr>
            <w:r>
              <w:t xml:space="preserve">New §3.7 paragraph</w:t>
            </w:r>
            <w:r>
              <w:t xml:space="preserve"> </w:t>
            </w:r>
            <w:r>
              <w:t xml:space="preserve">“</w:t>
            </w:r>
            <w:r>
              <w:t xml:space="preserve">Uncertainty of the main results</w:t>
            </w:r>
            <w:r>
              <w:t xml:space="preserve">”</w:t>
            </w:r>
            <w:r>
              <w:t xml:space="preserve">, with an AUTHOR ACTION pointing to jobs 1, 3 and 4.</w:t>
            </w:r>
          </w:p>
        </w:tc>
      </w:tr>
      <w:tr>
        <w:tc>
          <w:tcPr/>
          <w:p>
            <w:pPr>
              <w:pStyle w:val="Compact"/>
              <w:jc w:val="left"/>
            </w:pPr>
            <w:r>
              <w:t xml:space="preserve">R4-07</w:t>
            </w:r>
          </w:p>
        </w:tc>
        <w:tc>
          <w:tcPr/>
          <w:p>
            <w:pPr>
              <w:pStyle w:val="Compact"/>
              <w:jc w:val="left"/>
            </w:pPr>
            <w:r>
              <w:t xml:space="preserve">W5, Q6, Q11: chemical potentials, Rb configurations, competing phases</w:t>
            </w:r>
          </w:p>
        </w:tc>
        <w:tc>
          <w:tcPr/>
          <w:p>
            <w:pPr>
              <w:pStyle w:val="Compact"/>
              <w:jc w:val="left"/>
            </w:pPr>
            <w:r>
              <w:t xml:space="preserve">§4.2 gives E</w:t>
            </w:r>
            <w:r>
              <w:rPr>
                <w:vertAlign w:val="subscript"/>
              </w:rPr>
              <w:t xml:space="preserve">f</w:t>
            </w:r>
            <w:r>
              <w:t xml:space="preserve">(Pr) = 1.29 eV + Δμ</w:t>
            </w:r>
            <w:r>
              <w:rPr>
                <w:vertAlign w:val="subscript"/>
              </w:rPr>
              <w:t xml:space="preserve">O</w:t>
            </w:r>
            <w:r>
              <w:t xml:space="preserve"> </w:t>
            </w:r>
            <w:r>
              <w:t xml:space="preserve">and says Rb is negative at every μ</w:t>
            </w:r>
            <w:r>
              <w:rPr>
                <w:vertAlign w:val="subscript"/>
              </w:rPr>
              <w:t xml:space="preserve">O</w:t>
            </w:r>
            <w:r>
              <w:t xml:space="preserve"> </w:t>
            </w:r>
            <w:r>
              <w:t xml:space="preserve">where TiO</w:t>
            </w:r>
            <w:r>
              <w:rPr>
                <w:vertAlign w:val="subscript"/>
              </w:rPr>
              <w:t xml:space="preserve">2</w:t>
            </w:r>
            <w:r>
              <w:t xml:space="preserve"> </w:t>
            </w:r>
            <w:r>
              <w:t xml:space="preserve">exists, and that Rb substitution itself was not evaluated. Limitation (ix) adds competing Pr/Rb oxides and O</w:t>
            </w:r>
            <w:r>
              <w:rPr>
                <w:vertAlign w:val="subscript"/>
              </w:rPr>
              <w:t xml:space="preserve">2</w:t>
            </w:r>
            <w:r>
              <w:t xml:space="preserve"> </w:t>
            </w:r>
            <w:r>
              <w:t xml:space="preserve">overbinding; (x) adds Rb interstitials and surface sites.</w:t>
            </w:r>
          </w:p>
        </w:tc>
      </w:tr>
      <w:tr>
        <w:tc>
          <w:tcPr/>
          <w:p>
            <w:pPr>
              <w:pStyle w:val="Compact"/>
              <w:jc w:val="left"/>
            </w:pPr>
            <w:r>
              <w:t xml:space="preserve">R4-08</w:t>
            </w:r>
          </w:p>
        </w:tc>
        <w:tc>
          <w:tcPr/>
          <w:p>
            <w:pPr>
              <w:pStyle w:val="Compact"/>
              <w:jc w:val="left"/>
            </w:pPr>
            <w:r>
              <w:t xml:space="preserve">Grammar</w:t>
            </w:r>
          </w:p>
        </w:tc>
        <w:tc>
          <w:tcPr/>
          <w:p>
            <w:pPr>
              <w:pStyle w:val="Compact"/>
              <w:jc w:val="left"/>
            </w:pPr>
            <w:r>
              <w:t xml:space="preserve">Limitation (ix) comma splice fixed.</w:t>
            </w:r>
          </w:p>
        </w:tc>
      </w:tr>
      <w:tr>
        <w:tc>
          <w:tcPr/>
          <w:p>
            <w:pPr>
              <w:pStyle w:val="Compact"/>
              <w:jc w:val="left"/>
            </w:pPr>
            <w:r>
              <w:t xml:space="preserve">R4-09</w:t>
            </w:r>
          </w:p>
        </w:tc>
        <w:tc>
          <w:tcPr/>
          <w:p>
            <w:pPr>
              <w:pStyle w:val="Compact"/>
              <w:jc w:val="left"/>
            </w:pPr>
            <w:r>
              <w:t xml:space="preserve">W7: revision note and markers visible</w:t>
            </w:r>
          </w:p>
        </w:tc>
        <w:tc>
          <w:tcPr/>
          <w:p>
            <w:pPr>
              <w:pStyle w:val="Compact"/>
              <w:jc w:val="left"/>
            </w:pPr>
            <w:r>
              <w:rPr>
                <w:rStyle w:val="VerbatimChar"/>
              </w:rPr>
              <w:t xml:space="preserve">tools_package.sh</w:t>
            </w:r>
            <w:r>
              <w:t xml:space="preserve"> </w:t>
            </w:r>
            <w:r>
              <w:t xml:space="preserve">builds the journal copies without the manuscript and SI revision notes (verified: 0 left in both .docx).</w:t>
            </w:r>
          </w:p>
        </w:tc>
      </w:tr>
      <w:tr>
        <w:tc>
          <w:tcPr/>
          <w:p>
            <w:pPr>
              <w:pStyle w:val="Compact"/>
              <w:jc w:val="left"/>
            </w:pPr>
            <w:r>
              <w:t xml:space="preserve">R4-10</w:t>
            </w:r>
          </w:p>
        </w:tc>
        <w:tc>
          <w:tcPr/>
          <w:p>
            <w:pPr>
              <w:pStyle w:val="Compact"/>
              <w:jc w:val="left"/>
            </w:pPr>
            <w:r>
              <w:t xml:space="preserve">Reproducibility (found while packaging)</w:t>
            </w:r>
          </w:p>
        </w:tc>
        <w:tc>
          <w:tcPr/>
          <w:p>
            <w:pPr>
              <w:pStyle w:val="Compact"/>
              <w:jc w:val="left"/>
            </w:pPr>
            <w:r>
              <w:t xml:space="preserve">The Zenodo folder shipped the figure data as</w:t>
            </w:r>
            <w:r>
              <w:t xml:space="preserve"> </w:t>
            </w:r>
            <w:r>
              <w:rPr>
                <w:rStyle w:val="VerbatimChar"/>
              </w:rPr>
              <w:t xml:space="preserve">figure_data/</w:t>
            </w:r>
            <w:r>
              <w:t xml:space="preserve"> </w:t>
            </w:r>
            <w:r>
              <w:t xml:space="preserve">while the scripts read</w:t>
            </w:r>
            <w:r>
              <w:t xml:space="preserve"> </w:t>
            </w:r>
            <w:r>
              <w:rPr>
                <w:rStyle w:val="VerbatimChar"/>
              </w:rPr>
              <w:t xml:space="preserve">data/</w:t>
            </w:r>
            <w:r>
              <w:t xml:space="preserve">; renamed, and all four plotting scripts run from a clean copy.</w:t>
            </w:r>
          </w:p>
        </w:tc>
      </w:tr>
      <w:tr>
        <w:tc>
          <w:tcPr/>
          <w:p>
            <w:pPr>
              <w:pStyle w:val="Compact"/>
              <w:jc w:val="left"/>
            </w:pPr>
            <w:r>
              <w:t xml:space="preserve">R4-11</w:t>
            </w:r>
          </w:p>
        </w:tc>
        <w:tc>
          <w:tcPr/>
          <w:p>
            <w:pPr>
              <w:pStyle w:val="Compact"/>
              <w:jc w:val="left"/>
            </w:pPr>
            <w:r>
              <w:t xml:space="preserve">Q1–Q3, Q7, Q2, Q4</w:t>
            </w:r>
          </w:p>
        </w:tc>
        <w:tc>
          <w:tcPr/>
          <w:p>
            <w:pPr>
              <w:pStyle w:val="Compact"/>
              <w:jc w:val="left"/>
            </w:pPr>
            <w:r>
              <w:t xml:space="preserve">QE inputs, launcher and analysis script for the requested calculations written to</w:t>
            </w:r>
            <w:r>
              <w:t xml:space="preserve"> </w:t>
            </w:r>
            <w:r>
              <w:rPr>
                <w:rStyle w:val="VerbatimChar"/>
              </w:rPr>
              <w:t xml:space="preserve">revision_calculations/</w:t>
            </w:r>
            <w:r>
              <w:t xml:space="preserve"> </w:t>
            </w:r>
            <w:r>
              <w:t xml:space="preserve">(jobs 1–10 plus 7b; see its README). Reviewed: the seeded-oxygen species label changed from</w:t>
            </w:r>
            <w:r>
              <w:t xml:space="preserve"> </w:t>
            </w:r>
            <w:r>
              <w:t xml:space="preserve">“</w:t>
            </w:r>
            <w:r>
              <w:t xml:space="preserve">Oh</w:t>
            </w:r>
            <w:r>
              <w:t xml:space="preserve">”</w:t>
            </w:r>
            <w:r>
              <w:t xml:space="preserve"> </w:t>
            </w:r>
            <w:r>
              <w:t xml:space="preserve">to</w:t>
            </w:r>
            <w:r>
              <w:t xml:space="preserve"> </w:t>
            </w:r>
            <w:r>
              <w:t xml:space="preserve">“</w:t>
            </w:r>
            <w:r>
              <w:t xml:space="preserve">O1</w:t>
            </w:r>
            <w:r>
              <w:t xml:space="preserve">”</w:t>
            </w:r>
            <w:r>
              <w:t xml:space="preserve"> </w:t>
            </w:r>
            <w:r>
              <w:t xml:space="preserve">(element symbol plus digit, the documented form). A dry run against stand-in production outputs built 37 inputs; nat, ntyp, species, starting-magnetisation indices and HUBBARD labels are consistent in all of them. Wall times re-based on SI Table S6 (P1: 26 runs, 4–8 days).</w:t>
            </w:r>
          </w:p>
        </w:tc>
      </w:tr>
    </w:tbl>
    <w:p>
      <w:pPr>
        <w:pStyle w:val="BodyText"/>
      </w:pPr>
      <w:r>
        <w:t xml:space="preserve">References: the manuscript now cites 50 entries (four added). Abstract still 248 words. The 26 ledger checks pass. Markers: manuscript 35 AUTHOR ACTION + 1 NEEDS CITATION (one added, R4-06); SI 21.</w:t>
      </w:r>
    </w:p>
    <w:bookmarkEnd w:id="27"/>
    <w:bookmarkStart w:id="28" w:name="Xe65ed3cbc8c9a7e8321589205512fcb6eb55aa3"/>
    <w:p>
      <w:pPr>
        <w:pStyle w:val="Heading2"/>
      </w:pPr>
      <w:r>
        <w:t xml:space="preserve">Round 5: resolution of the remaining author notes (4 October 2026)</w:t>
      </w:r>
    </w:p>
    <w:p>
      <w:pPr>
        <w:pStyle w:val="FirstParagraph"/>
      </w:pPr>
      <w:r>
        <w:t xml:space="preserve">The authors asked that the open notes be resolved directly. Each was either filled from the run spreadsheet, the progress report and the input templates already supplied, or converted into an explicit statement of what was not recorded. One note (Funding) remains, because only the authors can write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Item</w:t>
            </w:r>
          </w:p>
        </w:tc>
        <w:tc>
          <w:tcPr/>
          <w:p>
            <w:pPr>
              <w:pStyle w:val="Compact"/>
              <w:jc w:val="left"/>
            </w:pPr>
            <w:r>
              <w:t xml:space="preserve">Resolution</w:t>
            </w:r>
          </w:p>
        </w:tc>
      </w:tr>
      <w:tr>
        <w:tc>
          <w:tcPr/>
          <w:p>
            <w:pPr>
              <w:pStyle w:val="Compact"/>
              <w:jc w:val="left"/>
            </w:pPr>
            <w:r>
              <w:t xml:space="preserve">R5-01</w:t>
            </w:r>
          </w:p>
        </w:tc>
        <w:tc>
          <w:tcPr/>
          <w:p>
            <w:pPr>
              <w:pStyle w:val="Compact"/>
              <w:jc w:val="left"/>
            </w:pPr>
            <w:r>
              <w:t xml:space="preserve">Was the production Pristine_perfect energy relaxed?</w:t>
            </w:r>
          </w:p>
        </w:tc>
        <w:tc>
          <w:tcPr/>
          <w:p>
            <w:pPr>
              <w:pStyle w:val="Compact"/>
              <w:jc w:val="left"/>
            </w:pPr>
            <w:r>
              <w:t xml:space="preserve">No: the run spreadsheet and the progress report list it as an SCF with F</w:t>
            </w:r>
            <w:r>
              <w:rPr>
                <w:vertAlign w:val="subscript"/>
              </w:rPr>
              <w:t xml:space="preserve">max</w:t>
            </w:r>
            <w:r>
              <w:t xml:space="preserve"> </w:t>
            </w:r>
            <w:r>
              <w:t xml:space="preserve">0.0225 Ry/Bohr, and its logged eV value converts to −4275.01530 Ry. Stated in §2.6; the pristine E</w:t>
            </w:r>
            <w:r>
              <w:rPr>
                <w:vertAlign w:val="subscript"/>
              </w:rPr>
              <w:t xml:space="preserve">f</w:t>
            </w:r>
            <w:r>
              <w:t xml:space="preserve"> </w:t>
            </w:r>
            <w:r>
              <w:t xml:space="preserve">and the two reductions are now labelled lower bounds (Abstract, Table 2 footnote b, §3.2, §4.1, §4.2, Limitation (iv), Conclusions, Highlights, cover letter, graphical abstract). Job 0 added to</w:t>
            </w:r>
            <w:r>
              <w:t xml:space="preserve"> </w:t>
            </w:r>
            <w:r>
              <w:rPr>
                <w:rStyle w:val="VerbatimChar"/>
              </w:rPr>
              <w:t xml:space="preserve">revision_calculations/</w:t>
            </w:r>
            <w:r>
              <w:t xml:space="preserve"> </w:t>
            </w:r>
            <w:r>
              <w:t xml:space="preserve">(relaxation of the cell).</w:t>
            </w:r>
          </w:p>
        </w:tc>
      </w:tr>
      <w:tr>
        <w:tc>
          <w:tcPr/>
          <w:p>
            <w:pPr>
              <w:pStyle w:val="Compact"/>
              <w:jc w:val="left"/>
            </w:pPr>
            <w:r>
              <w:t xml:space="preserve">R5-02</w:t>
            </w:r>
          </w:p>
        </w:tc>
        <w:tc>
          <w:tcPr/>
          <w:p>
            <w:pPr>
              <w:pStyle w:val="Compact"/>
              <w:jc w:val="left"/>
            </w:pPr>
            <w:r>
              <w:t xml:space="preserve">[NEEDS CITATION] for the 200–1000 lx claim</w:t>
            </w:r>
          </w:p>
        </w:tc>
        <w:tc>
          <w:tcPr/>
          <w:p>
            <w:pPr>
              <w:pStyle w:val="Compact"/>
              <w:jc w:val="left"/>
            </w:pPr>
            <w:r>
              <w:t xml:space="preserve">Pecunia et al. could not be read from this environment (Wiley, Crossref and Semantic Scholar are blocked; Scite, Scholar Gateway and Consensus quotas exhausted; not in Drive). The sentence now makes the general point without the figure: indoor light is orders of magnitude weaker than sunlight, so V</w:t>
            </w:r>
            <w:r>
              <w:rPr>
                <w:vertAlign w:val="subscript"/>
              </w:rPr>
              <w:t xml:space="preserve">oc</w:t>
            </w:r>
            <w:r>
              <w:t xml:space="preserve"> </w:t>
            </w:r>
            <w:r>
              <w:t xml:space="preserve">is sensitive to non-radiative recombination. Pecunia remains cited for indoor PV as a battery replacement.</w:t>
            </w:r>
          </w:p>
        </w:tc>
      </w:tr>
      <w:tr>
        <w:tc>
          <w:tcPr/>
          <w:p>
            <w:pPr>
              <w:pStyle w:val="Compact"/>
              <w:jc w:val="left"/>
            </w:pPr>
            <w:r>
              <w:t xml:space="preserve">R5-03</w:t>
            </w:r>
          </w:p>
        </w:tc>
        <w:tc>
          <w:tcPr/>
          <w:p>
            <w:pPr>
              <w:pStyle w:val="Compact"/>
              <w:jc w:val="left"/>
            </w:pPr>
            <w:r>
              <w:t xml:space="preserve">HSE06 settings</w:t>
            </w:r>
          </w:p>
        </w:tc>
        <w:tc>
          <w:tcPr/>
          <w:p>
            <w:pPr>
              <w:pStyle w:val="Compact"/>
              <w:jc w:val="left"/>
            </w:pPr>
            <w:r>
              <w:t xml:space="preserve">input_dft =</w:t>
            </w:r>
            <w:r>
              <w:t xml:space="preserve"> </w:t>
            </w:r>
            <w:r>
              <w:t xml:space="preserve">‘</w:t>
            </w:r>
            <w:r>
              <w:t xml:space="preserve">hse</w:t>
            </w:r>
            <w:r>
              <w:t xml:space="preserve">’</w:t>
            </w:r>
            <w:r>
              <w:t xml:space="preserve">, exx_fraction = 0.25, screening_parameter = 0.106 Bohr</w:t>
            </w:r>
            <w:r>
              <w:rPr>
                <w:vertAlign w:val="superscript"/>
              </w:rPr>
              <w:t xml:space="preserve">−1</w:t>
            </w:r>
            <w:r>
              <w:t xml:space="preserve"> </w:t>
            </w:r>
            <w:r>
              <w:t xml:space="preserve">and the same PAW datasets are recorded in the run spreadsheet; stated in §2.8(iii), with the reason the hybrid and PBE+U totals are not comparable (no Hubbard term; EXX from pseudo-wavefunctions). The qualitative outcome is kept in §3.6.</w:t>
            </w:r>
          </w:p>
        </w:tc>
      </w:tr>
      <w:tr>
        <w:tc>
          <w:tcPr/>
          <w:p>
            <w:pPr>
              <w:pStyle w:val="Compact"/>
              <w:jc w:val="left"/>
            </w:pPr>
            <w:r>
              <w:t xml:space="preserve">R5-04</w:t>
            </w:r>
          </w:p>
        </w:tc>
        <w:tc>
          <w:tcPr/>
          <w:p>
            <w:pPr>
              <w:pStyle w:val="Compact"/>
              <w:jc w:val="left"/>
            </w:pPr>
            <w:r>
              <w:t xml:space="preserve">Dual-U Rb energies logged in eV</w:t>
            </w:r>
          </w:p>
        </w:tc>
        <w:tc>
          <w:tcPr/>
          <w:p>
            <w:pPr>
              <w:pStyle w:val="Compact"/>
              <w:jc w:val="left"/>
            </w:pPr>
            <w:r>
              <w:t xml:space="preserve">The spreadsheet’s factor (13.605693 eV/Ry) reproduces the four production cells logged in both units to 0.0006 eV; the dual-U energies are converted (−4324.98591 and −4284.02974 Ry) in §3.4, Tables S5 and S9 and the ledger, with two new ledger checks. m</w:t>
            </w:r>
            <w:r>
              <w:rPr>
                <w:vertAlign w:val="subscript"/>
              </w:rPr>
              <w:t xml:space="preserve">abs</w:t>
            </w:r>
            <w:r>
              <w:t xml:space="preserve"> </w:t>
            </w:r>
            <w:r>
              <w:t xml:space="preserve">not recorded.</w:t>
            </w:r>
          </w:p>
        </w:tc>
      </w:tr>
      <w:tr>
        <w:tc>
          <w:tcPr/>
          <w:p>
            <w:pPr>
              <w:pStyle w:val="Compact"/>
              <w:jc w:val="left"/>
            </w:pPr>
            <w:r>
              <w:t xml:space="preserve">R5-05</w:t>
            </w:r>
          </w:p>
        </w:tc>
        <w:tc>
          <w:tcPr/>
          <w:p>
            <w:pPr>
              <w:pStyle w:val="Compact"/>
              <w:jc w:val="left"/>
            </w:pPr>
            <w:r>
              <w:t xml:space="preserve">Bader dopant charges inconsistent with the sum rule</w:t>
            </w:r>
          </w:p>
        </w:tc>
        <w:tc>
          <w:tcPr/>
          <w:p>
            <w:pPr>
              <w:pStyle w:val="Compact"/>
              <w:jc w:val="left"/>
            </w:pPr>
            <w:r>
              <w:t xml:space="preserve">The run-note values (+2.14, +0.82 e) are replaced by the values implied by the recorded totals and sublattice means (+2.04 ± 0.03, +0.87 ± 0.03 e), with the derivation in Table S3; the pp.x density is identified as the valence pseudo-density (plot_num = 0).</w:t>
            </w:r>
          </w:p>
        </w:tc>
      </w:tr>
      <w:tr>
        <w:tc>
          <w:tcPr/>
          <w:p>
            <w:pPr>
              <w:pStyle w:val="Compact"/>
              <w:jc w:val="left"/>
            </w:pPr>
            <w:r>
              <w:t xml:space="preserve">R5-06</w:t>
            </w:r>
          </w:p>
        </w:tc>
        <w:tc>
          <w:tcPr/>
          <w:p>
            <w:pPr>
              <w:pStyle w:val="Compact"/>
              <w:jc w:val="left"/>
            </w:pPr>
            <w:r>
              <w:t xml:space="preserve">Figure S3 (raster-patched interim artwork)</w:t>
            </w:r>
          </w:p>
        </w:tc>
        <w:tc>
          <w:tcPr/>
          <w:p>
            <w:pPr>
              <w:pStyle w:val="Compact"/>
              <w:jc w:val="left"/>
            </w:pPr>
            <w:r>
              <w:t xml:space="preserve">Removed with Section S11; the final forces are in the text and the BFGS histories are in the deposited outputs. The patched files moved to</w:t>
            </w:r>
            <w:r>
              <w:t xml:space="preserve"> </w:t>
            </w:r>
            <w:r>
              <w:rPr>
                <w:rStyle w:val="VerbatimChar"/>
              </w:rPr>
              <w:t xml:space="preserve">figures/superseded/</w:t>
            </w:r>
            <w:r>
              <w:t xml:space="preserve">.</w:t>
            </w:r>
          </w:p>
        </w:tc>
      </w:tr>
      <w:tr>
        <w:tc>
          <w:tcPr/>
          <w:p>
            <w:pPr>
              <w:pStyle w:val="Compact"/>
              <w:jc w:val="left"/>
            </w:pPr>
            <w:r>
              <w:t xml:space="preserve">R5-07</w:t>
            </w:r>
          </w:p>
        </w:tc>
        <w:tc>
          <w:tcPr/>
          <w:p>
            <w:pPr>
              <w:pStyle w:val="Compact"/>
              <w:jc w:val="left"/>
            </w:pPr>
            <w:r>
              <w:t xml:space="preserve">AI declaration</w:t>
            </w:r>
          </w:p>
        </w:tc>
        <w:tc>
          <w:tcPr/>
          <w:p>
            <w:pPr>
              <w:pStyle w:val="Compact"/>
              <w:jc w:val="left"/>
            </w:pPr>
            <w:r>
              <w:t xml:space="preserve">Reworded to the facts: text editing, consistency checks, Python plotting scripts; no image generated or altered.</w:t>
            </w:r>
          </w:p>
        </w:tc>
      </w:tr>
      <w:tr>
        <w:tc>
          <w:tcPr/>
          <w:p>
            <w:pPr>
              <w:pStyle w:val="Compact"/>
              <w:jc w:val="left"/>
            </w:pPr>
            <w:r>
              <w:t xml:space="preserve">R5-08</w:t>
            </w:r>
          </w:p>
        </w:tc>
        <w:tc>
          <w:tcPr/>
          <w:p>
            <w:pPr>
              <w:pStyle w:val="Compact"/>
              <w:jc w:val="left"/>
            </w:pPr>
            <w:r>
              <w:t xml:space="preserve">Data availability</w:t>
            </w:r>
          </w:p>
        </w:tc>
        <w:tc>
          <w:tcPr/>
          <w:p>
            <w:pPr>
              <w:pStyle w:val="Compact"/>
              <w:jc w:val="left"/>
            </w:pPr>
            <w:r>
              <w:t xml:space="preserve">“</w:t>
            </w:r>
            <w:r>
              <w:t xml:space="preserve">Available from the corresponding author on request; deposited at Zenodo with a DOI on acceptance.</w:t>
            </w:r>
            <w:r>
              <w:t xml:space="preserve">”</w:t>
            </w:r>
            <w:r>
              <w:t xml:space="preserve"> </w:t>
            </w:r>
            <w:r>
              <w:t xml:space="preserve">A DOI can replace it if the deposit is made first.</w:t>
            </w:r>
          </w:p>
        </w:tc>
      </w:tr>
      <w:tr>
        <w:tc>
          <w:tcPr/>
          <w:p>
            <w:pPr>
              <w:pStyle w:val="Compact"/>
              <w:jc w:val="left"/>
            </w:pPr>
            <w:r>
              <w:t xml:space="preserve">R5-09</w:t>
            </w:r>
          </w:p>
        </w:tc>
        <w:tc>
          <w:tcPr/>
          <w:p>
            <w:pPr>
              <w:pStyle w:val="Compact"/>
              <w:jc w:val="left"/>
            </w:pPr>
            <w:r>
              <w:t xml:space="preserve">Run 25 identity</w:t>
            </w:r>
          </w:p>
        </w:tc>
        <w:tc>
          <w:tcPr/>
          <w:p>
            <w:pPr>
              <w:pStyle w:val="Compact"/>
              <w:jc w:val="left"/>
            </w:pPr>
            <w:r>
              <w:t xml:space="preserve">Lies 0.114 eV above run 4, consistent with an earlier step of the restarted Pr_VO relaxation; stated under Table S9 with a new ledger check.</w:t>
            </w:r>
          </w:p>
        </w:tc>
      </w:tr>
      <w:tr>
        <w:tc>
          <w:tcPr/>
          <w:p>
            <w:pPr>
              <w:pStyle w:val="Compact"/>
              <w:jc w:val="left"/>
            </w:pPr>
            <w:r>
              <w:t xml:space="preserve">R5-10</w:t>
            </w:r>
          </w:p>
        </w:tc>
        <w:tc>
          <w:tcPr/>
          <w:p>
            <w:pPr>
              <w:pStyle w:val="Compact"/>
              <w:jc w:val="left"/>
            </w:pPr>
            <w:r>
              <w:t xml:space="preserve">Settings not recoverable from the files at hand</w:t>
            </w:r>
          </w:p>
        </w:tc>
        <w:tc>
          <w:tcPr/>
          <w:p>
            <w:pPr>
              <w:pStyle w:val="Compact"/>
              <w:jc w:val="left"/>
            </w:pPr>
            <w:r>
              <w:t xml:space="preserve">Stated as</w:t>
            </w:r>
            <w:r>
              <w:t xml:space="preserve"> </w:t>
            </w:r>
            <w:r>
              <w:t xml:space="preserve">“</w:t>
            </w:r>
            <w:r>
              <w:t xml:space="preserve">not recorded / not extracted / not re-inspected</w:t>
            </w:r>
            <w:r>
              <w:t xml:space="preserve">”</w:t>
            </w:r>
            <w:r>
              <w:t xml:space="preserve">: degauss and etot_conv_thr of the production inputs, −TS terms (with an order-of-magnitude estimate), nosym and magnetisation constraints (absent from templates and run log), vc-relax k-mesh/cut-off/stress, Pr dataset MD5, Pr_VO geometry and vacancy confirmation, Pristine_VO E</w:t>
            </w:r>
            <w:r>
              <w:rPr>
                <w:vertAlign w:val="subscript"/>
              </w:rPr>
              <w:t xml:space="preserve">F</w:t>
            </w:r>
            <w:r>
              <w:t xml:space="preserve"> </w:t>
            </w:r>
            <w:r>
              <w:t xml:space="preserve">and m</w:t>
            </w:r>
            <w:r>
              <w:rPr>
                <w:vertAlign w:val="subscript"/>
              </w:rPr>
              <w:t xml:space="preserve">abs</w:t>
            </w:r>
            <w:r>
              <w:t xml:space="preserve">, m</w:t>
            </w:r>
            <w:r>
              <w:rPr>
                <w:vertAlign w:val="subscript"/>
              </w:rPr>
              <w:t xml:space="preserve">abs</w:t>
            </w:r>
            <w:r>
              <w:t xml:space="preserve"> </w:t>
            </w:r>
            <w:r>
              <w:t xml:space="preserve">at q = +1, occupation numbers, PDOS-SCF total energy, diago_full_acc rerun, wall times.</w:t>
            </w:r>
          </w:p>
        </w:tc>
      </w:tr>
      <w:tr>
        <w:tc>
          <w:tcPr/>
          <w:p>
            <w:pPr>
              <w:pStyle w:val="Compact"/>
              <w:jc w:val="left"/>
            </w:pPr>
            <w:r>
              <w:t xml:space="preserve">R5-11</w:t>
            </w:r>
          </w:p>
        </w:tc>
        <w:tc>
          <w:tcPr/>
          <w:p>
            <w:pPr>
              <w:pStyle w:val="Compact"/>
              <w:jc w:val="left"/>
            </w:pPr>
            <w:r>
              <w:t xml:space="preserve">Notes pointing to optional calculations</w:t>
            </w:r>
          </w:p>
        </w:tc>
        <w:tc>
          <w:tcPr/>
          <w:p>
            <w:pPr>
              <w:pStyle w:val="Compact"/>
              <w:jc w:val="left"/>
            </w:pPr>
            <w:r>
              <w:t xml:space="preserve">Deleted; the corresponding limitation sentences already stand, and the inputs are in</w:t>
            </w:r>
            <w:r>
              <w:t xml:space="preserve"> </w:t>
            </w:r>
            <w:r>
              <w:rPr>
                <w:rStyle w:val="VerbatimChar"/>
              </w:rPr>
              <w:t xml:space="preserve">revision_calculations/</w:t>
            </w:r>
            <w:r>
              <w:t xml:space="preserve">.</w:t>
            </w:r>
          </w:p>
        </w:tc>
      </w:tr>
      <w:tr>
        <w:tc>
          <w:tcPr/>
          <w:p>
            <w:pPr>
              <w:pStyle w:val="Compact"/>
              <w:jc w:val="left"/>
            </w:pPr>
            <w:r>
              <w:t xml:space="preserve">R5-12</w:t>
            </w:r>
          </w:p>
        </w:tc>
        <w:tc>
          <w:tcPr/>
          <w:p>
            <w:pPr>
              <w:pStyle w:val="Compact"/>
              <w:jc w:val="left"/>
            </w:pPr>
            <w:r>
              <w:t xml:space="preserve">Output file names</w:t>
            </w:r>
          </w:p>
        </w:tc>
        <w:tc>
          <w:tcPr/>
          <w:p>
            <w:pPr>
              <w:pStyle w:val="Compact"/>
              <w:jc w:val="left"/>
            </w:pPr>
            <w:r>
              <w:t xml:space="preserve">Those recorded in the run log are listed under Table S9.</w:t>
            </w:r>
          </w:p>
        </w:tc>
      </w:tr>
    </w:tbl>
    <w:p>
      <w:pPr>
        <w:pStyle w:val="BodyText"/>
      </w:pPr>
      <w:r>
        <w:t xml:space="preserve">R5-13 | Funding statement | Supplied by the authors:</w:t>
      </w:r>
      <w:r>
        <w:t xml:space="preserve"> </w:t>
      </w:r>
      <w:r>
        <w:t xml:space="preserve">“</w:t>
      </w:r>
      <w:r>
        <w:t xml:space="preserve">This work was supported by the Universiti Malaya Research Grant [grant number RU004-2025H].</w:t>
      </w:r>
      <w:r>
        <w:t xml:space="preserve">”</w:t>
      </w:r>
      <w:r>
        <w:t xml:space="preserve"> </w:t>
      </w:r>
      <w:r>
        <w:t xml:space="preserve">|</w:t>
      </w:r>
    </w:p>
    <w:p>
      <w:pPr>
        <w:pStyle w:val="BodyText"/>
      </w:pPr>
      <w:r>
        <w:t xml:space="preserve">State after round 5: manuscript 0 AUTHOR ACTION, 0 NEEDS CITATION; SI 0 (the revision notes, removed at packaging, are not counted). Abstract 250 words. 29 ledger checks pass. The submission package is complete.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2026-10-05T07:50:45Z</dcterms:created>
  <dcterms:modified xsi:type="dcterms:W3CDTF">2026-10-05T07:50:45Z</dcterms:modified>
</cp:coreProperties>
</file>

<file path=docProps/custom.xml><?xml version="1.0" encoding="utf-8"?>
<Properties xmlns="http://schemas.openxmlformats.org/officeDocument/2006/custom-properties" xmlns:vt="http://schemas.openxmlformats.org/officeDocument/2006/docPropsVTypes"/>
</file>