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from which the Rb ion has moved 1.27 Å towards the vacancy. The oxygen with the yellow ring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Blue: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which start from scratch and therefore include small offsets from the relaxation endpoints (Section 3.7); the 2×2×2 formation-energy cycles are given in Table S2b.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a</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b</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Relaxed in this work (Section 2.6); the single point on unrelaxed positions gives +4.74 eV. </w:t>
      </w:r>
      <w:r w:rsidRPr="004E6412">
        <w:rPr>
          <w:rFonts w:asciiTheme="majorBidi" w:hAnsiTheme="majorBidi" w:cstheme="majorBidi"/>
          <w:i/>
          <w:iCs/>
          <w:vertAlign w:val="superscript"/>
        </w:rPr>
        <w:t>b</w:t>
      </w:r>
      <w:r w:rsidRPr="004E6412">
        <w:rPr>
          <w:rFonts w:asciiTheme="majorBidi" w:hAnsiTheme="majorBidi" w:cstheme="majorBidi"/>
          <w:i/>
          <w:iCs/>
        </w:rPr>
        <w:t xml:space="preserve"> The 2×2×2 pristine value uses the single point of the unrelaxed pristine perfect cell (Table S2a), whose relaxation energy at Γ is −9 meV.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(Table 2); the arrow marks the Pr–Rb contrast, Δ = 5.36 eV. Both substitutions lower the formation energy relative to pristine; the Pr cell stays </w:t>
      </w:r>
      <w:r w:rsidRPr="004E6412">
        <w:rPr>
          <w:rFonts w:asciiTheme="majorBidi" w:hAnsiTheme="majorBidi" w:cstheme="majorBidi"/>
          <w:i/>
          <w:iCs/>
        </w:rPr>
        <w:lastRenderedPageBreak/>
        <w:t>positive and the Rb cell becomes negative. Single points at 2×2×2 on the Γ geometries give +1.19 eV (Pr) and −4.20 eV (Rb), and +4.95 eV for pristine on the unrelaxed perfect cell (Table 2); with narrower smearing the lowest-energy spin solutions give +0.99 eV (Pr) and −4.13 eV (Rb) (σ → 0 estimates; Section 3.3, Table S11).</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(5.113 eV from the unrounded totals;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51066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510667"/>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red: O-2p summed over 31 O; orange (dashed):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J. Chem. Phys. 2020, 153, 204704. DOI: 10.1063/5.0030658.</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