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4130b035dd8d16fa6e7f928145f948a07df62b3"/>
    <w:p>
      <w:pPr>
        <w:pStyle w:val="Heading1"/>
      </w:pPr>
      <w:r>
        <w:t xml:space="preserve">Oxygen-Vacancy Energetics and Hole Localisation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are a recognised source of trap-assisted recombination, and aliovalent substitution is the usual lever for controlling them, yet trivalent rare-earth and monovalent alkali dopants have rarely been compared in the same host with the same protocol. Here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both substitutions lower the cost of oxygen removal, the Pr cell remains uphill and the Rb cell is downhill, a 5.36 eV contrast that changes by only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The Rb cells carry unpaired spin in every treatment tested, and the absolute magnetisation of the vacancy cell reaches 2.99 μ</w:t>
      </w:r>
      <w:r>
        <w:rPr>
          <w:vertAlign w:val="subscript"/>
        </w:rPr>
        <w:t xml:space="preserve">B</w:t>
      </w:r>
      <w:r>
        <w:t xml:space="preserve"> </w:t>
      </w:r>
      <w:r>
        <w:t xml:space="preserve">when doubly ionised, consistent with three holes per Rb. The Pr cells converge to non-magnetic smeared solutions with U on Ti-3d only, but the vacancy-free Pr cell develops a localised hole (1.00 μ</w:t>
      </w:r>
      <w:r>
        <w:rPr>
          <w:vertAlign w:val="subscript"/>
        </w:rPr>
        <w:t xml:space="preserve">B</w:t>
      </w:r>
      <w:r>
        <w:t xml:space="preserve">) when an oxygen-2p Hubbard term is added, so hole localisation in Pr-substituted anatase is method dependent. The results are consistent with charge-compensation control of V</w:t>
      </w:r>
      <w:r>
        <w:rPr>
          <w:vertAlign w:val="subscript"/>
        </w:rPr>
        <w:t xml:space="preserve">O</w:t>
      </w:r>
      <w:r>
        <w:t xml:space="preserve"> </w:t>
      </w:r>
      <w:r>
        <w:t xml:space="preserve">energetics in this host, while the two-dopant design does not separate oxidation state from ionic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 and wide-gap absorbers such as CsPbBr</w:t>
      </w:r>
      <w:r>
        <w:rPr>
          <w:vertAlign w:val="subscript"/>
        </w:rPr>
        <w:t xml:space="preserve">3</w:t>
      </w:r>
      <w:r>
        <w:t xml:space="preserve"> </w:t>
      </w:r>
      <w:r>
        <w:t xml:space="preserve">[2] are paired with n-type oxide electron-transport layers (ETLs), most commonly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[5,6,7,8,9,10,11,12,13,14,15]. Controlling the equilibrium V</w:t>
      </w:r>
      <w:r>
        <w:rPr>
          <w:vertAlign w:val="subscript"/>
        </w:rPr>
        <w:t xml:space="preserve">O</w:t>
      </w:r>
      <w:r>
        <w:t xml:space="preserve"> </w:t>
      </w:r>
      <w:r>
        <w:t xml:space="preserve">population of an ETL is therefore a materials-design problem, and substitutional aliovalent doping is the principal lever [16,17,18,19].</w:t>
      </w:r>
    </w:p>
    <w:p>
      <w:pPr>
        <w:pStyle w:val="BodyText"/>
      </w:pPr>
      <w:r>
        <w:t xml:space="preserve">For trivalent dopants on the Ti</w:t>
      </w:r>
      <w:r>
        <w:rPr>
          <w:vertAlign w:val="superscript"/>
        </w:rPr>
        <w:t xml:space="preserve">4+</w:t>
      </w:r>
      <w:r>
        <w:t xml:space="preserve"> </w:t>
      </w:r>
      <w:r>
        <w:t xml:space="preserve">site the formal charge mismatch is −1 e per site. Several DFT+U and experimental studies of lanthanide-doped TiO</w:t>
      </w:r>
      <w:r>
        <w:rPr>
          <w:vertAlign w:val="subscript"/>
        </w:rPr>
        <w:t xml:space="preserve">2</w:t>
      </w:r>
      <w:r>
        <w:t xml:space="preserve"> </w:t>
      </w:r>
      <w:r>
        <w:t xml:space="preserve">and related oxides describe this deficit as accommodated electronically, by rehybridisation at the valence-band edge or by a change of dopant oxidation state [20,21,22,23,24]. The picture is not universal: Iwaszuk and Nolan showed for trivalent dopants in bulk rutile that oxygen-vacancy compensation can compete with, and in some cases dominate, electronic compensation [18]; the coupling between a trivalent dopant and an oxygen vacancy has been analysed for Ce-doped anatase [25] and Gd-doped CeO</w:t>
      </w:r>
      <w:r>
        <w:rPr>
          <w:vertAlign w:val="subscript"/>
        </w:rPr>
        <w:t xml:space="preserve">2</w:t>
      </w:r>
      <w:r>
        <w:t xml:space="preserve"> </w:t>
      </w:r>
      <w:r>
        <w:t xml:space="preserve">[19]; and Bahmanrokh et al. derived a general defect-equilibria formalism for Ce-doped anatase in which both channels appear [26]. Pr in particular has been treated at the anatase (101) surface [27] and in the bulk [24], and is an attractive test case because its +3 state is well defined and its ionic radius (0.99 Å in six-fold coordination [28])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[17];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[29]; and Tian et al. recently combined experiment and calculation to show that Rb doping, in synergy with lattice strain, promotes oxygen-vacancy formation in TiO</w:t>
      </w:r>
      <w:r>
        <w:rPr>
          <w:vertAlign w:val="subscript"/>
        </w:rPr>
        <w:t xml:space="preserve">2</w:t>
      </w:r>
      <w:r>
        <w:t xml:space="preserve"> </w:t>
      </w:r>
      <w:r>
        <w:t xml:space="preserve">[16].</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[30]: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test the sensitivity of the localisation picture to an oxygen-site Hubbard term, and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[31,32] using the PBE exchange–correlation functional [33] and projector-augmented-wave datasets from PSlibrary 1.0.0 [34]: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w:t>
      </w:r>
      <w:r>
        <w:t xml:space="preserve"> </w:t>
      </w:r>
      <w:r>
        <w:rPr>
          <w:bCs/>
          <w:b/>
        </w:rPr>
        <w:t xml:space="preserve">[AUTHOR ACTION: copy the exact valence configuration from the UPF header into Table 1 and Table S7.]</w:t>
      </w:r>
      <w:r>
        <w:t xml:space="preserve"> </w:t>
      </w:r>
      <w:r>
        <w:t xml:space="preserve">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+V</w:t>
      </w:r>
      <w:r>
        <w:rPr>
          <w:vertAlign w:val="subscript"/>
        </w:rPr>
        <w:t xml:space="preserve">O</w:t>
      </w:r>
      <w:r>
        <w:t xml:space="preserve"> </w:t>
      </w:r>
      <w:r>
        <w:t xml:space="preserve">and Rb</w:t>
      </w:r>
      <w:r>
        <w:rPr>
          <w:vertAlign w:val="subscript"/>
        </w:rPr>
        <w:t xml:space="preserve">Ti</w:t>
      </w:r>
      <w:r>
        <w:t xml:space="preserve">+V</w:t>
      </w:r>
      <w:r>
        <w:rPr>
          <w:vertAlign w:val="subscript"/>
        </w:rPr>
        <w:t xml:space="preserve">O</w:t>
      </w:r>
      <w:r>
        <w:t xml:space="preserve"> </w:t>
      </w:r>
      <w:r>
        <w:t xml:space="preserve">cells (376.998 and 374.998 e, Table S3) reproduce the counts in Table 1 and confirm the valence assignment.</w:t>
      </w:r>
      <w:r>
        <w:t xml:space="preserve"> </w:t>
      </w:r>
      <w:r>
        <w:rPr>
          <w:bCs/>
          <w:b/>
        </w:rPr>
        <w:t xml:space="preserve">[AUTHOR ACTION: insert the SHA-256 hashes of the four UPF files used, and copy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into Table S7.]</w:t>
      </w:r>
      <w:r>
        <w:t xml:space="preserve"> </w:t>
      </w:r>
      <w:r>
        <w:t xml:space="preserve">Kinetic-energy cut-offs of 40 Ry (wavefunctions) and 320 Ry (charge density) were used throughout. No cut-off convergence test was performed; comparable anatase defect work uses 55 Ry for the same species [14],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[35], which is the form implemented behind the HUBBARD card of Quantum ESPRESSO 7.x, was applied to the Ti-3d manifold with U</w:t>
      </w:r>
      <w:r>
        <w:rPr>
          <w:vertAlign w:val="subscript"/>
        </w:rPr>
        <w:t xml:space="preserve">eff</w:t>
      </w:r>
      <w:r>
        <w:t xml:space="preserve"> </w:t>
      </w:r>
      <w:r>
        <w:t xml:space="preserve">= 3.5 eV using ortho-atomic projectors. Deák et al. note that this value is close to an ab initio determination of U for anatase [36], and it has been used for Er-doped anatase [21] and for anatase (101) defect chemistry [7]; other anatase work uses U = 4.2 eV [14,15], a value originally fitted for the rutile (110) surface [37]. Literature U values obtained with other projector schemes are not strictly transferable to the ortho-atomic projectors used here, and the sensitivity of the present results to U is reported in Section 3.7.</w:t>
      </w:r>
      <w:r>
        <w:t xml:space="preserve"> </w:t>
      </w:r>
      <w:r>
        <w:rPr>
          <w:bCs/>
          <w:b/>
        </w:rPr>
        <w:t xml:space="preserve">[AUTHOR ACTION: verify against the full texts that Mazierski et al. and Yin et al. used U(Ti-3d) = 3.5 eV and that Deák et al. quote an ab initio anatase value near 3.5 eV.]</w:t>
      </w:r>
      <w:r>
        <w:t xml:space="preserve"> </w:t>
      </w:r>
      <w:r>
        <w:t xml:space="preserve">The DFT+U approach rests on the formulation of Anisimov et al. [38]; linear-response determination of U [39] was not performed for the dopant-containing cells.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[17],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in each doped cell is an oxygen atom in the neighbourhood of the dopant site; three alternative sites in the Pr cell are examined in Section 3.7.</w:t>
      </w:r>
      <w:r>
        <w:t xml:space="preserve"> </w:t>
      </w:r>
      <w:r>
        <w:rPr>
          <w:bCs/>
          <w:b/>
        </w:rPr>
        <w:t xml:space="preserve">[AUTHOR ACTION: state the atom index and the relaxed dopant–O distance of the production V</w:t>
      </w:r>
      <w:r>
        <w:rPr>
          <w:vertAlign w:val="subscript"/>
          <w:bCs/>
          <w:b/>
        </w:rPr>
        <w:t xml:space="preserve">O</w:t>
      </w:r>
      <w:r>
        <w:rPr>
          <w:bCs/>
          <w:b/>
        </w:rPr>
        <w:t xml:space="preserve"> </w:t>
      </w:r>
      <w:r>
        <w:rPr>
          <w:bCs/>
          <w:b/>
        </w:rPr>
        <w:t xml:space="preserve">in both cells. The earlier draft stated that the nearest-neighbour oxygen (index O3, 2.17 Å from Pr) was not tested, whereas SI Table S4 describes the production site as the closest oxygen at ≈2.17 Å; reconcile from the input files before any statement about nearest-neighbour preference is made. Also give the relaxed first-shell dopant–O bond lengths for Pr and Rb (six values each) as Table S8; note that 2.17 Å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a choice the earlier literature on anatase defect cells of comparable size has also made [15].</w:t>
      </w:r>
      <w:r>
        <w:t xml:space="preserve"> </w:t>
      </w:r>
      <w:r>
        <w:rPr>
          <w:bCs/>
          <w:b/>
        </w:rPr>
        <w:t xml:space="preserve">[AUTHOR ACTION: verify that Arrigoni and Madsen used Γ-only sampling; otherwise remove the attribution.]</w:t>
      </w:r>
      <w:r>
        <w:t xml:space="preserve"> </w:t>
      </w:r>
      <w:r>
        <w:t xml:space="preserve">Single-point total energies on the Γ-relaxed geometries were recomputed on a 2×2×2 Monkhorst–Pack mesh for all four doped cells, and the projected densities of states were obtained from non-self-consistent calculations on a 2×2×2 mesh; the k-mesh dependence of the formation-energy contrast is reported in Section 3.7. All calculations were spin-polarised (nspin = 2). Fractional occupations were treated with Gaussian smearing.</w:t>
      </w:r>
      <w:r>
        <w:t xml:space="preserve"> </w:t>
      </w:r>
      <w:r>
        <w:rPr>
          <w:bCs/>
          <w:b/>
        </w:rPr>
        <w:t xml:space="preserve">[AUTHOR ACTION: state the smearing width (degauss) used in the production relaxations; the Supporting Information records 0.005 Ry for the first pristine-V</w:t>
      </w:r>
      <w:r>
        <w:rPr>
          <w:vertAlign w:val="subscript"/>
          <w:bCs/>
          <w:b/>
        </w:rPr>
        <w:t xml:space="preserve">O</w:t>
      </w:r>
      <w:r>
        <w:rPr>
          <w:bCs/>
          <w:b/>
        </w:rPr>
        <w:t xml:space="preserve"> </w:t>
      </w:r>
      <w:r>
        <w:rPr>
          <w:bCs/>
          <w:b/>
        </w:rPr>
        <w:t xml:space="preserve">attempt and 0.01 Ry for the converged one.]</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well-localised unpaired electron both are close to 1 μ</w:t>
      </w:r>
      <w:r>
        <w:rPr>
          <w:vertAlign w:val="subscript"/>
        </w:rPr>
        <w:t xml:space="preserve">B</w:t>
      </w:r>
      <w:r>
        <w:t xml:space="preserve">; m</w:t>
      </w:r>
      <w:r>
        <w:rPr>
          <w:vertAlign w:val="subscript"/>
        </w:rPr>
        <w:t xml:space="preserve">abs</w:t>
      </w:r>
      <w:r>
        <w:t xml:space="preserve"> </w:t>
      </w:r>
      <w:r>
        <w:t xml:space="preserve">&gt; |m| indicates spin density of both signs. Production relaxations were started from a small, symmetry-breaking starting magnetisation.</w:t>
      </w:r>
      <w:r>
        <w:t xml:space="preserve"> </w:t>
      </w:r>
      <w:r>
        <w:rPr>
          <w:bCs/>
          <w:b/>
        </w:rPr>
        <w:t xml:space="preserve">[AUTHOR ACTION: state the starting_magnetization value of each species in the production inputs. Quantum ESPRESSO requires a non-zero value for at least one species in an nspin = 2 run, and Section S1 records 0.05 on both species for the pristine V</w:t>
      </w:r>
      <w:r>
        <w:rPr>
          <w:vertAlign w:val="subscript"/>
          <w:bCs/>
          <w:b/>
        </w:rPr>
        <w:t xml:space="preserve">O</w:t>
      </w:r>
      <w:r>
        <w:rPr>
          <w:bCs/>
          <w:b/>
        </w:rPr>
        <w:t xml:space="preserve"> </w:t>
      </w:r>
      <w:r>
        <w:rPr>
          <w:bCs/>
          <w:b/>
        </w:rPr>
        <w:t xml:space="preserve">cell; the earlier wording</w:t>
      </w:r>
      <w:r>
        <w:rPr>
          <w:bCs/>
          <w:b/>
        </w:rPr>
        <w:t xml:space="preserve"> </w:t>
      </w:r>
      <w:r>
        <w:rPr>
          <w:bCs/>
          <w:b/>
        </w:rPr>
        <w:t xml:space="preserve">“</w:t>
      </w:r>
      <w:r>
        <w:rPr>
          <w:bCs/>
          <w:b/>
        </w:rPr>
        <w:t xml:space="preserve">zero magnetisation on all species</w:t>
      </w:r>
      <w:r>
        <w:rPr>
          <w:bCs/>
          <w:b/>
        </w:rPr>
        <w:t xml:space="preserve">”</w:t>
      </w:r>
      <w:r>
        <w:rPr>
          <w:bCs/>
          <w:b/>
        </w:rPr>
        <w:t xml:space="preserve"> </w:t>
      </w:r>
      <w:r>
        <w:rPr>
          <w:bCs/>
          <w:b/>
        </w:rPr>
        <w:t xml:space="preserve">cannot be correct as written.]</w:t>
      </w:r>
      <w:r>
        <w:t xml:space="preserve"> </w:t>
      </w:r>
      <w:r>
        <w:t xml:space="preserve">Because a near-zero start can trap a calculation in a non-magnetic solution, the Pr_VO cell was re-relaxed from a magnetic start with starting_magnetization = 0.3 on Ti and 0.5 on the dopant (these are fractions of the valence charge in the Quantum ESPRESSO convention, not site moments in μ</w:t>
      </w:r>
      <w:r>
        <w:rPr>
          <w:vertAlign w:val="subscript"/>
        </w:rPr>
        <w:t xml:space="preserve">B</w:t>
      </w:r>
      <w:r>
        <w:t xml:space="preserve">) under a separate prefix, and the two total energies were compared (Section 3.3).</w:t>
      </w:r>
      <w:r>
        <w:t xml:space="preserve"> </w:t>
      </w:r>
      <w:r>
        <w:rPr>
          <w:bCs/>
          <w:b/>
        </w:rPr>
        <w:t xml:space="preserve">[AUTHOR ACTION: state whether equivalent magnetic-start trials were run for Pristine_perfect, Pristine_VO and Pr_perfect and report their outcomes; if not, say so here.]</w:t>
      </w:r>
      <w:r>
        <w:t xml:space="preserve"> </w:t>
      </w:r>
      <w:r>
        <w:t xml:space="preserve">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the default mixing (mixing_beta = 0.3) and converged only after the changes described in Section S1. The final maximum forces were 0.0026, 0.0042, 0.0037 and 0.0040 Ry/Bohr (0.067, 0.108, 0.095 and 0.103 eV/Å) for Pr_perfect, Pr_VO, Rb_perfect and Rb_VO.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[40]. The known overbinding of O</w:t>
      </w:r>
      <w:r>
        <w:rPr>
          <w:vertAlign w:val="subscript"/>
        </w:rPr>
        <w:t xml:space="preserve">2</w:t>
      </w:r>
      <w:r>
        <w:t xml:space="preserve"> </w:t>
      </w:r>
      <w:r>
        <w:t xml:space="preserve">by PBE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relaxed Pristine_perfect, Pr_VO and Rb_VO cells at U(Ti-3d) = 3.0, 4.0 and 4.5 eV. (iii) HSE06: one single-point calculation on the relaxed Pristine_perfect cell with exact-exchange fraction 0.25 and screening parameter 0.106 bohr</w:t>
      </w:r>
      <w:r>
        <w:rPr>
          <w:vertAlign w:val="superscript"/>
        </w:rPr>
        <w:t xml:space="preserve">−1</w:t>
      </w:r>
      <w:r>
        <w:t xml:space="preserve"> </w:t>
      </w:r>
      <w:r>
        <w:t xml:space="preserve">[41,42],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[43,44], without three-body terms, following the DFT+U+D3 protocol used for defective anatase by Torres et al. [45]; the single points were started from scratch on the production geometries. (v) Alternative vacancy sites: three additional Pr_VO cells with the vacancy at atom indices O1, O7 and O17 of the production input. (vi) Bader analysis of Pr_VO and Rb_VO from pp.x charge densities with the Henkelman grid algorithm [46,47].</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from projwfc.x on 2×2×2 non-self-consistent runs.</w:t>
      </w:r>
      <w:r>
        <w:t xml:space="preserve"> </w:t>
      </w:r>
      <w:r>
        <w:rPr>
          <w:bCs/>
          <w:b/>
        </w:rPr>
        <w:t xml:space="preserve">[AUTHOR ACTION: state the Gaussian broadening used in projwfc.x and the number of bands.]</w:t>
      </w:r>
      <w:r>
        <w:t xml:space="preserve"> </w:t>
      </w: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The relaxed Pr_VO and Rb_VO cells are shown in Figure 1. The production vacancy lies in the neighbourhood of the dopant in both cells (Section 2.3).</w:t>
      </w:r>
      <w:r>
        <w:t xml:space="preserve"> </w:t>
      </w:r>
      <w:r>
        <w:rPr>
          <w:bCs/>
          <w:b/>
        </w:rPr>
        <w:t xml:space="preserve">[AUTHOR ACTION: add one sentence on the relaxed first-shell dopant–O distances and the outward relaxation of the six O neighbours around Pr and Rb relative to Ti–O = 1.94/1.97 Å in the pristine cell, from Table S8.]</w:t>
      </w:r>
      <w:r>
        <w:t xml:space="preserve"> </w:t>
      </w:r>
      <w:r>
        <w:t xml:space="preserve">Because the residual forces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3071374"/>
            <wp:effectExtent b="0" l="0" r="0" t="0"/>
            <wp:docPr descr="" title="" id="21" name="Picture"/>
            <a:graphic>
              <a:graphicData uri="http://schemas.openxmlformats.org/drawingml/2006/picture">
                <pic:pic>
                  <pic:nvPicPr>
                    <pic:cNvPr descr="../figures/Fig1_structures_patched.png" id="22" name="Picture"/>
                    <pic:cNvPicPr>
                      <a:picLocks noChangeArrowheads="1" noChangeAspect="1"/>
                    </pic:cNvPicPr>
                  </pic:nvPicPr>
                  <pic:blipFill>
                    <a:blip r:embed="rId20"/>
                    <a:stretch>
                      <a:fillRect/>
                    </a:stretch>
                  </pic:blipFill>
                  <pic:spPr bwMode="auto">
                    <a:xfrm>
                      <a:off x="0" y="0"/>
                      <a:ext cx="5334000" cy="3071374"/>
                    </a:xfrm>
                    <a:prstGeom prst="rect">
                      <a:avLst/>
                    </a:prstGeom>
                    <a:noFill/>
                    <a:ln w="9525">
                      <a:noFill/>
                      <a:headEnd/>
                      <a:tailEnd/>
                    </a:ln>
                  </pic:spPr>
                </pic:pic>
              </a:graphicData>
            </a:graphic>
          </wp:inline>
        </w:drawing>
      </w:r>
    </w:p>
    <w:p>
      <w:pPr>
        <w:pStyle w:val="BodyText"/>
      </w:pPr>
      <w:r>
        <w:rPr>
          <w:iCs/>
          <w:i/>
        </w:rPr>
        <w:t xml:space="preserve">Figure 1. Relaxed 2×2×1 anatase supercells with one substitutional dopant and one oxygen vacancy (PBE+U, U(Ti-3d) = 3.5 eV, Γ-only). (a) Pr</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(PrTi</w:t>
      </w:r>
      <w:r>
        <w:rPr>
          <w:vertAlign w:val="subscript"/>
          <w:iCs/>
          <w:i/>
        </w:rPr>
        <w:t xml:space="preserve">15</w:t>
      </w:r>
      <w:r>
        <w:rPr>
          <w:iCs/>
          <w:i/>
        </w:rPr>
        <w:t xml:space="preserve">O</w:t>
      </w:r>
      <w:r>
        <w:rPr>
          <w:vertAlign w:val="subscript"/>
          <w:iCs/>
          <w:i/>
        </w:rPr>
        <w:t xml:space="preserve">31</w:t>
      </w:r>
      <w:r>
        <w:rPr>
          <w:iCs/>
          <w:i/>
        </w:rPr>
        <w:t xml:space="preserve">, 47 atoms), non-magnetic solution (m = 0). (b) Rb</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(RbTi</w:t>
      </w:r>
      <w:r>
        <w:rPr>
          <w:vertAlign w:val="subscript"/>
          <w:iCs/>
          <w:i/>
        </w:rPr>
        <w:t xml:space="preserve">15</w:t>
      </w:r>
      <w:r>
        <w:rPr>
          <w:iCs/>
          <w:i/>
        </w:rPr>
        <w:t xml:space="preserve">O</w:t>
      </w:r>
      <w:r>
        <w:rPr>
          <w:vertAlign w:val="subscript"/>
          <w:iCs/>
          <w:i/>
        </w:rPr>
        <w:t xml:space="preserve">31</w:t>
      </w:r>
      <w:r>
        <w:rPr>
          <w:iCs/>
          <w:i/>
        </w:rPr>
        <w:t xml:space="preserve">, 47 atoms), m = −0.97 μ</w:t>
      </w:r>
      <w:r>
        <w:rPr>
          <w:vertAlign w:val="subscript"/>
          <w:iCs/>
          <w:i/>
        </w:rPr>
        <w:t xml:space="preserve">B</w:t>
      </w:r>
      <w:r>
        <w:rPr>
          <w:iCs/>
          <w:i/>
        </w:rPr>
        <w:t xml:space="preserve">,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Grey: Ti; red: O; green: Pr; maroon: Rb; dashed circle: vacancy position; dashed box: supercell.</w:t>
      </w:r>
      <w:r>
        <w:rPr>
          <w:iCs/>
          <w:i/>
        </w:rPr>
        <w:t xml:space="preserve"> </w:t>
      </w:r>
      <w:r>
        <w:rPr>
          <w:bCs/>
          <w:b/>
          <w:iCs/>
          <w:i/>
        </w:rPr>
        <w:t xml:space="preserve">[AUTHOR ACTION: the panel subtitles of the interim artwork were patched to match this caption; regenerate the figure from the relaxed coordinates and add the vacancy atom index and dopant–V</w:t>
      </w:r>
      <w:r>
        <w:rPr>
          <w:vertAlign w:val="subscript"/>
          <w:bCs/>
          <w:b/>
          <w:iCs/>
          <w:i/>
        </w:rPr>
        <w:t xml:space="preserve">O</w:t>
      </w:r>
      <w:r>
        <w:rPr>
          <w:bCs/>
          <w:b/>
          <w:iCs/>
          <w:i/>
        </w:rPr>
        <w:t xml:space="preserve"> </w:t>
      </w:r>
      <w:r>
        <w:rPr>
          <w:bCs/>
          <w:b/>
          <w:iCs/>
          <w:i/>
        </w:rPr>
        <w:t xml:space="preserve">distance to each panel.]</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adjacent to the dopant site relative to pristine TiO</w:t>
      </w:r>
      <w:r>
        <w:rPr>
          <w:vertAlign w:val="subscript"/>
        </w:rPr>
        <w:t xml:space="preserve">2</w:t>
      </w:r>
      <w:r>
        <w:t xml:space="preserve">, by 3.45 eV for Pr and 8.81 eV for Rb (differences of the unrounded values). The Pr cell remains uphill at this reference, so oxygen removal is not spontaneous; the Rb cell is downhill, so the vacancy-free Rb-substituted cell is unstable against oxygen loss at this reference.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Smearing, cut-off and relaxation-tolerance contributions to the absolute values have not been quantified (Section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formed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The pristine value lies within the 4.0–5.0 eV range reported for the neutral bulk vacancy in anatase with DFT+U at U = 4.2 eV [15] and below the 5.3–5.5 eV obtained with HSE06 at the oxygen-rich limit [48,36], as expected for a semi-local functional with a PBE O</w:t>
      </w:r>
      <w:r>
        <w:rPr>
          <w:vertAlign w:val="subscript"/>
        </w:rPr>
        <w:t xml:space="preserve">2</w:t>
      </w:r>
      <w:r>
        <w:t xml:space="preserve"> </w:t>
      </w:r>
      <w:r>
        <w:t xml:space="preserve">reference; this is a consistency check, not a validation of the protocol.</w:t>
      </w:r>
      <w:r>
        <w:t xml:space="preserve"> </w:t>
      </w:r>
      <w:r>
        <w:rPr>
          <w:bCs/>
          <w:b/>
        </w:rPr>
        <w:t xml:space="preserve">[AUTHOR ACTION: verify the Arrigoni–Madsen, Boonchun and Deák values and their oxygen-chemical-potential conditions against the full texts.]</w:t>
      </w:r>
      <w:r>
        <w:t xml:space="preserve"> </w:t>
      </w:r>
      <w:r>
        <w:t xml:space="preserve">On the 2×2×2 mesh the individual formation energies shift by −0.10 eV (Pr) and −0.14 eV (Rb) while the contrast moves from 5.36 to 5.39 eV, i.e. by +0.04 eV (defined as the 2×2×2 contrast minus the Γ-only contrast). The comparative conclusion is therefore insensitive to Brillouin-zone sampling at the 0.05 eV level, although the absolute values carry a 0.1–0.15 eV mesh dependence. The sign of the Rb result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[16];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spread over band-edge states with equal spin-up and spin-down weight.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0.281 eV above the non-magnetic solution; the non-magnetic solution is therefore the lower of the two solutions tested, and a broader search over spin seeds and local distortions would be needed to establish it as the ground state.</w:t>
      </w:r>
      <w:r>
        <w:t xml:space="preserve"> </w:t>
      </w:r>
      <w:r>
        <w:rPr>
          <w:bCs/>
          <w:b/>
        </w:rPr>
        <w:t xml:space="preserve">[AUTHOR ACTION: report the fractional occupations of the states within ±0.3 eV of E</w:t>
      </w:r>
      <w:r>
        <w:rPr>
          <w:vertAlign w:val="subscript"/>
          <w:bCs/>
          <w:b/>
        </w:rPr>
        <w:t xml:space="preserve">F</w:t>
      </w:r>
      <w:r>
        <w:rPr>
          <w:bCs/>
          <w:b/>
        </w:rPr>
        <w:t xml:space="preserve"> </w:t>
      </w:r>
      <w:r>
        <w:rPr>
          <w:bCs/>
          <w:b/>
        </w:rPr>
        <w:t xml:space="preserve">for the non-magnetic Pr_perfect and Pr_VO solutions, so that the smeared character asserted here is documented.]</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scratch on the final Rb_VO geometry, at the production U (with the D3 term, Section 3.7) and at other U values (Table S1), converge instead to m</w:t>
      </w:r>
      <w:r>
        <w:rPr>
          <w:vertAlign w:val="subscript"/>
        </w:rPr>
        <w:t xml:space="preserve">abs</w:t>
      </w:r>
      <w:r>
        <w:t xml:space="preserve"> </w:t>
      </w:r>
      <w:r>
        <w:t xml:space="preserve">= 1.00 μ</w:t>
      </w:r>
      <w:r>
        <w:rPr>
          <w:vertAlign w:val="subscript"/>
        </w:rPr>
        <w:t xml:space="preserve">B</w:t>
      </w:r>
      <w:r>
        <w:t xml:space="preserve">; the relaxed cell therefore has two nearly degenerate spin solutions of this kind, and which one is lower in energy has not been established.</w:t>
      </w:r>
      <w:r>
        <w:t xml:space="preserve"> </w:t>
      </w:r>
      <w:r>
        <w:rPr>
          <w:bCs/>
          <w:b/>
        </w:rPr>
        <w:t xml:space="preserve">[AUTHOR ACTION: compare the total energy of a from-scratch single point at U = 3.5 eV without D3 on the final Rb_VO geometry with the last relaxation step, and report both solutions’ m and m</w:t>
      </w:r>
      <w:r>
        <w:rPr>
          <w:vertAlign w:val="subscript"/>
          <w:bCs/>
          <w:b/>
        </w:rPr>
        <w:t xml:space="preserve">abs</w:t>
      </w:r>
      <w:r>
        <w:rPr>
          <w:bCs/>
          <w:b/>
        </w:rPr>
        <w:t xml:space="preserve">.]</w:t>
      </w:r>
      <w:r>
        <w:t xml:space="preserve"> </w:t>
      </w:r>
      <w:r>
        <w:t xml:space="preserve">With three formal holes in Rb_perfect and one residual hole in Rb_VO (Table 1), the Ti-3d-only Hubbard treatment thus localises one unpaired spin in each Rb cell; the remaining two holes of Rb_perfect are spin-compensated in this treatment, a point that the oxygen-site Hubbard test of Section 3.4 resolves. The excess of m</w:t>
      </w:r>
      <w:r>
        <w:rPr>
          <w:vertAlign w:val="subscript"/>
        </w:rPr>
        <w:t xml:space="preserve">abs</w:t>
      </w:r>
      <w:r>
        <w:t xml:space="preserve"> </w:t>
      </w:r>
      <w:r>
        <w:t xml:space="preserve">over |m| in Rb_VO (0.24 μ</w:t>
      </w:r>
      <w:r>
        <w:rPr>
          <w:vertAlign w:val="subscript"/>
        </w:rPr>
        <w:t xml:space="preserve">B</w:t>
      </w:r>
      <w:r>
        <w:t xml:space="preserve">) indicates minority spin density of the opposite sign, consistent with a partly delocalised hole rather than a single-site moment.</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w:t>
            </w:r>
            <w:r>
              <w:t xml:space="preserve"> </w:t>
            </w:r>
            <w:r>
              <w:rPr>
                <w:vertAlign w:val="superscript"/>
              </w:rPr>
              <w:t xml:space="preserve">b</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+0.281 eV</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w:t>
            </w:r>
            <w:r>
              <w:t xml:space="preserve"> </w:t>
            </w:r>
            <w:r>
              <w:rPr>
                <w:vertAlign w:val="superscript"/>
              </w:rPr>
              <w:t xml:space="preserve">b</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b</w:t>
      </w:r>
      <w:r>
        <w:t xml:space="preserve"> </w:t>
      </w:r>
      <w:r>
        <w:rPr>
          <w:bCs/>
          <w:b/>
        </w:rPr>
        <w:t xml:space="preserve">[AUTHOR ACTION: insert E</w:t>
      </w:r>
      <w:r>
        <w:rPr>
          <w:vertAlign w:val="subscript"/>
          <w:bCs/>
          <w:b/>
        </w:rPr>
        <w:t xml:space="preserve">F</w:t>
      </w:r>
      <w:r>
        <w:rPr>
          <w:bCs/>
          <w:b/>
        </w:rPr>
        <w:t xml:space="preserve"> </w:t>
      </w:r>
      <w:r>
        <w:rPr>
          <w:bCs/>
          <w:b/>
        </w:rPr>
        <w:t xml:space="preserve">of Pr_perfect and Rb_perfect from the production output files.]</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Total (|m|) and absolute (m</w:t>
      </w:r>
      <w:r>
        <w:rPr>
          <w:vertAlign w:val="subscript"/>
          <w:iCs/>
          <w:i/>
        </w:rPr>
        <w:t xml:space="preserve">abs</w:t>
      </w:r>
      <w:r>
        <w:rPr>
          <w:iCs/>
          <w:i/>
        </w:rPr>
        <w:t xml:space="preserve">) magnetisation of the production cells and of the O</w:t>
      </w:r>
      <w:r>
        <w:rPr>
          <w:vertAlign w:val="subscript"/>
          <w:iCs/>
          <w:i/>
        </w:rPr>
        <w:t xml:space="preserve">2</w:t>
      </w:r>
      <w:r>
        <w:rPr>
          <w:iCs/>
          <w:i/>
        </w:rPr>
        <w:t xml:space="preserve"> </w:t>
      </w:r>
      <w:r>
        <w:rPr>
          <w:iCs/>
          <w:i/>
        </w:rPr>
        <w:t xml:space="preserve">reference (single-U(Ti-3d) PBE+U relaxations).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localisation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w:t>
      </w:r>
      <w:r>
        <w:t xml:space="preserve"> </w:t>
      </w:r>
      <w:r>
        <w:rPr>
          <w:bCs/>
          <w:b/>
        </w:rPr>
        <w:t xml:space="preserve">[AUTHOR ACTION: state for each of the four dual-U cells whether it was relaxed or computed as a single point, and add the Rb_perfect and Rb_VO dual-U total energies to Tables S5 and S9.]</w:t>
      </w:r>
      <w:r>
        <w:t xml:space="preserve"> </w:t>
      </w:r>
      <w:r>
        <w:t xml:space="preserve">The results are collected in Table 4. The pristine control remains non-magnetic (m</w:t>
      </w:r>
      <w:r>
        <w:rPr>
          <w:vertAlign w:val="subscript"/>
        </w:rPr>
        <w:t xml:space="preserve">abs</w:t>
      </w:r>
      <w:r>
        <w:t xml:space="preserve"> </w:t>
      </w:r>
      <w:r>
        <w:t xml:space="preserve">= 0.00 μ</w:t>
      </w:r>
      <w:r>
        <w:rPr>
          <w:vertAlign w:val="subscript"/>
        </w:rPr>
        <w:t xml:space="preserve">B</w:t>
      </w:r>
      <w:r>
        <w:t xml:space="preserve">), so the oxygen term does not by itself induce magnetism. Rb_perfect changes from m</w:t>
      </w:r>
      <w:r>
        <w:rPr>
          <w:vertAlign w:val="subscript"/>
        </w:rPr>
        <w:t xml:space="preserve">abs</w:t>
      </w:r>
      <w:r>
        <w:t xml:space="preserve"> </w:t>
      </w:r>
      <w:r>
        <w:t xml:space="preserve">= 1.00 to 3.00 μ</w:t>
      </w:r>
      <w:r>
        <w:rPr>
          <w:vertAlign w:val="subscript"/>
        </w:rPr>
        <w:t xml:space="preserve">B</w:t>
      </w:r>
      <w:r>
        <w:t xml:space="preserve">, i.e. the three formal holes of Table 1 become three localised unpaired spins once the oxygen term is present; Rb_VO gives 1.00 μ</w:t>
      </w:r>
      <w:r>
        <w:rPr>
          <w:vertAlign w:val="subscript"/>
        </w:rPr>
        <w:t xml:space="preserve">B</w:t>
      </w:r>
      <w:r>
        <w:t xml:space="preserve">, the single residual hole after two have been filled by the vacancy electrons. Pr_perfect changes from the non-magnetic smeared solution to m</w:t>
      </w:r>
      <w:r>
        <w:rPr>
          <w:vertAlign w:val="subscript"/>
        </w:rPr>
        <w:t xml:space="preserve">abs</w:t>
      </w:r>
      <w:r>
        <w:t xml:space="preserve"> </w:t>
      </w:r>
      <w:r>
        <w:t xml:space="preserve">= 1.00 μ</w:t>
      </w:r>
      <w:r>
        <w:rPr>
          <w:vertAlign w:val="subscript"/>
        </w:rPr>
        <w:t xml:space="preserve">B</w:t>
      </w:r>
      <w:r>
        <w:t xml:space="preserve">, with a maximum residual force of 0.0049 Ry/Bohr; the one formal hole of the Pr substitution thus localises when the oxygen term is present. Its printed Fermi energy (6.69 eV) lies 0.53 eV below that of the dual-U pristine cell (7.22 eV), which is the direction expected for a localised acceptor state,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 as well as m</w:t>
      </w:r>
      <w:r>
        <w:rPr>
          <w:vertAlign w:val="subscript"/>
          <w:bCs/>
          <w:b/>
        </w:rPr>
        <w:t xml:space="preserve">abs</w:t>
      </w:r>
      <w:r>
        <w:rPr>
          <w:bCs/>
          <w:b/>
        </w:rPr>
        <w:t xml:space="preserve"> </w:t>
      </w:r>
      <w:r>
        <w:rPr>
          <w:bCs/>
          <w:b/>
        </w:rPr>
        <w:t xml:space="preserve">for the dual-U cells (m = 3.00 μ</w:t>
      </w:r>
      <w:r>
        <w:rPr>
          <w:vertAlign w:val="subscript"/>
          <w:bCs/>
          <w:b/>
        </w:rPr>
        <w:t xml:space="preserve">B</w:t>
      </w:r>
      <w:r>
        <w:rPr>
          <w:bCs/>
          <w:b/>
        </w:rPr>
        <w:t xml:space="preserve"> </w:t>
      </w:r>
      <w:r>
        <w:rPr>
          <w:bCs/>
          <w:b/>
        </w:rPr>
        <w:t xml:space="preserve">is required for the three Rb spins to be parallel) and the site-projected moments or spin density of dual-U Rb_perfect and Pr_perfect.]</w:t>
      </w:r>
      <w:r>
        <w:t xml:space="preserve"> </w:t>
      </w:r>
      <w:r>
        <w:t xml:space="preserve">The electron count of each dual-U cell is reproduced by the spin count: one hole per Pr</w:t>
      </w:r>
      <w:r>
        <w:rPr>
          <w:vertAlign w:val="superscript"/>
        </w:rPr>
        <w:t xml:space="preserve">3+</w:t>
      </w:r>
      <w:r>
        <w:t xml:space="preserve">, three per Rb</w:t>
      </w:r>
      <w:r>
        <w:rPr>
          <w:vertAlign w:val="superscript"/>
        </w:rPr>
        <w:t xml:space="preserve">+</w:t>
      </w:r>
      <w:r>
        <w:t xml:space="preserve">, in line with the Kröger–Vink bookkeeping.</w:t>
      </w:r>
    </w:p>
    <w:p>
      <w:pPr>
        <w:pStyle w:val="BodyText"/>
      </w:pPr>
      <w:r>
        <w:rPr>
          <w:iCs/>
          <w:i/>
          <w:bCs/>
          <w:b/>
        </w:rPr>
        <w:t xml:space="preserve">Table 4. Effect of an oxygen-site Hubbard term (U(O-2p) = 5.5 eV added to U(Ti-3d) = 3.5 eV) on the absolute magnetisation of the vacancy-free and vacancy-containing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w:t>
            </w:r>
          </w:p>
        </w:tc>
        <w:tc>
          <w:tcPr/>
          <w:p>
            <w:pPr>
              <w:pStyle w:val="Compact"/>
              <w:jc w:val="left"/>
            </w:pPr>
            <w:r>
              <w:t xml:space="preserve">3.00</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w:t>
            </w:r>
          </w:p>
        </w:tc>
      </w:tr>
    </w:tbl>
    <w:p>
      <w:pPr>
        <w:pStyle w:val="BodyText"/>
      </w:pPr>
      <w:r>
        <w:t xml:space="preserve">Two consequences follow. First, the spin count of the Rb cells is now consistent across the two Hubbard treatments and with the charged-cell series of Section 3.5. Second, the description of the Pr-substituted parent is method dependent: the hole is delocalised in the Ti-3d-only treatment and localised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the absolute magnetisation remains 0.00 μ</w:t>
      </w:r>
      <w:r>
        <w:rPr>
          <w:vertAlign w:val="subscript"/>
        </w:rPr>
        <w:t xml:space="preserve">B</w:t>
      </w:r>
      <w:r>
        <w:t xml:space="preserve"> </w:t>
      </w:r>
      <w:r>
        <w:t xml:space="preserve">at q = 0, +1 and +2: removing one and then two electrons from the smeared non-magnetic solution leaves it non-magnetic. For Rb_VO the absolute magnetisation rises from 1.21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w:t>
      </w:r>
      <w:r>
        <w:t xml:space="preserve"> </w:t>
      </w:r>
      <w:r>
        <w:rPr>
          <w:bCs/>
          <w:b/>
        </w:rPr>
        <w:t xml:space="preserve">[AUTHOR ACTION: report m and m</w:t>
      </w:r>
      <w:r>
        <w:rPr>
          <w:vertAlign w:val="subscript"/>
          <w:bCs/>
          <w:b/>
        </w:rPr>
        <w:t xml:space="preserve">abs</w:t>
      </w:r>
      <w:r>
        <w:rPr>
          <w:bCs/>
          <w:b/>
        </w:rPr>
        <w:t xml:space="preserve"> </w:t>
      </w:r>
      <w:r>
        <w:rPr>
          <w:bCs/>
          <w:b/>
        </w:rPr>
        <w:t xml:space="preserve">separately for each charge state; the values quoted in the FINAL draft appear to be m</w:t>
      </w:r>
      <w:r>
        <w:rPr>
          <w:vertAlign w:val="subscript"/>
          <w:bCs/>
          <w:b/>
        </w:rPr>
        <w:t xml:space="preserve">abs</w:t>
      </w:r>
      <w:r>
        <w:rPr>
          <w:bCs/>
          <w:b/>
        </w:rPr>
        <w:t xml:space="preserve">.]</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so the differences (+2.10 eV for Pr_VO and −0.76 eV for Rb_VO relative to pristine; 2.86 eV between the two doped vacancy cells) should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w:t>
      </w:r>
      <w:r>
        <w:t xml:space="preserve"> </w:t>
      </w:r>
      <w:r>
        <w:t xml:space="preserve">Figure 4 shows the spin-resolved projected densities of states of Pr_VO and Rb_VO from 2×2×2 non-self-consistent calculations on the relaxed cells. In Pr_VO the occupied states near E</w:t>
      </w:r>
      <w:r>
        <w:rPr>
          <w:vertAlign w:val="subscript"/>
        </w:rPr>
        <w:t xml:space="preserve">F</w:t>
      </w:r>
      <w:r>
        <w:t xml:space="preserve"> </w:t>
      </w:r>
      <w:r>
        <w:t xml:space="preserve">are conduction-band states of Ti-3d character, the O-2p valence band lies about 3 eV lower, no feature appears inside the gap at the broadening used, and the Pr-5d projection is small at both band edges; the Pr-4f states are frozen in the core and cannot appear (Section 2.1). In Rb_VO the Fermi level lies at the top of the valence band and a spin-split feature with both O-2p and Ti-3d weight is present within about 0.3 eV of E</w:t>
      </w:r>
      <w:r>
        <w:rPr>
          <w:vertAlign w:val="subscript"/>
        </w:rPr>
        <w:t xml:space="preserve">F</w:t>
      </w:r>
      <w:r>
        <w:t xml:space="preserve"> </w:t>
      </w:r>
      <w:r>
        <w:t xml:space="preserve">(inset); it is occupied in one spin channel and empty in the other, which accounts for the unpaired spin of Table 3. The species-summed projection does not by itself fix the orbital character of the hole; the Bader differences of Section 3.7 and the dual-U result of Section 3.4 indicate that it is predominantly O-2p.</w:t>
      </w:r>
      <w:r>
        <w:t xml:space="preserve"> </w:t>
      </w:r>
      <w:r>
        <w:rPr>
          <w:bCs/>
          <w:b/>
        </w:rPr>
        <w:t xml:space="preserve">[AUTHOR ACTION: from the existing projwfc.x output, add site-resolved O-2p and Ti-3d projections of the Rb_VO gap state and its integrated occupation per spin channel (Figure S4), and state the energy resolution of the DOS.]</w:t>
      </w:r>
      <w:r>
        <w:t xml:space="preserve"> </w:t>
      </w:r>
      <w:r>
        <w:t xml:space="preserve">The Fermi energy of Pr_VO in Figure 4 (10.31 eV, 2×2×2 non-self-consistent) differs from the Γ-only self-consistent value (9.99 eV) because of the k-mesh dependence of the conduction-band filling; the Rb_VO Fermi energy is mesh-stable (7.13 versus 7.14 eV).</w:t>
      </w:r>
      <w:r>
        <w:t xml:space="preserve"> </w:t>
      </w:r>
      <w:r>
        <w:rPr>
          <w:bCs/>
          <w:b/>
        </w:rPr>
        <w:t xml:space="preserve">[AUTHOR ACTION: report the 2×2×2 non-self-consistent Fermi energy of the pristine cell.]</w:t>
      </w:r>
    </w:p>
    <w:p>
      <w:pPr>
        <w:pStyle w:val="BodyText"/>
      </w:pPr>
      <w:r>
        <w:drawing>
          <wp:inline>
            <wp:extent cx="5334000" cy="5717146"/>
            <wp:effectExtent b="0" l="0" r="0" t="0"/>
            <wp:docPr descr="" title="" id="30" name="Picture"/>
            <a:graphic>
              <a:graphicData uri="http://schemas.openxmlformats.org/drawingml/2006/picture">
                <pic:pic>
                  <pic:nvPicPr>
                    <pic:cNvPr descr="../figures/Fig4_PDOS_patched.png" id="31" name="Picture"/>
                    <pic:cNvPicPr>
                      <a:picLocks noChangeArrowheads="1" noChangeAspect="1"/>
                    </pic:cNvPicPr>
                  </pic:nvPicPr>
                  <pic:blipFill>
                    <a:blip r:embed="rId29"/>
                    <a:stretch>
                      <a:fillRect/>
                    </a:stretch>
                  </pic:blipFill>
                  <pic:spPr bwMode="auto">
                    <a:xfrm>
                      <a:off x="0" y="0"/>
                      <a:ext cx="5334000" cy="5717146"/>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Pr_VO (top) and Rb_VO (bottom) from non-self-consistent 2×2×2 calculations on the relaxed cells (PBE+U, U(Ti-3d) = 3.5 eV). Spin-up plotted upward, spin-down downward. Filled blue: Ti-3d; red: O-2p; purple: dopant 5d (Pr) or 4d (Rb); grey: total. Energies are relative to each cell’s Fermi level. Inset: gap region of Rb_VO showing the spin-split occupied state with mixed O-2p/Ti-3d weight.</w:t>
      </w:r>
      <w:r>
        <w:rPr>
          <w:iCs/>
          <w:i/>
        </w:rPr>
        <w:t xml:space="preserve"> </w:t>
      </w:r>
      <w:r>
        <w:rPr>
          <w:bCs/>
          <w:b/>
          <w:iCs/>
          <w:i/>
        </w:rPr>
        <w:t xml:space="preserve">[AUTHOR ACTION: the title, panel subtitles and inset label of the interim artwork were patched to match this caption; regenerate from the projwfc.x output with the broadening and band count stated and the source run identifiers recorded in the figure script, and check the Rb_VO spin-down Ti-3d channel, which appears to be missing from the valence band in the current plot.]</w:t>
      </w:r>
    </w:p>
    <w:p>
      <w:pPr>
        <w:pStyle w:val="BodyText"/>
      </w:pPr>
      <w:r>
        <w:rPr>
          <w:iCs/>
          <w:i/>
        </w:rPr>
        <w:t xml:space="preserve">Hybrid-functional check on the pristine cell.</w:t>
      </w:r>
      <w:r>
        <w:t xml:space="preserve"> </w:t>
      </w:r>
      <w:r>
        <w:t xml:space="preserve">A single-point HSE06 calculation on the relaxed Pristine_perfect cell (Section 2.8) gave a non-magnetic solution (m</w:t>
      </w:r>
      <w:r>
        <w:rPr>
          <w:vertAlign w:val="subscript"/>
        </w:rPr>
        <w:t xml:space="preserve">abs</w:t>
      </w:r>
      <w:r>
        <w:t xml:space="preserve"> </w:t>
      </w:r>
      <w:r>
        <w:t xml:space="preserve">=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relaxed Pristine_perfect, Pr_VO and Rb_VO cells (Table S1) leave the magnetisations unchanged in kind: Pr_VO non-magnetic at every U; Rb_VO with one unpaired spin at every U (m</w:t>
      </w:r>
      <w:r>
        <w:rPr>
          <w:vertAlign w:val="subscript"/>
        </w:rPr>
        <w:t xml:space="preserve">abs</w:t>
      </w:r>
      <w:r>
        <w:t xml:space="preserve"> </w:t>
      </w:r>
      <w:r>
        <w:t xml:space="preserve">= 1.00 μ</w:t>
      </w:r>
      <w:r>
        <w:rPr>
          <w:vertAlign w:val="subscript"/>
        </w:rPr>
        <w:t xml:space="preserve">B</w:t>
      </w:r>
      <w:r>
        <w:t xml:space="preserve"> </w:t>
      </w:r>
      <w:r>
        <w:t xml:space="preserve">in the from-scratch single points, versus 1.21 μ</w:t>
      </w:r>
      <w:r>
        <w:rPr>
          <w:vertAlign w:val="subscript"/>
        </w:rPr>
        <w:t xml:space="preserve">B</w:t>
      </w:r>
      <w:r>
        <w:t xml:space="preserve"> </w:t>
      </w:r>
      <w:r>
        <w:t xml:space="preserve">in the final relaxation step at U = 3.5 eV; see Section 3.3 for the two solutions). The printed Fermi energies vary by at most 0.26 eV across the 1.5 eV range. The qualitative Pr/Rb distinction is therefore not tied to the particular U used.</w:t>
      </w:r>
    </w:p>
    <w:p>
      <w:pPr>
        <w:pStyle w:val="BodyText"/>
      </w:pPr>
      <w:r>
        <w:rPr>
          <w:iCs/>
          <w:i/>
        </w:rPr>
        <w:t xml:space="preserve">k-mesh.</w:t>
      </w:r>
      <w:r>
        <w:t xml:space="preserve"> </w:t>
      </w:r>
      <w:r>
        <w:t xml:space="preserve">For Pristine_perfect, Pr_VO and Rb_VO the total energy was computed at Γ, 2×2×1, 2×2×2 and 3×3×2 meshes at U = 3.5 eV. Relative to 3×3×2 the Γ-only energies are high by 1.05, 1.08 and 1.16 eV per cell (22, 23 and 25 meV per atom), whereas the 2×2×1 energies are within 1.15, 1.05 and 0.42 meV per atom of 3×3×2. The 2×2×2 energies of Table S2 lie 1.13 and 1.24 eV below the Γ-only values for Pr_VO and Rb_VO, i.e. 0.05–0.08 eV (1–2 meV per atom) below the 3×3×2 values,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A complete formation-energy cycle exists only at Γ and, for the doped hosts, at 2×2×2. The magnetisations are mesh-independent.</w:t>
      </w:r>
      <w:r>
        <w:t xml:space="preserve"> </w:t>
      </w:r>
      <w:r>
        <w:rPr>
          <w:bCs/>
          <w:b/>
        </w:rPr>
        <w:t xml:space="preserve">[AUTHOR ACTION: Table S2 currently lists only the Γ and 2×2×2 energies of the four doped cells; add the 2×2×1, 2×2×2 and 3×3×2 energies of Pristine_perfect, Pr_VO and Rb_VO quoted in this paragraph, with run identifiers, and confirm the 2×2×2 values against the 3×3×2 ones.]</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0.037 eV above the production value for Pr_VO, which indicates that the from-scratch single point converged to a slightly different electronic solution of the smeared Pr_VO cell.</w:t>
      </w:r>
      <w:r>
        <w:t xml:space="preserve"> </w:t>
      </w:r>
      <w:r>
        <w:rPr>
          <w:bCs/>
          <w:b/>
        </w:rPr>
        <w:t xml:space="preserve">[AUTHOR ACTION: check the convergence and occupations of the Pr_VO D3 single point and report the discrepancy’s origin.]</w:t>
      </w:r>
      <w:r>
        <w:t xml:space="preserve"> </w:t>
      </w:r>
      <w:r>
        <w:t xml:space="preserve">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w:t>
      </w:r>
      <w:r>
        <w:rPr>
          <w:vertAlign w:val="subscript"/>
        </w:rPr>
        <w:t xml:space="preserve">abs</w:t>
      </w:r>
      <w:r>
        <w:t xml:space="preserve"> </w:t>
      </w:r>
      <w:r>
        <w:t xml:space="preserve">=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1.21 μ</w:t>
      </w:r>
      <w:r>
        <w:rPr>
          <w:vertAlign w:val="subscript"/>
        </w:rPr>
        <w:t xml:space="preserve">B</w:t>
      </w:r>
      <w:r>
        <w:t xml:space="preserve"> </w:t>
      </w:r>
      <w:r>
        <w:t xml:space="preserve">of the final relaxation step.</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stated hardware)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nearest-neighbour candidate has not been established as tested (Section 2.3), site degeneracies are not given, and no corresponding sampling was performed for the Rb cell.</w:t>
      </w:r>
      <w:r>
        <w:t xml:space="preserve"> </w:t>
      </w:r>
      <w:r>
        <w:rPr>
          <w:bCs/>
          <w:b/>
        </w:rPr>
        <w:t xml:space="preserve">[AUTHOR ACTION: list the index, coordinates, minimum-image Pr–V</w:t>
      </w:r>
      <w:r>
        <w:rPr>
          <w:vertAlign w:val="subscript"/>
          <w:bCs/>
          <w:b/>
        </w:rPr>
        <w:t xml:space="preserve">O</w:t>
      </w:r>
      <w:r>
        <w:rPr>
          <w:bCs/>
          <w:b/>
        </w:rPr>
        <w:t xml:space="preserve"> </w:t>
      </w:r>
      <w:r>
        <w:rPr>
          <w:bCs/>
          <w:b/>
        </w:rPr>
        <w:t xml:space="preserve">distance and multiplicity of all four sites in Table S4, state whether the nearest-neighbour oxygen (O3, 2.17 Å) was among them, and if possible add two Rb_VO sites (nearest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state that the two cells share the same atom ordering and which oxygen index was removed in each, and report the grid used; Bader grid convergence was not tested.]</w:t>
      </w:r>
      <w:r>
        <w:t xml:space="preserve"> </w:t>
      </w:r>
      <w:r>
        <w:t xml:space="preserve">Relative to the Pr_VO cell, the 31 oxygen atoms of Rb_VO hold 0.97 e less in total, with the depletion concentrated on one oxygen in the second coordination shell of Rb (−0.26 e, O8) and a second oxygen (−0.14 e, O30),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differences of that size approach the 0.05 e threshold quoted and the test is therefore indicative rather than decisive. The comparison is between cells of different composition, so the differences contain chemical polarisation by the dopant as well as carrier redistribution, and Bader charges are not orbital occupations; the result is therefore supporting evidence that the unpaired spin of Rb_VO resides mainly on oxygen, not a quantitative hole count. A same-composition comparison (Rb_VO at q = 0 versus q = +1, or the spin density itself) would be more direct.</w:t>
      </w:r>
      <w:r>
        <w:t xml:space="preserve"> </w:t>
      </w:r>
      <w:r>
        <w:rPr>
          <w:bCs/>
          <w:b/>
        </w:rPr>
        <w:t xml:space="preserve">[AUTHOR ACTION: add the spin-density isosurface of Rb_VO, which the pp.x output already allows, as Figure S4; it is the most direct evidence of where the hole sits.]</w:t>
      </w:r>
      <w:r>
        <w:t xml:space="preserve"> </w:t>
      </w: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several eV per transferred electron are expected and are what is found (3.45 eV for one electron in the Pr cell, 8.81 eV for two in the Rb cell). The per-electron gains are not equal, because the two dopants also differ in the electrostatic and elastic environment they create around the vacancy site; the two-dopant design cannot decompose the formation-energy difference into these contributions.</w:t>
      </w:r>
    </w:p>
    <w:p>
      <w:pPr>
        <w:pStyle w:val="BodyText"/>
      </w:pPr>
      <w:r>
        <w:rPr>
          <w:bCs/>
          <w:b/>
        </w:rPr>
        <w:t xml:space="preserve">4.2 Relation to previous work.</w:t>
      </w:r>
      <w:r>
        <w:t xml:space="preserve"> </w:t>
      </w:r>
      <w:r>
        <w:t xml:space="preserve">The Rb result reproduces,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[17], and it agrees in sign with the experimental vacancy-formation trend reported for Rb-doped TiO</w:t>
      </w:r>
      <w:r>
        <w:rPr>
          <w:vertAlign w:val="subscript"/>
        </w:rPr>
        <w:t xml:space="preserve">2</w:t>
      </w:r>
      <w:r>
        <w:t xml:space="preserve"> </w:t>
      </w:r>
      <w:r>
        <w:t xml:space="preserve">by Tian et al. [16]. Because only one alkali was studied here, the radius dependence found by Carey and Nolan across Li–Rb is not tested. The Pr result is consistent with the trivalent-dopant picture of Iwaszuk and Nolan for rutile [18]: the vacancy is not spontaneous at the oxygen-rich reference, but its cost is reduced by 3.45 eV relative to the pristine host, so V</w:t>
      </w:r>
      <w:r>
        <w:rPr>
          <w:vertAlign w:val="subscript"/>
        </w:rPr>
        <w:t xml:space="preserve">O</w:t>
      </w:r>
      <w:r>
        <w:t xml:space="preserve"> </w:t>
      </w:r>
      <w:r>
        <w:t xml:space="preserve">compensation becomes accessible as the oxygen chemical potential is lowered.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next to Pr becomes exothermic once μ</w:t>
      </w:r>
      <w:r>
        <w:rPr>
          <w:vertAlign w:val="subscript"/>
        </w:rPr>
        <w:t xml:space="preserve">O</w:t>
      </w:r>
      <w:r>
        <w:t xml:space="preserve"> </w:t>
      </w:r>
      <w:r>
        <w:t xml:space="preserve">falls more than 1.29 eV below the O</w:t>
      </w:r>
      <w:r>
        <w:rPr>
          <w:vertAlign w:val="subscript"/>
        </w:rPr>
        <w:t xml:space="preserve">2</w:t>
      </w:r>
      <w:r>
        <w:t xml:space="preserve"> </w:t>
      </w:r>
      <w:r>
        <w:t xml:space="preserve">reference; whether that lies within the stability field of TiO</w:t>
      </w:r>
      <w:r>
        <w:rPr>
          <w:vertAlign w:val="subscript"/>
        </w:rPr>
        <w:t xml:space="preserve">2</w:t>
      </w:r>
      <w:r>
        <w:t xml:space="preserve"> </w:t>
      </w:r>
      <w:r>
        <w:t xml:space="preserve">against lower oxides was not evaluated (Section 5). The preference for the production vacancy site over the two more distant sites sampled (Section 3.7) is in the same direction as the Pr–V</w:t>
      </w:r>
      <w:r>
        <w:rPr>
          <w:vertAlign w:val="subscript"/>
        </w:rPr>
        <w:t xml:space="preserve">O</w:t>
      </w:r>
      <w:r>
        <w:t xml:space="preserve"> </w:t>
      </w:r>
      <w:r>
        <w:t xml:space="preserve">association reported for Pr adsorbed at the anatase (101) surface by Vural et al. [27], although adsorption and bulk substitution are different situations and only four sites were sampled here. The localisation of the Pr-induced hole when an oxygen-site U is present parallels the oxygen-hole states reported for trivalent dopants in rutile by Iwaszuk and Nolan [18]; the observation for Cu-doped anatase that the dopant provides an empty gap state that accepts vacancy electrons [49] is a chemical analogy rather than evidence for the Pr case.</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[28]),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it does not hold size constant, and no strain or fixed-geometry decomposition was computed, so the contrast cannot be apportioned between electronic and elastic contributions. What can be said is that the sign and magnitude of the contrast are those expected from the electron count and that no size-based argument predicts them.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a localised oxygen hole with U on O-2p (Section 3.4). The dual-U result is the one consistent with the electron count and with the behaviour of the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and Figure 4);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support, within this protocol and host, the use of the formal charge mismatch as a first screening variable for whether a substitutional dopant will promote or resist oxygen-vacancy formation: the trivalent dopant studied leaves the vacancy uphill at the oxygen-rich limit and the monovalent dopant studied makes it spontaneous.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being the electronic mirror image of the alkali case. (iii) The oxygen-hole states generated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and 3.1 % anion substitution. Defect–image interactions are not corrected; absolute formation energies at the dilute limit may differ by several tenths of an eV. (ii)</w:t>
      </w:r>
      <w:r>
        <w:t xml:space="preserve"> </w:t>
      </w:r>
      <w:r>
        <w:rPr>
          <w:iCs/>
          <w:i/>
        </w:rPr>
        <w:t xml:space="preserve">Brillouin-zone sampling.</w:t>
      </w:r>
      <w:r>
        <w:t xml:space="preserve"> </w:t>
      </w:r>
      <w:r>
        <w:t xml:space="preserve">Production relaxations are Γ-only. Total energies are 22–25 meV per atom above the 3×3×2 values; formation energies rely on cancellation within each host, and the 2×2×2 check bounds the residual at 0.10–0.14 eV on each E</w:t>
      </w:r>
      <w:r>
        <w:rPr>
          <w:vertAlign w:val="subscript"/>
        </w:rPr>
        <w:t xml:space="preserve">f</w:t>
      </w:r>
      <w:r>
        <w:t xml:space="preserve"> </w:t>
      </w:r>
      <w:r>
        <w:t xml:space="preserve">and 0.04 eV on ΔE</w:t>
      </w:r>
      <w:r>
        <w:rPr>
          <w:vertAlign w:val="subscript"/>
        </w:rPr>
        <w:t xml:space="preserve">f</w:t>
      </w:r>
      <w:r>
        <w:t xml:space="preserve">. (iii)</w:t>
      </w:r>
      <w:r>
        <w:t xml:space="preserve"> </w:t>
      </w:r>
      <w:r>
        <w:rPr>
          <w:iCs/>
          <w:i/>
        </w:rPr>
        <w:t xml:space="preserve">Plane-wave cut-off.</w:t>
      </w:r>
      <w:r>
        <w:t xml:space="preserve"> </w:t>
      </w:r>
      <w:r>
        <w:t xml:space="preserve">40 Ry was not tested against a higher cut-off; comparable studies use 55 Ry for the same species [14].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One magnetic trial was performed, for Pr_VO; occupations, smearing and symmetry settings were not varied, and two nearly degenerate spin solutions of Rb_VO were found but not ranked (Section 3.3).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(vii)</w:t>
      </w:r>
      <w:r>
        <w:t xml:space="preserve"> </w:t>
      </w:r>
      <w:r>
        <w:rPr>
          <w:iCs/>
          <w:i/>
        </w:rPr>
        <w:t xml:space="preserve">Oxygen-site U.</w:t>
      </w:r>
      <w:r>
        <w:t xml:space="preserve"> </w:t>
      </w:r>
      <w:r>
        <w:t xml:space="preserve">U(O-2p) = 5.5 eV is transferred, not derived for anatase; the dual-U treatment was applied to the vacancy-free cells and Rb_VO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w:t>
      </w:r>
      <w:r>
        <w:t xml:space="preserve"> </w:t>
      </w:r>
      <w:r>
        <w:rPr>
          <w:bCs/>
          <w:b/>
        </w:rPr>
        <w:t xml:space="preserve">[NEEDS CITATION: source for ε</w:t>
      </w:r>
      <w:r>
        <w:rPr>
          <w:vertAlign w:val="subscript"/>
          <w:bCs/>
          <w:b/>
        </w:rPr>
        <w:t xml:space="preserve">∞</w:t>
      </w:r>
      <w:r>
        <w:rPr>
          <w:bCs/>
          <w:b/>
        </w:rPr>
        <w:t xml:space="preserve"> </w:t>
      </w:r>
      <w:r>
        <w:rPr>
          <w:bCs/>
          <w:b/>
        </w:rPr>
        <w:t xml:space="preserve">of anatase]</w:t>
      </w:r>
      <w:r>
        <w:t xml:space="preserve"> </w:t>
      </w:r>
      <w:r>
        <w:t xml:space="preserve">would give a first-order monopole correction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Rb + 3 V</w:t>
      </w:r>
      <w:r>
        <w:rPr>
          <w:vertAlign w:val="subscript"/>
        </w:rPr>
        <w:t xml:space="preserve">O</w:t>
      </w:r>
      <w:r>
        <w:t xml:space="preserve"> </w:t>
      </w:r>
      <w:r>
        <w:t xml:space="preserve">stoichiometry,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Bader analysis.</w:t>
      </w:r>
      <w:r>
        <w:t xml:space="preserve"> </w:t>
      </w:r>
      <w:r>
        <w:t xml:space="preserve">The comparison is between cells of different composition and is supporting rather than quantitative evidence.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a 5.36 eV contrast that is stable to 0.04 eV against the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which the oxygen-site Hubbard calculation and the Bader comparison place mainly on oxygen, and a charged-cell series reaches three unpaired spins per Rb</w:t>
      </w:r>
      <w:r>
        <w:rPr>
          <w:vertAlign w:val="superscript"/>
        </w:rPr>
        <w:t xml:space="preserve">+</w:t>
      </w:r>
      <w:r>
        <w:t xml:space="preserve">. The Pr cells converge to non-magnetic smeared solutions with U on Ti-3d only, but the vacancy-free Pr cell develops a localised hole when U is also placed on O-2p, so the localisation picture for Pr-substituted anatase is method dependent and a closed-shell, trap-free description of it is not supported. The two-dopant comparison is consistent with charge-compensation control of oxygen-vacancy energetics in this host and provides a common-protocol benchmark for the two dopant families,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produce the plotting scripts for Figures 2 and 3 from the authors’ computed values.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PDOS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no competing financial or personal interests.</w:t>
      </w:r>
    </w:p>
    <w:p>
      <w:pPr>
        <w:pStyle w:val="BodyText"/>
      </w:pPr>
      <w:r>
        <w:rPr>
          <w:bCs/>
          <w:b/>
        </w:rPr>
        <w:t xml:space="preserve">References</w:t>
      </w:r>
    </w:p>
    <w:p>
      <w:pPr>
        <w:numPr>
          <w:ilvl w:val="0"/>
          <w:numId w:val="1002"/>
        </w:numPr>
      </w:pPr>
      <w:r>
        <w:t xml:space="preserve">Pecunia, V.; Occhipinti, L. G.; Hoye, R. L. Z. Emerging Indoor Photovoltaic Technologies for Sustainable Internet of Things. Adv. Energy Mater. 2021, 11, 2100698. DOI: 10.1002/aenm.202100698.</w:t>
      </w:r>
    </w:p>
    <w:p>
      <w:pPr>
        <w:numPr>
          <w:ilvl w:val="0"/>
          <w:numId w:val="1002"/>
        </w:numPr>
      </w:pPr>
      <w:r>
        <w:t xml:space="preserve">Duan, J.; Zhao, Y.; He, B.; Tang, Q. High-Purity Inorganic Perovskite Films for Solar Cells with 9.72% Efficiency. Angew. Chem. Int. Ed. 2018, 57, 3787–3791. DOI: 10.1002/anie.201800019.</w:t>
      </w:r>
    </w:p>
    <w:p>
      <w:pPr>
        <w:numPr>
          <w:ilvl w:val="0"/>
          <w:numId w:val="1002"/>
        </w:numPr>
      </w:pPr>
      <w:r>
        <w:t xml:space="preserve">Kavan, L.; Vlčková Živcová, Z.; Zlámalová, M.; Zakeeruddin, S. M.; Grätzel, M. Electron-Selective Layers for Dye-Sensitized Solar Cells Based on TiO2 and SnO2. J. Phys. Chem. C 2020, 124, 6512–6521. DOI: 10.1021/acs.jpcc.9b11883.</w:t>
      </w:r>
    </w:p>
    <w:p>
      <w:pPr>
        <w:numPr>
          <w:ilvl w:val="0"/>
          <w:numId w:val="1002"/>
        </w:numPr>
      </w:pPr>
      <w:r>
        <w:t xml:space="preserve">Nagar, M. R.; Shahnawaz; Yadav, R. A. K.; Lin, J.-T.; Jou, J.-H. Nanocomposite Electron-Transport Layer Incorporated Highly Efficient OLED. ACS Appl. Electron. Mater. 2020, 2, 1545–1554. DOI: 10.1021/acsaelm.0c00166.</w:t>
      </w:r>
    </w:p>
    <w:p>
      <w:pPr>
        <w:numPr>
          <w:ilvl w:val="0"/>
          <w:numId w:val="1002"/>
        </w:numPr>
      </w:pPr>
      <w:r>
        <w:t xml:space="preserve">Xie, H.; Li, N.; Chen, X.; Jiang, J.; Zhao, X. Surface Oxygen Vacancies Promoted Photodegradation of Benzene on TiO2 Film. Appl. Surf. Sci. 2020, 511, 145597. DOI: 10.1016/j.apsusc.2020.145597.</w:t>
      </w:r>
    </w:p>
    <w:p>
      <w:pPr>
        <w:numPr>
          <w:ilvl w:val="0"/>
          <w:numId w:val="1002"/>
        </w:numPr>
      </w:pPr>
      <w:r>
        <w:t xml:space="preserve">Kreft, S.; Wei, D.; Junge, H.; Beller, M. Recent Advances on TiO2-Based Photocatalytic CO2 Reduction. EnergyChem 2020, 2, 100044. DOI: 10.1016/j.enchem.2020.100044.</w:t>
      </w:r>
    </w:p>
    <w:p>
      <w:pPr>
        <w:numPr>
          <w:ilvl w:val="0"/>
          <w:numId w:val="1002"/>
        </w:numPr>
      </w:pPr>
      <w:r>
        <w:t xml:space="preserve">Yin, W.; Wen, B.; Ge, Q.; Teobaldi, G.; Liu, L. Effect of Crystal Field on the Formation and Diffusion of Oxygen Vacancy at Anatase (101) Surface and Sub-Surface. Prog. Nat. Sci.: Mater. Int. 2020, 30, 128–134. DOI: 10.1016/j.pnsc.2020.01.001.</w:t>
      </w:r>
    </w:p>
    <w:p>
      <w:pPr>
        <w:numPr>
          <w:ilvl w:val="0"/>
          <w:numId w:val="1002"/>
        </w:numPr>
      </w:pPr>
      <w:r>
        <w:t xml:space="preserve">Li, Z.; Zhang, X.; Zhang, L.; Xu, C.; Zhang, Y. Pathway Alteration of Water Splitting via Oxygen Vacancy Formation on Anatase Titanium Dioxide in Photothermal Catalysis. J. Phys. Chem. C 2020, 124, 26214–26221. DOI: 10.1021/acs.jpcc.0c07117.</w:t>
      </w:r>
    </w:p>
    <w:p>
      <w:pPr>
        <w:numPr>
          <w:ilvl w:val="0"/>
          <w:numId w:val="1002"/>
        </w:numPr>
      </w:pPr>
      <w:r>
        <w:t xml:space="preserve">Knez, D.; Dražić, G.; Chaluvadi, S. K.; Rossi, G.; Ciancio, R. Unveiling Oxygen Vacancy Superstructures in Reduced Anatase Thin Films. Nano Lett. 2020, 20, 6444–6451. DOI: 10.1021/acs.nanolett.0c02125.</w:t>
      </w:r>
    </w:p>
    <w:p>
      <w:pPr>
        <w:numPr>
          <w:ilvl w:val="0"/>
          <w:numId w:val="1002"/>
        </w:numPr>
      </w:pPr>
      <w:r>
        <w:t xml:space="preserve">Bigi, C.; Tang, Z.; Pierantozzi, G. M.; Panaccione, G.; Selloni, A. Distinct Behaviour of Localised and Delocalised Carriers in Anatase TiO2 (001) during Reaction with O2. Phys. Rev. Mater. 2020, 4, 025801. DOI: 10.1103/PhysRevMaterials.4.025801.</w:t>
      </w:r>
    </w:p>
    <w:p>
      <w:pPr>
        <w:numPr>
          <w:ilvl w:val="0"/>
          <w:numId w:val="1002"/>
        </w:numPr>
      </w:pPr>
      <w:r>
        <w:t xml:space="preserve">Bai, X.; Jia, J.; Du, Y.; Liu, E.; Fan, J. Multi-Level Trapped Electrons System in Enhancing Photocatalytic Activity of TiO2 Nanosheets for Simultaneous Reduction of Cr(VI) and RhB Degradation. Appl. Surf. Sci. 2020, 504, 144298. DOI: 10.1016/j.apsusc.2019.144298.</w:t>
      </w:r>
    </w:p>
    <w:p>
      <w:pPr>
        <w:numPr>
          <w:ilvl w:val="0"/>
          <w:numId w:val="1002"/>
        </w:numPr>
      </w:pPr>
      <w:r>
        <w:t xml:space="preserve">Yang, Y.; Zhang, Z.; Fang, W.-H.; Fernández-Alberti, S.; Long, R. Unraveling the Quantum Dynamics Origin of High Photocatalytic Activity in Nitrogen-Doped Anatase TiO2: Time-Domain Ab Initio Analysis. J. Mater. Chem. A 2020, 8, 25235–25244. DOI: 10.1039/d0ta08712b.</w:t>
      </w:r>
    </w:p>
    <w:p>
      <w:pPr>
        <w:numPr>
          <w:ilvl w:val="0"/>
          <w:numId w:val="1002"/>
        </w:numPr>
      </w:pPr>
      <w:r>
        <w:t xml:space="preserve">Yin, W.-J.; Wen, B.; Zhou, C.; Selloni, A.; Liu, L.-M. Excess Electrons in Reduced Rutile and Anatase TiO2. Surf. Sci. Rep. 2018, 73, 58–82. DOI: 10.1016/j.surfrep.2018.02.003.</w:t>
      </w:r>
    </w:p>
    <w:p>
      <w:pPr>
        <w:numPr>
          <w:ilvl w:val="0"/>
          <w:numId w:val="1002"/>
        </w:numPr>
      </w:pPr>
      <w:r>
        <w:t xml:space="preserve">Raghav, A.; Hanindriyo, A. T.; Utimula, K.; Abbasnejad, M.; Maezono, R.; Panda, E. Intrinsic Electronic Defect States of Anatase Using Density Functional Theory. Comput. Mater. Sci. 2020, 184, 109925. DOI: 10.1016/j.commatsci.2020.109925.</w:t>
      </w:r>
    </w:p>
    <w:p>
      <w:pPr>
        <w:numPr>
          <w:ilvl w:val="0"/>
          <w:numId w:val="1002"/>
        </w:numPr>
      </w:pPr>
      <w:r>
        <w:t xml:space="preserve">Arrigoni, M.; Madsen, G. K. H. A Comparative First-Principles Investigation on the Defect Chemistry of TiO2 Anatase. J. Chem. Phys. 2020, 152, 044110. DOI: 10.1063/1.5138902.</w:t>
      </w:r>
    </w:p>
    <w:p>
      <w:pPr>
        <w:numPr>
          <w:ilvl w:val="0"/>
          <w:numId w:val="1002"/>
        </w:numPr>
      </w:pPr>
      <w:r>
        <w:t xml:space="preserve">Tian, X.; Zeng, Z.; He, Y.; Lei, L.; Yu, C.; Zhang, X. Rb Doping and Lattice Strain Synergistically Engineering Oxygen Vacancies in TiO2 for Stable High-Contrast Photoreversible Colour Switching. Adv. Funct. Mater. 2025, 35, 2423514. DOI: 10.1002/adfm.202423514.</w:t>
      </w:r>
    </w:p>
    <w:p>
      <w:pPr>
        <w:numPr>
          <w:ilvl w:val="0"/>
          <w:numId w:val="1002"/>
        </w:numPr>
      </w:pPr>
      <w:r>
        <w:t xml:space="preserve">Carey, J. J.; Nolan, M. Enhancing the Oxygen Vacancy Formation and Migration in Bulk Chromium(III) Oxide by Alkali Metal Doping: A Change from Isotropic to Anisotropic Oxygen Diffusion. J. Mater. Chem. A 2017, 5, 15613–15630. DOI: 10.1039/c7ta00315c.</w:t>
      </w:r>
    </w:p>
    <w:p>
      <w:pPr>
        <w:numPr>
          <w:ilvl w:val="0"/>
          <w:numId w:val="1002"/>
        </w:numPr>
      </w:pPr>
      <w:r>
        <w:t xml:space="preserve">Iwaszuk, A.; Nolan, M. Charge Compensation in Trivalent Cation Doped Bulk Rutile TiO2. J. Phys.: Condens. Matter 2011, 23, 334207. DOI: 10.1088/0953-8984/23/33/334207.</w:t>
      </w:r>
    </w:p>
    <w:p>
      <w:pPr>
        <w:numPr>
          <w:ilvl w:val="0"/>
          <w:numId w:val="1002"/>
        </w:numPr>
      </w:pPr>
      <w:r>
        <w:t xml:space="preserve">Han, X.; Amrane, N.; Zhang, Z.; Benkraouda, M. Interplay between Gd and Oxygen Vacancy on the Electronic Properties and Defect Chemistry of Gd-Doped CeO2: A DFT+U Study. Chem. Phys. 2020, 534, 110741. DOI: 10.1016/j.chemphys.2020.110741.</w:t>
      </w:r>
    </w:p>
    <w:p>
      <w:pPr>
        <w:numPr>
          <w:ilvl w:val="0"/>
          <w:numId w:val="1002"/>
        </w:numPr>
      </w:pPr>
      <w:r>
        <w:t xml:space="preserve">Polliotto, V.; Albanese, E.; Livraghi, S.; Pacchioni, G.; Giamello, E. Structural, Electronic and Photochemical Properties of Cerium-Doped Zirconium Titanate. Catal. Today 2020, 340, 49–58. DOI: 10.1016/j.cattod.2018.09.026.</w:t>
      </w:r>
    </w:p>
    <w:p>
      <w:pPr>
        <w:numPr>
          <w:ilvl w:val="0"/>
          <w:numId w:val="1002"/>
        </w:numPr>
      </w:pPr>
      <w:r>
        <w:t xml:space="preserve">Mazierski, P.; Mikołajczyk, A.; Grzyb, T.; Zaleska-Medynska, A.; Nadolna, J. On the Excitation Mechanism of Visible Responsible Er-TiO2 System Proved by Experimental and Theoretical Investigations for Boosting Photocatalytic Activity. Appl. Surf. Sci. 2020, 527, 146815. DOI: 10.1016/j.apsusc.2020.146815.</w:t>
      </w:r>
    </w:p>
    <w:p>
      <w:pPr>
        <w:numPr>
          <w:ilvl w:val="0"/>
          <w:numId w:val="1002"/>
        </w:numPr>
      </w:pPr>
      <w:r>
        <w:t xml:space="preserve">Ahmad, A.; Yerlikaya, G.; Ur Rehman, M. Z.; Paksoy, H.; Kardaş, G. Enhanced Photoelectrochemical Water Splitting Using Gadolinium Doped Titanium Dioxide Nanorod Array Photoanodes. Int. J. Hydrogen Energy 2020, 45, 2515–2526. DOI: 10.1016/j.ijhydene.2019.11.117.</w:t>
      </w:r>
    </w:p>
    <w:p>
      <w:pPr>
        <w:numPr>
          <w:ilvl w:val="0"/>
          <w:numId w:val="1002"/>
        </w:numPr>
      </w:pPr>
      <w:r>
        <w:t xml:space="preserve">Chen, W.; Yuan, P.; Zhang, S.; Sun, Q.; Liang, E.; Jia, Y. Electronic Properties of Anatase TiO2 Doped by Lanthanides: A DFT+U Study. Physica B 2012, 407, 1038–1043. DOI: 10.1016/j.physb.2011.12.126.</w:t>
      </w:r>
    </w:p>
    <w:p>
      <w:pPr>
        <w:numPr>
          <w:ilvl w:val="0"/>
          <w:numId w:val="1002"/>
        </w:numPr>
      </w:pPr>
      <w:r>
        <w:t xml:space="preserve">Chen, H.; Yao, L.; Yang, S.; Wang, Y.; Liang, X.; Huang, Y. First-Principles Study on Electronic and Optical Properties in Pr-Doped Anatase TiO2. Adv. Mater. Res. 2014, 924, 260–268. DOI: 10.4028/www.scientific.net/AMR.924.260.</w:t>
      </w:r>
    </w:p>
    <w:p>
      <w:pPr>
        <w:numPr>
          <w:ilvl w:val="0"/>
          <w:numId w:val="1002"/>
        </w:numPr>
      </w:pPr>
      <w:r>
        <w:t xml:space="preserve">Albuquerque, A. R.; Bruix, A.; dos Santos, I. M. G.; Sambrano, J. R.; Illas, F. DFT Study on Ce-Doped Anatase TiO2: Nature of Ce3+ and Ti3+ Centers Triggered by Oxygen Vacancy Formation. J. Phys. Chem. C 2014, 118, 9677–9689. DOI: 10.1021/jp501757f.</w:t>
      </w:r>
    </w:p>
    <w:p>
      <w:pPr>
        <w:numPr>
          <w:ilvl w:val="0"/>
          <w:numId w:val="1002"/>
        </w:numPr>
      </w:pPr>
      <w:r>
        <w:t xml:space="preserve">Bahmanrokh, G.; Cazorla, C.; Mofarah, S. S.; Koshy, P.; Sorrell, C. C. Band Gap Engineering of Ce-Doped Anatase TiO2 through Solid Solubility Mechanisms and New Defect Equilibria Formalism. Nanoscale 2020, 12, 4916–4934. DOI: 10.1039/c9nr08604h.</w:t>
      </w:r>
    </w:p>
    <w:p>
      <w:pPr>
        <w:numPr>
          <w:ilvl w:val="0"/>
          <w:numId w:val="1002"/>
        </w:numPr>
      </w:pPr>
      <w:r>
        <w:t xml:space="preserve">Vural, K. B.; Kaderoğlu, Ç.; Ellialtıoğlu, Ş. Density Functional Theory Investigation of Pr Adsorption on the Anatase TiO2(101) Surface for Photovoltaic Applications. Appl. Surf. Sci. 2023, 612, 156042. DOI: 10.1016/j.apsusc.2022.156042.</w:t>
      </w:r>
    </w:p>
    <w:p>
      <w:pPr>
        <w:numPr>
          <w:ilvl w:val="0"/>
          <w:numId w:val="1002"/>
        </w:numPr>
      </w:pPr>
      <w:r>
        <w:t xml:space="preserve">Shannon, R. D. Revised Effective Ionic Radii and Systematic Studies of Interatomic Distances in Halides and Chalcogenides. Acta Crystallogr. A 1976, 32, 751–767. DOI: 10.1107/S0567739476001551.</w:t>
      </w:r>
    </w:p>
    <w:p>
      <w:pPr>
        <w:numPr>
          <w:ilvl w:val="0"/>
          <w:numId w:val="1002"/>
        </w:numPr>
      </w:pPr>
      <w:r>
        <w:t xml:space="preserve">Li, Z.-X.; He, G.-Q.; Kong, B.; Zeng, T.-X.; Zhang, J. Hybrid Density Functional Studies for the Effect of Oxygen Vacancy on the Visible Light Photocatalytic Activity in M (M = Li, Na, K, Rb, Cs)-Doped α-Bi2O3. J. Phys. Chem. Solids 2020, 144, 109581. DOI: 10.1016/j.jpcs.2020.109581.</w:t>
      </w:r>
    </w:p>
    <w:p>
      <w:pPr>
        <w:numPr>
          <w:ilvl w:val="0"/>
          <w:numId w:val="1002"/>
        </w:numPr>
      </w:pPr>
      <w:r>
        <w:t xml:space="preserve">Kröger, F. A.; Vink, H. J. Relations between the Concentrations of Imperfections in Crystalline Solids. Solid State Phys. 1956, 3, 307–435. DOI: 10.1016/S0081-1947(08)60135-6.</w:t>
      </w:r>
    </w:p>
    <w:p>
      <w:pPr>
        <w:numPr>
          <w:ilvl w:val="0"/>
          <w:numId w:val="1002"/>
        </w:numPr>
      </w:pPr>
      <w:r>
        <w:t xml:space="preserve">Giannozzi, P.; Andreussi, O.; Brumme, T.; Bunau, O.; et al. Advanced Capabilities for Materials Modelling with Quantum ESPRESSO. J. Phys.: Condens. Matter 2017, 29, 465901. DOI: 10.1088/1361-648X/aa8f79.</w:t>
      </w:r>
    </w:p>
    <w:p>
      <w:pPr>
        <w:numPr>
          <w:ilvl w:val="0"/>
          <w:numId w:val="1002"/>
        </w:numPr>
      </w:pPr>
      <w:r>
        <w:t xml:space="preserve">Giannozzi, P.; Baseggio, O.; Bonfà, P.; Brunato, D.; et al. Quantum ESPRESSO toward the Exascale. J. Chem. Phys. 2020, 152, 154105. DOI: 10.1063/5.0005082.</w:t>
      </w:r>
    </w:p>
    <w:p>
      <w:pPr>
        <w:numPr>
          <w:ilvl w:val="0"/>
          <w:numId w:val="1002"/>
        </w:numPr>
      </w:pPr>
      <w:r>
        <w:t xml:space="preserve">Perdew, J. P.; Burke, K.; Ernzerhof, M. Generalized Gradient Approximation Made Simple. Phys. Rev. Lett. 1996, 77, 3865–3868. DOI: 10.1103/PhysRevLett.77.3865.</w:t>
      </w:r>
    </w:p>
    <w:p>
      <w:pPr>
        <w:numPr>
          <w:ilvl w:val="0"/>
          <w:numId w:val="1002"/>
        </w:numPr>
      </w:pPr>
      <w:r>
        <w:t xml:space="preserve">Dal Corso, A. Pseudopotentials Periodic Table: From H to Pu. Comput. Mater. Sci. 2014, 95, 337–350. DOI: 10.1016/j.commatsci.2014.07.043. PSlibrary 1.0.0 PAW set, https://www.quantum-espresso.org/pseudopotentials/ and https://github.com/dalcorso/pslibrary (accessed 2026-10-02).</w:t>
      </w:r>
    </w:p>
    <w:p>
      <w:pPr>
        <w:numPr>
          <w:ilvl w:val="0"/>
          <w:numId w:val="1002"/>
        </w:numPr>
      </w:pPr>
      <w:r>
        <w:t xml:space="preserve">Dudarev, S. L.; Botton, G. A.; Savrasov, S. Y.; Humphreys, C. J.; Sutton, A. P. Electron-Energy-Loss Spectra and the Structural Stability of Nickel Oxide: An LSDA+U Study. Phys. Rev. B 1998, 57, 1505–1509. DOI: 10.1103/PhysRevB.57.1505.</w:t>
      </w:r>
    </w:p>
    <w:p>
      <w:pPr>
        <w:numPr>
          <w:ilvl w:val="0"/>
          <w:numId w:val="1002"/>
        </w:numPr>
      </w:pPr>
      <w:r>
        <w:t xml:space="preserve">Deák, P.; Kullgren, J.; Frauenheim, T. Polarons and Oxygen Vacancies at the Surface of Anatase TiO2. Phys. Status Solidi RRL 2014, 8, 583–586. DOI: 10.1002/pssr.201409139.</w:t>
      </w:r>
    </w:p>
    <w:p>
      <w:pPr>
        <w:numPr>
          <w:ilvl w:val="0"/>
          <w:numId w:val="1002"/>
        </w:numPr>
      </w:pPr>
      <w:r>
        <w:t xml:space="preserve">Morgan, B. J.; Watson, G. W. A DFT+U Description of Oxygen Vacancies at the TiO2 Rutile (110) Surface. Surf. Sci. 2007, 601, 5034–5041. DOI: 10.1016/j.susc.2007.08.025.</w:t>
      </w:r>
    </w:p>
    <w:p>
      <w:pPr>
        <w:numPr>
          <w:ilvl w:val="0"/>
          <w:numId w:val="1002"/>
        </w:numPr>
      </w:pPr>
      <w:r>
        <w:t xml:space="preserve">Anisimov, V. I.; Zaanen, J.; Andersen, O. K. Band Theory and Mott Insulators: Hubbard U Instead of Stoner I. Phys. Rev. B 1991, 44, 943–954. DOI: 10.1103/PhysRevB.44.943.</w:t>
      </w:r>
    </w:p>
    <w:p>
      <w:pPr>
        <w:numPr>
          <w:ilvl w:val="0"/>
          <w:numId w:val="1002"/>
        </w:numPr>
      </w:pPr>
      <w:r>
        <w:t xml:space="preserve">Cococcioni, M.; de Gironcoli, S. Linear Response Approach to the Calculation of the Effective Interaction Parameters in the LDA+U Method. Phys. Rev. B 2005, 71, 035105. DOI: 10.1103/PhysRevB.71.035105.</w:t>
      </w:r>
    </w:p>
    <w:p>
      <w:pPr>
        <w:numPr>
          <w:ilvl w:val="0"/>
          <w:numId w:val="1002"/>
        </w:numPr>
      </w:pPr>
      <w:r>
        <w:t xml:space="preserve">Freysoldt, C.; Grabowski, B.; Hickel, T.; Neugebauer, J.; Kresse, G.; Janotti, A.; Van de Walle, C. G. First-Principles Calculations for Point Defects in Solids. Rev. Mod. Phys. 2014, 86, 253–305. DOI: 10.1103/RevModPhys.86.253.</w:t>
      </w:r>
    </w:p>
    <w:p>
      <w:pPr>
        <w:numPr>
          <w:ilvl w:val="0"/>
          <w:numId w:val="1002"/>
        </w:numPr>
      </w:pPr>
      <w:r>
        <w:t xml:space="preserve">Heyd, J.; Scuseria, G. E.; Ernzerhof, M. Hybrid Functionals Based on a Screened Coulomb Potential. J. Chem. Phys. 2003, 118, 8207–8215. DOI: 10.1063/1.1564060.</w:t>
      </w:r>
    </w:p>
    <w:p>
      <w:pPr>
        <w:numPr>
          <w:ilvl w:val="0"/>
          <w:numId w:val="1002"/>
        </w:numPr>
      </w:pPr>
      <w:r>
        <w:t xml:space="preserve">Krukau, A. V.; Vydrov, O. A.; Izmaylov, A. F.; Scuseria, G. E. Influence of the Exchange Screening Parameter on the Performance of Screened Hybrid Functionals. J. Chem. Phys. 2006, 125, 224106. DOI: 10.1063/1.2404663.</w:t>
      </w:r>
    </w:p>
    <w:p>
      <w:pPr>
        <w:numPr>
          <w:ilvl w:val="0"/>
          <w:numId w:val="1002"/>
        </w:numPr>
      </w:pPr>
      <w:r>
        <w:t xml:space="preserve">Grimme, S.; Antony, J.; Ehrlich, S.; Krieg, H. A Consistent and Accurate Ab Initio Parametrization of Density Functional Dispersion Correction (DFT-D) for the 94 Elements H–Pu. J. Chem. Phys. 2010, 132, 154104. DOI: 10.1063/1.3382344.</w:t>
      </w:r>
    </w:p>
    <w:p>
      <w:pPr>
        <w:numPr>
          <w:ilvl w:val="0"/>
          <w:numId w:val="1002"/>
        </w:numPr>
      </w:pPr>
      <w:r>
        <w:t xml:space="preserve">Grimme, S.; Ehrlich, S.; Goerigk, L. Effect of the Damping Function in Dispersion Corrected Density Functional Theory. J. Comput. Chem. 2011, 32, 1456–1465. DOI: 10.1002/jcc.21759.</w:t>
      </w:r>
    </w:p>
    <w:p>
      <w:pPr>
        <w:numPr>
          <w:ilvl w:val="0"/>
          <w:numId w:val="1002"/>
        </w:numPr>
      </w:pPr>
      <w:r>
        <w:t xml:space="preserve">Torres, A. E.; Rodriguez-Pineda, J.; Zanella, R. Relevance of Dispersion and the Electronic Spin in the DFT+U Approach for the Description of Pristine and Defective TiO2 Anatase. ACS Omega 2021, 6, 23170–23180. DOI: 10.1021/acsomega.1c02818.</w:t>
      </w:r>
    </w:p>
    <w:p>
      <w:pPr>
        <w:numPr>
          <w:ilvl w:val="0"/>
          <w:numId w:val="1002"/>
        </w:numPr>
      </w:pPr>
      <w:r>
        <w:t xml:space="preserve">Henkelman, G.; Arnaldsson, A.; Jónsson, H. A Fast and Robust Algorithm for Bader Decomposition of Charge Density. Comput. Mater. Sci. 2006, 36, 354–360. DOI: 10.1016/j.commatsci.2005.04.010.</w:t>
      </w:r>
    </w:p>
    <w:p>
      <w:pPr>
        <w:numPr>
          <w:ilvl w:val="0"/>
          <w:numId w:val="1002"/>
        </w:numPr>
      </w:pPr>
      <w:r>
        <w:t xml:space="preserve">Tang, W.; Sanville, E.; Henkelman, G. A Grid-Based Bader Analysis Algorithm without Lattice Bias. J. Phys.: Condens. Matter 2009, 21, 084204. DOI: 10.1088/0953-8984/21/8/084204.</w:t>
      </w:r>
    </w:p>
    <w:p>
      <w:pPr>
        <w:numPr>
          <w:ilvl w:val="0"/>
          <w:numId w:val="1002"/>
        </w:numPr>
      </w:pPr>
      <w:r>
        <w:t xml:space="preserve">Boonchun, A.; Reunchan, P.; Umezawa, N. Energetics of Native Defects in Anatase TiO2: A Hybrid Density Functional Study. Phys. Chem. Chem. Phys. 2016, 18, 30040–30046. DOI: 10.1039/C6CP05798E.</w:t>
      </w:r>
    </w:p>
    <w:p>
      <w:pPr>
        <w:numPr>
          <w:ilvl w:val="0"/>
          <w:numId w:val="1002"/>
        </w:numPr>
      </w:pPr>
      <w:r>
        <w:t xml:space="preserve">Wang, Y.; Deng, S.; Liu, B.; Jin, Y. Mechanistic Understanding on the Role of Cu Species over the CuOx/TiO2 Catalyst for CO2 Photoreduction. ACS Omega 2020, 5, 18050–18063. DOI: 10.1021/acsomega.0c01514.</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2026-10-02T13:45:24Z</dcterms:created>
  <dcterms:modified xsi:type="dcterms:W3CDTF">2026-10-02T13:45:24Z</dcterms:modified>
</cp:coreProperties>
</file>

<file path=docProps/custom.xml><?xml version="1.0" encoding="utf-8"?>
<Properties xmlns="http://schemas.openxmlformats.org/officeDocument/2006/custom-properties" xmlns:vt="http://schemas.openxmlformats.org/officeDocument/2006/docPropsVTypes"/>
</file>