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b65a3a1b2f930a353daa5760acb4fdbebfc079"/>
    <w:p>
      <w:pPr>
        <w:pStyle w:val="Heading1"/>
      </w:pPr>
      <w:r>
        <w:t xml:space="preserve">Editorial pass log — v4 manuscript (2 October 2026)</w:t>
      </w:r>
    </w:p>
    <w:p>
      <w:pPr>
        <w:pStyle w:val="FirstParagraph"/>
      </w:pPr>
      <w:r>
        <w:t xml:space="preserve">Two Fable 5.1 review lenses completed before the session usage limit interrupted the run: a handling-editor screen (ED) and a computational-methods referee (CM). The defect-chemistry, copy-editing, citation and SI-consistency lenses and the automated verifiers did not run; the findings below were therefore verified and applied by hand against the source files, with the constraint that no computed value was changed (checked with tools_check_numbers.py). Figures that depend on raw data were patched at the label level only and remain flagged for regeneration.</w:t>
      </w:r>
    </w:p>
    <w:p>
      <w:pPr>
        <w:pStyle w:val="BodyText"/>
      </w:pPr>
      <w:r>
        <w:t xml:space="preserve">Severity: desk reject = an editor would return the paper without review; major = a referee would require revision; minor = clarity or format.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(abridged)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abstract is 331 words (counted by script), well over Elsevier’s ~250-word cap for Applied Surface Science. It also contains an internal contradiction:</w:t>
            </w:r>
            <w:r>
              <w:t xml:space="preserve"> </w:t>
            </w:r>
            <w:r>
              <w:t xml:space="preserve">‘</w:t>
            </w:r>
            <w:r>
              <w:t xml:space="preserve">unpaired spin in every treatment tested (absolute magnetisation 1.00–1.21 μB)</w:t>
            </w:r>
            <w:r>
              <w:t xml:space="preserve">’</w:t>
            </w:r>
            <w:r>
              <w:t xml:space="preserve"> </w:t>
            </w:r>
            <w:r>
              <w:t xml:space="preserve">while Table 4 reports 3.0…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graphical abstract exists anywhere in the submission package (figures/ contains only Figures 1–4, S1–S3 and the stale originals). Applied Surface Science requires a graphical abstract at submission; the editorial system will not let the submission proceed w…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Graphical abstract created (figures/Graphical_Abstract.png, 1535 × 590 px)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Fig1_structures_relabel_required.png still carries panel subtitles</w:t>
            </w:r>
            <w:r>
              <w:t xml:space="preserve"> </w:t>
            </w:r>
            <w:r>
              <w:t xml:space="preserve">‘</w:t>
            </w:r>
            <w:r>
              <w:t xml:space="preserve">m = 0 (singlet, no Ti³⁺ trap)</w:t>
            </w:r>
            <w:r>
              <w:t xml:space="preserve">’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‘</w:t>
            </w:r>
            <w:r>
              <w:t xml:space="preserve">/m/ = 1.21 μB (Ti³⁺/O hole trap)</w:t>
            </w:r>
            <w:r>
              <w:t xml:space="preserve">’</w:t>
            </w:r>
            <w:r>
              <w:t xml:space="preserve">. The caption and Section 3.3 state the Pr cell is a smeared non-magnetic solution, not a singlet, and that the Rb_VO spin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raster patch of the artwork; regeneration from raw data remains an [AUTHOR ACTION]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Fig4_PDOS_relabel_required.png: title reads</w:t>
            </w:r>
            <w:r>
              <w:t xml:space="preserve"> </w:t>
            </w:r>
            <w:r>
              <w:t xml:space="preserve">‘</w:t>
            </w:r>
            <w:r>
              <w:t xml:space="preserve">Pr_VO (non-magnetic) vs Rb_VO (Ti³⁺ trap)</w:t>
            </w:r>
            <w:r>
              <w:t xml:space="preserve">’</w:t>
            </w:r>
            <w:r>
              <w:t xml:space="preserve">, the top panel is labelled</w:t>
            </w:r>
            <w:r>
              <w:t xml:space="preserve"> </w:t>
            </w:r>
            <w:r>
              <w:t xml:space="preserve">‘</w:t>
            </w:r>
            <w:r>
              <w:t xml:space="preserve">singlet</w:t>
            </w:r>
            <w:r>
              <w:t xml:space="preserve">’</w:t>
            </w:r>
            <w:r>
              <w:t xml:space="preserve">, and the inset arrow says</w:t>
            </w:r>
            <w:r>
              <w:t xml:space="preserve"> </w:t>
            </w:r>
            <w:r>
              <w:t xml:space="preserve">‘</w:t>
            </w:r>
            <w:r>
              <w:t xml:space="preserve">Ti³⁺ trap</w:t>
            </w:r>
            <w:r>
              <w:t xml:space="preserve">’</w:t>
            </w:r>
            <w:r>
              <w:t xml:space="preserve">, all of which the text withdraws. In addition, the Rb_VO panel shows Ti-3d weight of 5–8 states/e…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raster patch of the artwork; regeneration from raw data remains an [AUTHOR ACTION]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8.80 eV is obtained by subtracting the rounded table entries (4.74 + 4.06). From the unrounded ledger the value is 8.81 eV, and SI Section S9 itself states −8.808 eV. The same paragraph explicitly calls the analogous 5.35 eV a</w:t>
            </w:r>
            <w:r>
              <w:t xml:space="preserve"> </w:t>
            </w:r>
            <w:r>
              <w:t xml:space="preserve">‘</w:t>
            </w:r>
            <w:r>
              <w:t xml:space="preserve">rounding artefact</w:t>
            </w:r>
            <w:r>
              <w:t xml:space="preserve">’</w:t>
            </w:r>
            <w:r>
              <w:t xml:space="preserve">, so the text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rounded-subtraction artefact as ED-05 repeated in the Discussion; must agree with Section 3.2 and SI S9 (−8.808 eV).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Footnote a states that the pristine 2×2×2 single points were not computed, but Section 3.7 (k-mesh) states that Pristine_perfect was computed at Γ, 2×2×1, 2×2×2 and 3×3×2. Only the pristine V</w:t>
            </w:r>
            <w:r>
              <w:rPr>
                <w:vertAlign w:val="subscript"/>
              </w:rPr>
              <w:t xml:space="preserve">O</w:t>
            </w:r>
            <w:r>
              <w:t xml:space="preserve"> </w:t>
            </w:r>
            <w:r>
              <w:t xml:space="preserve">cell is actually missing at 2×2×2. Table and text contradict each…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Combining Table S2 with the Section 3.7 text gives a non-monotonic k-mesh sequence that is never acknowledged: Γ − 2×2×2 = 1.13 eV (Pr_VO) and 1.24 eV (Rb_VO) from Table S2, but Γ − 3×3×2 is quoted as 1.08 and 1.16 eV, so the 2×2×2 energies lie 0.05–0.08 eV be…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production Rb_VO magnetisation is m</w:t>
            </w:r>
            <w:r>
              <w:rPr>
                <w:vertAlign w:val="subscript"/>
              </w:rPr>
              <w:t xml:space="preserve">abs</w:t>
            </w:r>
            <w:r>
              <w:t xml:space="preserve"> </w:t>
            </w:r>
            <w:r>
              <w:t xml:space="preserve">= 1.21 μB (Table 3, Figure 3, Abstract), yet the D3 single point on the same geometry gives 1.00 μB (Table S5), as do the U-sweep single points (Table S1). Saying the D3 single points leave the magnetisation ’unchan…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2.5 states that</w:t>
            </w:r>
            <w:r>
              <w:t xml:space="preserve"> </w:t>
            </w:r>
            <w:r>
              <w:t xml:space="preserve">‘</w:t>
            </w:r>
            <w:r>
              <w:t xml:space="preserve">every cell that converged to m = 0 was re-relaxed from a magnetic start</w:t>
            </w:r>
            <w:r>
              <w:t xml:space="preserve">’</w:t>
            </w:r>
            <w:r>
              <w:t xml:space="preserve"> </w:t>
            </w:r>
            <w:r>
              <w:t xml:space="preserve">and Limitation (v) says</w:t>
            </w:r>
            <w:r>
              <w:t xml:space="preserve"> </w:t>
            </w:r>
            <w:r>
              <w:t xml:space="preserve">‘</w:t>
            </w:r>
            <w:r>
              <w:t xml:space="preserve">one magnetic trial per non-magnetic cell was performed</w:t>
            </w:r>
            <w:r>
              <w:t xml:space="preserve">’</w:t>
            </w:r>
            <w:r>
              <w:t xml:space="preserve">, but only the Pr_VO trial is reported anywhere (Table 3, Table S9 run 24). The Pr…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Section S1 states that the converged pristine V</w:t>
            </w:r>
            <w:r>
              <w:rPr>
                <w:vertAlign w:val="subscript"/>
              </w:rPr>
              <w:t xml:space="preserve">O</w:t>
            </w:r>
            <w:r>
              <w:t xml:space="preserve"> </w:t>
            </w:r>
            <w:r>
              <w:t xml:space="preserve">production run used starting_magnetization = 0.05 on both species. The Methods sentence</w:t>
            </w:r>
            <w:r>
              <w:t xml:space="preserve"> </w:t>
            </w:r>
            <w:r>
              <w:t xml:space="preserve">‘</w:t>
            </w:r>
            <w:r>
              <w:t xml:space="preserve">on all species</w:t>
            </w:r>
            <w:r>
              <w:t xml:space="preserve">’</w:t>
            </w:r>
            <w:r>
              <w:t xml:space="preserve"> </w:t>
            </w:r>
            <w:r>
              <w:t xml:space="preserve">for all production relaxations is therefore contradicted by the 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2.6 gives mixing_beta = 0.1 as the production setting, but SI S1 describes</w:t>
            </w:r>
            <w:r>
              <w:t xml:space="preserve"> </w:t>
            </w:r>
            <w:r>
              <w:t xml:space="preserve">‘</w:t>
            </w:r>
            <w:r>
              <w:t xml:space="preserve">the production protocol with the default mixing (mixing_mode = local-TF, mixing_beta = 0.3)</w:t>
            </w:r>
            <w:r>
              <w:t xml:space="preserve">’</w:t>
            </w:r>
            <w:r>
              <w:t xml:space="preserve"> </w:t>
            </w:r>
            <w:r>
              <w:t xml:space="preserve">and lists 0.1 as a recovery change made only for the pristine V</w:t>
            </w:r>
            <w:r>
              <w:rPr>
                <w:vertAlign w:val="subscript"/>
              </w:rPr>
              <w:t xml:space="preserve">O</w:t>
            </w:r>
            <w:r>
              <w:t xml:space="preserve"> </w:t>
            </w:r>
            <w:r>
              <w:t xml:space="preserve">cell. The two ac…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PSlibrary has no</w:t>
            </w:r>
            <w:r>
              <w:t xml:space="preserve"> </w:t>
            </w:r>
            <w:r>
              <w:t xml:space="preserve">‘</w:t>
            </w:r>
            <w:r>
              <w:t xml:space="preserve">low-cut-off set</w:t>
            </w:r>
            <w:r>
              <w:t xml:space="preserve">’</w:t>
            </w:r>
            <w:r>
              <w:t xml:space="preserve">; each UPF header carries a</w:t>
            </w:r>
            <w:r>
              <w:t xml:space="preserve"> </w:t>
            </w:r>
            <w:r>
              <w:t xml:space="preserve">‘</w:t>
            </w:r>
            <w:r>
              <w:t xml:space="preserve">Suggested minimum cutoff</w:t>
            </w:r>
            <w:r>
              <w:t xml:space="preserve">’</w:t>
            </w:r>
            <w:r>
              <w:t xml:space="preserve"> </w:t>
            </w:r>
            <w:r>
              <w:t xml:space="preserve">for wavefunctions and charge density, and for the O and Ti PAW datasets named these are commonly above 40 Ry. The sentence presents an unverified justification of the only…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4.74 eV is not</w:t>
            </w:r>
            <w:r>
              <w:t xml:space="preserve"> </w:t>
            </w:r>
            <w:r>
              <w:t xml:space="preserve">‘</w:t>
            </w:r>
            <w:r>
              <w:t xml:space="preserve">within</w:t>
            </w:r>
            <w:r>
              <w:t xml:space="preserve">’</w:t>
            </w:r>
            <w:r>
              <w:t xml:space="preserve"> </w:t>
            </w:r>
            <w:r>
              <w:t xml:space="preserve">5.3–5.5 eV, so the sentence is wrong as written for the hybrid comparison, and</w:t>
            </w:r>
            <w:r>
              <w:t xml:space="preserve"> </w:t>
            </w:r>
            <w:r>
              <w:t xml:space="preserve">‘</w:t>
            </w:r>
            <w:r>
              <w:t xml:space="preserve">supports the protocol at the level of absolute formation energies</w:t>
            </w:r>
            <w:r>
              <w:t xml:space="preserve">’</w:t>
            </w:r>
            <w:r>
              <w:t xml:space="preserve"> </w:t>
            </w:r>
            <w:r>
              <w:t xml:space="preserve">overstates what a value inside the DFT+U spread shows. In addition the cited Deák et al. 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marker omits Deák et al., whose entry in refs.py is itself flagged</w:t>
            </w:r>
            <w:r>
              <w:t xml:space="preserve"> </w:t>
            </w:r>
            <w:r>
              <w:t xml:space="preserve">‘</w:t>
            </w:r>
            <w:r>
              <w:t xml:space="preserve">verify against the full text</w:t>
            </w:r>
            <w:r>
              <w:t xml:space="preserve">’</w:t>
            </w:r>
            <w:r>
              <w:t xml:space="preserve"> </w:t>
            </w:r>
            <w:r>
              <w:t xml:space="preserve">and whose title concerns the anatase surface, not the bulk vacancy value it is cited for here.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3.6 and the Table 3 caption state that printed Fermi energies of chemically different cells are unaligned and</w:t>
            </w:r>
            <w:r>
              <w:t xml:space="preserve"> </w:t>
            </w:r>
            <w:r>
              <w:t xml:space="preserve">‘</w:t>
            </w:r>
            <w:r>
              <w:t xml:space="preserve">diagnostic only</w:t>
            </w:r>
            <w:r>
              <w:t xml:space="preserve">’</w:t>
            </w:r>
            <w:r>
              <w:t xml:space="preserve">, yet here an unaligned 0.53 eV Fermi-energy difference between Pr_perfect and the pristine cell is used as positive evidence…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Reviewers of the submitted manuscript have never seen an</w:t>
            </w:r>
            <w:r>
              <w:t xml:space="preserve"> </w:t>
            </w:r>
            <w:r>
              <w:t xml:space="preserve">‘</w:t>
            </w:r>
            <w:r>
              <w:t xml:space="preserve">earlier version</w:t>
            </w:r>
            <w:r>
              <w:t xml:space="preserve">’</w:t>
            </w:r>
            <w:r>
              <w:t xml:space="preserve">; a sentence withdrawing a claim from an unpublished draft is revision scaffolding that would embarrass the authors and signal to the editor that the paper is a repaired reject.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scaffolding as ED-17: withdrawing wording from an unseen earlier draft inside the Discussion.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 occurrence of the</w:t>
            </w:r>
            <w:r>
              <w:t xml:space="preserve"> </w:t>
            </w:r>
            <w:r>
              <w:t xml:space="preserve">‘</w:t>
            </w:r>
            <w:r>
              <w:t xml:space="preserve">used earlier</w:t>
            </w:r>
            <w:r>
              <w:t xml:space="preserve">’</w:t>
            </w:r>
            <w:r>
              <w:t xml:space="preserve"> </w:t>
            </w:r>
            <w:r>
              <w:t xml:space="preserve">scaffolding, this time in the Conclusions, where editors read most carefully.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Oxygen-centred spin in every treatment tested</w:t>
            </w:r>
            <w:r>
              <w:t xml:space="preserve">’</w:t>
            </w:r>
            <w:r>
              <w:t xml:space="preserve"> </w:t>
            </w:r>
            <w:r>
              <w:t xml:space="preserve">overstates the evidence: Section 3.6 says the PDOS</w:t>
            </w:r>
            <w:r>
              <w:t xml:space="preserve"> </w:t>
            </w:r>
            <w:r>
              <w:t xml:space="preserve">‘</w:t>
            </w:r>
            <w:r>
              <w:t xml:space="preserve">does not by itself fix the orbital character of the hole</w:t>
            </w:r>
            <w:r>
              <w:t xml:space="preserve">’</w:t>
            </w:r>
            <w:r>
              <w:t xml:space="preserve"> </w:t>
            </w:r>
            <w:r>
              <w:t xml:space="preserve">in the Ti-3d-only treatment, the charged series (Section 3.5) does not probe orbital character at all,…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accessible Δμ</w:t>
            </w:r>
            <w:r>
              <w:rPr>
                <w:vertAlign w:val="subscript"/>
              </w:rPr>
              <w:t xml:space="preserve">O</w:t>
            </w:r>
            <w:r>
              <w:t xml:space="preserve"> </w:t>
            </w:r>
            <w:r>
              <w:t xml:space="preserve">range of TiO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bounded by lower-oxide formation was not computed and no reference is given, while Limitation (ix) explicitly says competing phases were not evaluated. The clause is an unsupported thermodynamic claim contradicting the pape…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Generalises from one dopant of each class to all dopants with /Δq/ = 1 or 3, in the same paragraph that labels the La/Nd/Sm statement a hypothesis. This is the residual form of R17’s</w:t>
            </w:r>
            <w:r>
              <w:t xml:space="preserve"> </w:t>
            </w:r>
            <w:r>
              <w:t xml:space="preserve">‘</w:t>
            </w:r>
            <w:r>
              <w:t xml:space="preserve">universal /Δq/ threshold</w:t>
            </w:r>
            <w:r>
              <w:t xml:space="preserve">’</w:t>
            </w:r>
            <w:r>
              <w:t xml:space="preserve"> </w:t>
            </w:r>
            <w:r>
              <w:t xml:space="preserve">overclaim.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 et al. (title:</w:t>
            </w:r>
            <w:r>
              <w:t xml:space="preserve"> </w:t>
            </w:r>
            <w:r>
              <w:t xml:space="preserve">‘</w:t>
            </w:r>
            <w:r>
              <w:t xml:space="preserve">Interplay between Gd and Oxygen Vacancy … Gd-Doped CeO2</w:t>
            </w:r>
            <w:r>
              <w:t xml:space="preserve">’</w:t>
            </w:r>
            <w:r>
              <w:t xml:space="preserve">) and Albuquerque et al. (title:</w:t>
            </w:r>
            <w:r>
              <w:t xml:space="preserve"> </w:t>
            </w:r>
            <w:r>
              <w:t xml:space="preserve">‘</w:t>
            </w:r>
            <w:r>
              <w:t xml:space="preserve">Nature of Ce3+ and Ti3+ Centers Triggered by Oxygen Vacancy Formation</w:t>
            </w:r>
            <w:r>
              <w:t xml:space="preserve">’</w:t>
            </w:r>
            <w:r>
              <w:t xml:space="preserve">) are cited as evidence that trivalent dopants are compensated electronically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Albuquerque et al. 2014 concerns Ce</w:t>
            </w:r>
            <w:r>
              <w:rPr>
                <w:vertAlign w:val="superscript"/>
              </w:rPr>
              <w:t xml:space="preserve">4+</w:t>
            </w:r>
            <w:r>
              <w:t xml:space="preserve">/Ce</w:t>
            </w:r>
            <w:r>
              <w:rPr>
                <w:vertAlign w:val="superscript"/>
              </w:rPr>
              <w:t xml:space="preserve">3+</w:t>
            </w:r>
            <w:r>
              <w:t xml:space="preserve"> </w:t>
            </w:r>
            <w:r>
              <w:t xml:space="preserve">and Ti</w:t>
            </w:r>
            <w:r>
              <w:rPr>
                <w:vertAlign w:val="superscript"/>
              </w:rPr>
              <w:t xml:space="preserve">3+</w:t>
            </w:r>
            <w:r>
              <w:t xml:space="preserve"> </w:t>
            </w:r>
            <w:r>
              <w:t xml:space="preserve">electron centres in Ce-doped anatase, not O-2p hole states; only Iwaszuk and Nolan (rutile) report oxygen holes for trivalent dopants. Wrong attribution in the paragraph that positions the result agains…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formation energy is not an experimental observable; experiments measure vacancy concentration or spectroscopic signatures, while formation energies in Tian et al. would come from their DFT. If Tian et al. already report DFT V</w:t>
            </w:r>
            <w:r>
              <w:rPr>
                <w:vertAlign w:val="subscript"/>
              </w:rPr>
              <w:t xml:space="preserve">O</w:t>
            </w:r>
            <w:r>
              <w:t xml:space="preserve"> </w:t>
            </w:r>
            <w:r>
              <w:t xml:space="preserve">formation energies for Rb-dop…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category error as ED-25 (</w:t>
            </w:r>
            <w:r>
              <w:t xml:space="preserve">‘</w:t>
            </w:r>
            <w:r>
              <w:t xml:space="preserve">experimental finding … formation energy</w:t>
            </w:r>
            <w:r>
              <w:t xml:space="preserve">’</w:t>
            </w:r>
            <w:r>
              <w:t xml:space="preserve">) and</w:t>
            </w:r>
            <w:r>
              <w:t xml:space="preserve"> </w:t>
            </w:r>
            <w:r>
              <w:t xml:space="preserve">‘</w:t>
            </w:r>
            <w:r>
              <w:t xml:space="preserve">sign and direction</w:t>
            </w:r>
            <w:r>
              <w:t xml:space="preserve">’</w:t>
            </w:r>
            <w:r>
              <w:t xml:space="preserve"> </w:t>
            </w:r>
            <w:r>
              <w:t xml:space="preserve">is redundant.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specific radius trend attributed to Carey and Nolan (and relied on in Section 4.2:</w:t>
            </w:r>
            <w:r>
              <w:t xml:space="preserve"> </w:t>
            </w:r>
            <w:r>
              <w:t xml:space="preserve">‘</w:t>
            </w:r>
            <w:r>
              <w:t xml:space="preserve">the radius dependence found by Carey and Nolan across Li–Rb</w:t>
            </w:r>
            <w:r>
              <w:t xml:space="preserve">’</w:t>
            </w:r>
            <w:r>
              <w:t xml:space="preserve">) was flagged as unverified by the previous audit (A7: ’all claimed precedents require author verification from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changed: the Carey–Nolan abstract retrieved during this session states a correlation between alkali ionic radius and vacancy formation energy with K and Rb having the larger effect, so the attribution is supported.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justification of U(Ti-3d) = 3.5 eV rests on three attributions none of which has been verified: Deák et al. (refs.py entry marked</w:t>
            </w:r>
            <w:r>
              <w:t xml:space="preserve"> </w:t>
            </w:r>
            <w:r>
              <w:t xml:space="preserve">‘</w:t>
            </w:r>
            <w:r>
              <w:t xml:space="preserve">verify against the full text</w:t>
            </w:r>
            <w:r>
              <w:t xml:space="preserve">’</w:t>
            </w:r>
            <w:r>
              <w:t xml:space="preserve">; its title is about surface polarons), and Mazierski et al. and Yin et al. using 3.5 eV (the 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bracketed</w:t>
            </w:r>
            <w:r>
              <w:t xml:space="preserve"> </w:t>
            </w:r>
            <w:r>
              <w:t xml:space="preserve">‘</w:t>
            </w:r>
            <w:r>
              <w:t xml:space="preserve">[NEW IN v4 … verify]</w:t>
            </w:r>
            <w:r>
              <w:t xml:space="preserve">’</w:t>
            </w:r>
            <w:r>
              <w:t xml:space="preserve"> </w:t>
            </w:r>
            <w:r>
              <w:t xml:space="preserve">notes on four refs.py entries (Shannon1976, PSlibrary, Deak2014, Freysoldt2014) are copied verbatim into the built reference list (entries 28, 35, 37, 40 of the built manuscript). If build_refs.py is run for submission wi…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REVISION_REPORT.md documents that the AI tool rewrote the title and abstract, restructured the manuscript into its present sections, rewrote the Discussion and Limitations, and generated the scripts and PNGs for Figures 2 and 3. Elsevier requires the disclosur…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Elsevier’s required section heading is</w:t>
            </w:r>
            <w:r>
              <w:t xml:space="preserve"> </w:t>
            </w:r>
            <w:r>
              <w:t xml:space="preserve">‘</w:t>
            </w:r>
            <w:r>
              <w:t xml:space="preserve">Declaration of generative AI and AI-assisted technologies in the writing process</w:t>
            </w:r>
            <w:r>
              <w:t xml:space="preserve">’</w:t>
            </w:r>
            <w:r>
              <w:t xml:space="preserve">; the editorial office checks for this wording.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 surfaces/interfaces journal the manuscript is a bulk-only defect study; the only link to surfaces is the ETL motivation in paragraph 1. The contribution statement should say explicitly, without overclaiming, how the bulk numbers connect to surface/interf…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uses American</w:t>
            </w:r>
            <w:r>
              <w:t xml:space="preserve"> </w:t>
            </w:r>
            <w:r>
              <w:t xml:space="preserve">‘</w:t>
            </w:r>
            <w:r>
              <w:t xml:space="preserve">Localization</w:t>
            </w:r>
            <w:r>
              <w:t xml:space="preserve">’</w:t>
            </w:r>
            <w:r>
              <w:t xml:space="preserve"> </w:t>
            </w:r>
            <w:r>
              <w:t xml:space="preserve">while the entire text uses British spelling (</w:t>
            </w:r>
            <w:r>
              <w:t xml:space="preserve">‘</w:t>
            </w:r>
            <w:r>
              <w:t xml:space="preserve">localisation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magnetisation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recognised</w:t>
            </w:r>
            <w:r>
              <w:t xml:space="preserve">’</w:t>
            </w:r>
            <w:r>
              <w:t xml:space="preserve">); mixed spelling in the title is an immediate copy-editing flag.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title must match the corrected main-text title (ED-33).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keywords exceed Elsevier’s maximum of six, and</w:t>
            </w:r>
            <w:r>
              <w:t xml:space="preserve"> </w:t>
            </w:r>
            <w:r>
              <w:t xml:space="preserve">‘</w:t>
            </w:r>
            <w:r>
              <w:t xml:space="preserve">hole polaron</w:t>
            </w:r>
            <w:r>
              <w:t xml:space="preserve">’</w:t>
            </w:r>
            <w:r>
              <w:t xml:space="preserve"> </w:t>
            </w:r>
            <w:r>
              <w:t xml:space="preserve">never occurs in the text (grep: no occurrence of</w:t>
            </w:r>
            <w:r>
              <w:t xml:space="preserve"> </w:t>
            </w:r>
            <w:r>
              <w:t xml:space="preserve">‘</w:t>
            </w:r>
            <w:r>
              <w:t xml:space="preserve">polaron</w:t>
            </w:r>
            <w:r>
              <w:t xml:space="preserve">’</w:t>
            </w:r>
            <w:r>
              <w:t xml:space="preserve"> </w:t>
            </w:r>
            <w:r>
              <w:t xml:space="preserve">in the three source files), so it is not a term the paper supports.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The leading candidate</w:t>
            </w:r>
            <w:r>
              <w:t xml:space="preserve">’</w:t>
            </w:r>
            <w:r>
              <w:t xml:space="preserve"> </w:t>
            </w:r>
            <w:r>
              <w:t xml:space="preserve">is a superlative that the cited review does not establish; a referee from the energy side will object.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Raghav et al., Arrigoni and Madsen, and Morgan and Watson are intrinsic-defect studies, not studies of aliovalent doping as a lever; they support the first clause, not the second.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attribution of Γ-only sampling to Arrigoni and Madsen is unverified (their values could not be confirmed per the Section 3.2 marker) and is used to justify the paper’s weakest numerical choice.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4 and Limitation (vii) state that Rb_VO was also treated with dual-U, so</w:t>
            </w:r>
            <w:r>
              <w:t xml:space="preserve"> </w:t>
            </w:r>
            <w:r>
              <w:t xml:space="preserve">‘</w:t>
            </w:r>
            <w:r>
              <w:t xml:space="preserve">the vacancy-free cells</w:t>
            </w:r>
            <w:r>
              <w:t xml:space="preserve">’</w:t>
            </w:r>
            <w:r>
              <w:t xml:space="preserve"> </w:t>
            </w:r>
            <w:r>
              <w:t xml:space="preserve">understates what Table 4 reports.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marker asks to relax Pr_perfect and Rb_perfect under dual-U although both are already reported (Table 4, Table S5); what is actually missing for the formation-energy cycles is the dual-U Pr_VO relaxation and the dual-U total energies of Rb_perfect and Rb_V…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charged-cell series reports only magnetisations; the orbital character of the uncovered spins is not probed in Section 3.5, so</w:t>
            </w:r>
            <w:r>
              <w:t xml:space="preserve"> </w:t>
            </w:r>
            <w:r>
              <w:t xml:space="preserve">‘</w:t>
            </w:r>
            <w:r>
              <w:t xml:space="preserve">oxygen hole</w:t>
            </w:r>
            <w:r>
              <w:t xml:space="preserve">’</w:t>
            </w:r>
            <w:r>
              <w:t xml:space="preserve"> </w:t>
            </w:r>
            <w:r>
              <w:t xml:space="preserve">imports a conclusion from Sections 3.4 and 3.7.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‘</w:t>
            </w:r>
            <w:r>
              <w:t xml:space="preserve">tens of meV</w:t>
            </w:r>
            <w:r>
              <w:t xml:space="preserve">’</w:t>
            </w:r>
            <w:r>
              <w:t xml:space="preserve"> </w:t>
            </w:r>
            <w:r>
              <w:t xml:space="preserve">estimate is given without stating what model produces it; a referee will ask for the assumption (the earlier audit computed 0.05–0.09 eV for related densities with a free-electron model).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single-U(Ti-3d) = 3.5 eV</w:t>
            </w:r>
            <w:r>
              <w:t xml:space="preserve">’</w:t>
            </w:r>
            <w:r>
              <w:t xml:space="preserve"> </w:t>
            </w:r>
            <w:r>
              <w:t xml:space="preserve">is not a defined notation; the paper otherwise writes</w:t>
            </w:r>
            <w:r>
              <w:t xml:space="preserve"> </w:t>
            </w:r>
            <w:r>
              <w:t xml:space="preserve">‘</w:t>
            </w:r>
            <w:r>
              <w:t xml:space="preserve">U(Ti-3d) = 3.5 eV</w:t>
            </w:r>
            <w:r>
              <w:t xml:space="preserve">’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‘</w:t>
            </w:r>
            <w:r>
              <w:t xml:space="preserve">Ti-3d-only</w:t>
            </w:r>
            <w:r>
              <w:t xml:space="preserve">’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Vural et al. studied Pr adsorption on the (101) surface (title), not substitution; presenting their result as</w:t>
            </w:r>
            <w:r>
              <w:t xml:space="preserve"> </w:t>
            </w:r>
            <w:r>
              <w:t xml:space="preserve">‘</w:t>
            </w:r>
            <w:r>
              <w:t xml:space="preserve">Pr–V</w:t>
            </w:r>
            <w:r>
              <w:rPr>
                <w:vertAlign w:val="subscript"/>
              </w:rPr>
              <w:t xml:space="preserve">O</w:t>
            </w:r>
            <w:r>
              <w:t xml:space="preserve"> </w:t>
            </w:r>
            <w:r>
              <w:t xml:space="preserve">clustering</w:t>
            </w:r>
            <w:r>
              <w:t xml:space="preserve">’</w:t>
            </w:r>
            <w:r>
              <w:t xml:space="preserve"> </w:t>
            </w:r>
            <w:r>
              <w:t xml:space="preserve">that the bulk substitutional result</w:t>
            </w:r>
            <w:r>
              <w:t xml:space="preserve"> </w:t>
            </w:r>
            <w:r>
              <w:t xml:space="preserve">‘</w:t>
            </w:r>
            <w:r>
              <w:t xml:space="preserve">agrees with</w:t>
            </w:r>
            <w:r>
              <w:t xml:space="preserve">’</w:t>
            </w:r>
            <w:r>
              <w:t xml:space="preserve"> </w:t>
            </w:r>
            <w:r>
              <w:t xml:space="preserve">overstates the correspondence (earlier audit, ref ledger item 27).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</w:t>
            </w:r>
            <w:r>
              <w:rPr>
                <w:vertAlign w:val="subscript"/>
              </w:rPr>
              <w:t xml:space="preserve">∞</w:t>
            </w:r>
            <w:r>
              <w:t xml:space="preserve"> </w:t>
            </w:r>
            <w:r>
              <w:t xml:space="preserve">≈ 5.8 for anatase is uncited; no key in refs.py supplies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Elsevier requires a Funding statement even when there is none (</w:t>
            </w:r>
            <w:r>
              <w:t xml:space="preserve">‘</w:t>
            </w:r>
            <w:r>
              <w:t xml:space="preserve">This research did not receive any specific grant…</w:t>
            </w:r>
            <w:r>
              <w:t xml:space="preserve">’</w:t>
            </w:r>
            <w:r>
              <w:t xml:space="preserve">); the marker’s</w:t>
            </w:r>
            <w:r>
              <w:t xml:space="preserve"> </w:t>
            </w:r>
            <w:r>
              <w:t xml:space="preserve">‘</w:t>
            </w:r>
            <w:r>
              <w:t xml:space="preserve">if any</w:t>
            </w:r>
            <w:r>
              <w:t xml:space="preserve">’</w:t>
            </w:r>
            <w:r>
              <w:t xml:space="preserve"> </w:t>
            </w:r>
            <w:r>
              <w:t xml:space="preserve">could lead the authors to omit the section.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role names are fixed terms with fixed spelling (</w:t>
            </w:r>
            <w:r>
              <w:t xml:space="preserve">‘</w:t>
            </w:r>
            <w:r>
              <w:t xml:space="preserve">Conceptualization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Visualization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Writing – review &amp; editing</w:t>
            </w:r>
            <w:r>
              <w:t xml:space="preserve">’</w:t>
            </w:r>
            <w:r>
              <w:t xml:space="preserve">); Elsevier’s submission system matches them literally.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 (3–5 bullets, ≤85 characters each) are required by Applied Surface Science at submission and are not yet drafted; the revision report lists them as pending.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Highlights drafted (submission/Highlights.md, five bullets of 70–76 characters)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ED-49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artwork is also stale: FigS1 plots a</w:t>
            </w:r>
            <w:r>
              <w:t xml:space="preserve"> </w:t>
            </w:r>
            <w:r>
              <w:t xml:space="preserve">‘</w:t>
            </w:r>
            <w:r>
              <w:t xml:space="preserve">Pr 4f</w:t>
            </w:r>
            <w:r>
              <w:t xml:space="preserve">’</w:t>
            </w:r>
            <w:r>
              <w:t xml:space="preserve"> </w:t>
            </w:r>
            <w:r>
              <w:t xml:space="preserve">channel that cannot exist with the 4f-in-core dataset (Section 2.1 says so explicitly), and FigS3 carries an unsourced</w:t>
            </w:r>
            <w:r>
              <w:t xml:space="preserve"> </w:t>
            </w:r>
            <w:r>
              <w:t xml:space="preserve">‘</w:t>
            </w:r>
            <w:r>
              <w:t xml:space="preserve">0.01 Ry/Bohr (lit. std)</w:t>
            </w:r>
            <w:r>
              <w:t xml:space="preserve">’</w:t>
            </w:r>
            <w:r>
              <w:t xml:space="preserve"> </w:t>
            </w:r>
            <w:r>
              <w:t xml:space="preserve">line that Section 5 contradicts. A referee who opens the SI will se…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raster patch of the artwork; regeneration from raw data remains an [AUTHOR ACTION]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internal note</w:t>
            </w:r>
            <w:r>
              <w:t xml:space="preserve"> </w:t>
            </w:r>
            <w:r>
              <w:t xml:space="preserve">“</w:t>
            </w:r>
            <w:r>
              <w:t xml:space="preserve">[NEW IN v4: … verify]</w:t>
            </w:r>
            <w:r>
              <w:t xml:space="preserve">”</w:t>
            </w:r>
            <w:r>
              <w:t xml:space="preserve"> </w:t>
            </w:r>
            <w:r>
              <w:t xml:space="preserve">is part of the bibliographic string and is printed verbatim as reference (28) in the built manuscript. It is visible placeholder text in the reference list, and it is not an [AUTHOR ACTION] passage, so the revision 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leak as CM-01: the note prints inside reference (35) of the built manuscript.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leak as CM-01: the note, including the phrase</w:t>
            </w:r>
            <w:r>
              <w:t xml:space="preserve"> </w:t>
            </w:r>
            <w:r>
              <w:t xml:space="preserve">“</w:t>
            </w:r>
            <w:r>
              <w:t xml:space="preserve">retrieved via Wiley Scholar Gateway</w:t>
            </w:r>
            <w:r>
              <w:t xml:space="preserve">”</w:t>
            </w:r>
            <w:r>
              <w:t xml:space="preserve">, prints inside reference (37) of the built manuscript.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leak as CM-01: the note prints inside reference (40) of the built manuscript.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desk 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Fig1_structures_relabel_required.png still carries the panel subtitles</w:t>
            </w:r>
            <w:r>
              <w:t xml:space="preserve"> </w:t>
            </w:r>
            <w:r>
              <w:t xml:space="preserve">“</w:t>
            </w:r>
            <w:r>
              <w:t xml:space="preserve">m = 0 (singlet, no Ti3+ trap)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/m/ = 1.21 μB (Ti3+/O hole trap)</w:t>
            </w:r>
            <w:r>
              <w:t xml:space="preserve">”</w:t>
            </w:r>
            <w:r>
              <w:t xml:space="preserve">, and Fig4_PDOS_relabel_required.png is titled</w:t>
            </w:r>
            <w:r>
              <w:t xml:space="preserve"> </w:t>
            </w:r>
            <w:r>
              <w:t xml:space="preserve">“</w:t>
            </w:r>
            <w:r>
              <w:t xml:space="preserve">Pr_VO (non-magnetic) vs Rb_VO (Ti3+ trap)</w:t>
            </w:r>
            <w:r>
              <w:t xml:space="preserve">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</w:t>
            </w:r>
            <w:r>
              <w:t xml:space="preserve">singlet</w:t>
            </w:r>
            <w:r>
              <w:t xml:space="preserve">”</w:t>
            </w:r>
            <w:r>
              <w:t xml:space="preserve"> </w:t>
            </w:r>
            <w:r>
              <w:t xml:space="preserve">in the Pr pan…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raster patch of the artwork; regeneration from raw data remains an [AUTHOR ACTION]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2.5 states that all production relaxations used zero starting_magnetization, and Section 3.3 says Rb_perfect reached m = 1.00 μB</w:t>
            </w:r>
            <w:r>
              <w:t xml:space="preserve"> </w:t>
            </w:r>
            <w:r>
              <w:t xml:space="preserve">“</w:t>
            </w:r>
            <w:r>
              <w:t xml:space="preserve">from a zero-magnetisation start</w:t>
            </w:r>
            <w:r>
              <w:t xml:space="preserve">”</w:t>
            </w:r>
            <w:r>
              <w:t xml:space="preserve">. The Quantum ESPRESSO input documentation (PW/Doc/INPUT_PW.def, starting_magnetization) 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2.5 and Limitation (v) claim one magnetic trial for every cell that converged to m = 0 (Pristine_perfect, Pr_perfect, Pr_VO, Pristine_VO), but only the Pr_VO trial is reported anywhere (Section 3.3; Table S9 run 24). The Pr_perfect trial matters most,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Gaussian smearing (SI S1: degauss = 0.01 Ry = 136 meV for the converged pristine V_O run) and fractional occupations in every odd-electron cell, pw.x prints both the smearing free energy (</w:t>
            </w:r>
            <w:r>
              <w:t xml:space="preserve">“</w:t>
            </w:r>
            <w:r>
              <w:t xml:space="preserve">! total energy</w:t>
            </w:r>
            <w:r>
              <w:t xml:space="preserve">”</w:t>
            </w:r>
            <w:r>
              <w:t xml:space="preserve">, which includes −TS) and the internal energy E = F…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PSlibrary README does state that the “_low” library targets convergence at 40 Ry, but the four files named in Section 2.1 are not all from that set: Pr.pbe-spdn-kjpaw_psl.1.0.0 is generated by paw_ps_low.job, whereas Ti and Rb do not appear in paw_ps_low.j…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S5/S9 give the HSE06 total energy of Pristine_perfect as −3926.66858 Ry against −4275.01530 Ry for PBE+U on the same cell: a difference of 348.35 Ry = 4739 eV. A change of exchange-correlation functional with the same PAW datasets cannot shift a 48-atom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oxygen reference is ½E(O2) from PBE. PBE overbinds O2 by roughly 1 eV per molecule, which lowers ½E(O2) and raises every absolute E_f at the oxygen-rich limit by a common amount. Section 3.2 then compares the absolute pristine value (+4.74 eV) with literat…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abstract’s range 1.00–1.21 μB contradicts Table 4 (dual-U Rb_perfect: 3.00 μB) and Section 3.5 (q = +2: 2.99 μB), both of which are</w:t>
            </w:r>
            <w:r>
              <w:t xml:space="preserve"> </w:t>
            </w:r>
            <w:r>
              <w:t xml:space="preserve">“</w:t>
            </w:r>
            <w:r>
              <w:t xml:space="preserve">treatments tested</w:t>
            </w:r>
            <w:r>
              <w:t xml:space="preserve">”</w:t>
            </w:r>
            <w:r>
              <w:t xml:space="preserve">. An editor checking the abstract against Table 4 will flag the inconsistency.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Rb-minus-pristine reduction is quoted as 8.80 eV, but Table S9 states −8.808 eV and the unrounded ledger gives −8.81 eV; 8.80 is the difference of the rounded entries (−4.06 − 4.74), exactly the double-rounding artefact that Section 3.2 itself condemns for…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double-rounding artefact as CM-13, repeated in Section 4.1; must match the ledger value once CM-13 is applied.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stated ±0.15 eV is derived from a Γ→2×2×2 check that exists only for the two doped hosts (shifts −0.10 and −0.14 eV, one-signed, not symmetric); the pristine value has no mesh check at all (footnote a), yet the caption assigns the same uncertainty to every…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k-mesh paragraph says the Γ-only energies of Pr_VO and Rb_VO are high by 1.08 and 1.16 eV relative to 3×3×2, but Table S2 shows Γ − 2×2×2 differences of 0.08292 Ry = 1.128 eV (Pr_VO) and 0.09101 Ry = 1.238 eV (Rb_VO). Taken together, the 2×2×2 energies wou…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 is an additive, density-independent correction, so a D3 single point on the production geometry with identical settings must reproduce E(production) + E_D3 to the SCF tolerance (10^−8 Ry). The electronic part of the Pr_VO D3 run, −4535.85464 Ry + 10.29 eV,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U-sweep single points are run on the production (relaxed) geometry, so</w:t>
            </w:r>
            <w:r>
              <w:t xml:space="preserve"> </w:t>
            </w:r>
            <w:r>
              <w:t xml:space="preserve">“</w:t>
            </w:r>
            <w:r>
              <w:t xml:space="preserve">relaxed rather than single-point</w:t>
            </w:r>
            <w:r>
              <w:t xml:space="preserve">”</w:t>
            </w:r>
            <w:r>
              <w:t xml:space="preserve"> </w:t>
            </w:r>
            <w:r>
              <w:t xml:space="preserve">cannot explain why m_abs is 1.00 μB at U = 3.0, 4.0 and 4.5 eV but 1.21 μB at 3.5 eV. Table S5 shows that the D3 single point at U = 3.5 eV on the sam…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4 reports only m_abs for the dual-U cells. m_abs = 3.00 μB is also produced by antiparallel arrangements (e.g. m = +1, m_abs = 3), so</w:t>
            </w:r>
            <w:r>
              <w:t xml:space="preserve"> </w:t>
            </w:r>
            <w:r>
              <w:t xml:space="preserve">“</w:t>
            </w:r>
            <w:r>
              <w:t xml:space="preserve">parallel</w:t>
            </w:r>
            <w:r>
              <w:t xml:space="preserve">”</w:t>
            </w:r>
            <w:r>
              <w:t xml:space="preserve"> </w:t>
            </w:r>
            <w:r>
              <w:t xml:space="preserve">requires m = 3.00 μB, which is not given. Likewise</w:t>
            </w:r>
            <w:r>
              <w:t xml:space="preserve"> </w:t>
            </w:r>
            <w:r>
              <w:t xml:space="preserve">“</w:t>
            </w:r>
            <w:r>
              <w:t xml:space="preserve">oxygen-2p</w:t>
            </w:r>
            <w:r>
              <w:t xml:space="preserve">”</w:t>
            </w:r>
            <w:r>
              <w:t xml:space="preserve"> </w:t>
            </w:r>
            <w:r>
              <w:t xml:space="preserve">is inferred from where the U was placed, not f…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S3 does not close under its own sum rule. 376.998 − 15 × 9.683 − 31 × 7.187 = 8.956 e on Pr, i.e. a Bader charge of 11 − 8.956 = +2.04 e, not the +2.14 e stated (rounding of the two means can account for at most ±0.023 e). For Rb: 374.998 − 15 × 9.671 −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Morgan and Watson 2007 (Surf. Sci. 601, 5034) is a DFT+U study of the rutile (110) surface, not anatase; citing it as</w:t>
            </w:r>
            <w:r>
              <w:t xml:space="preserve"> </w:t>
            </w:r>
            <w:r>
              <w:t xml:space="preserve">“</w:t>
            </w:r>
            <w:r>
              <w:t xml:space="preserve">anatase work</w:t>
            </w:r>
            <w:r>
              <w:t xml:space="preserve">”</w:t>
            </w:r>
            <w:r>
              <w:t xml:space="preserve"> </w:t>
            </w:r>
            <w:r>
              <w:t xml:space="preserve">is a wrong attribution. In addition, U values obtained with VASP PAW-sphere projectors are not strictly transferable to the ort…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phrase implies that a linear-response U was computed for the pristine cell; Section 2.2 shows that no linear-response calculation was performed at all (the value is taken from the literature).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Deák et al. 2014 entry is marked in refs.py as unverified (</w:t>
            </w:r>
            <w:r>
              <w:t xml:space="preserve">“</w:t>
            </w:r>
            <w:r>
              <w:t xml:space="preserve">verify against the full text</w:t>
            </w:r>
            <w:r>
              <w:t xml:space="preserve">”</w:t>
            </w:r>
            <w:r>
              <w:t xml:space="preserve">), and that paper concerns surface polarons and vacancies with hybrid functionals; whether it quotes a linear-response U for anatase has not been confirmed. The main t…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Γ-only sampling of a 48-atom cell is attributed to Arrigoni and Madsen, but the revision report states that their paper could not be opened and Section 3.2 already flags their values as unverified; the k-point protocol attributed to them must be verified too,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HSE06 range</w:t>
            </w:r>
            <w:r>
              <w:t xml:space="preserve"> </w:t>
            </w:r>
            <w:r>
              <w:t xml:space="preserve">“</w:t>
            </w:r>
            <w:r>
              <w:t xml:space="preserve">5.3–5.5 eV</w:t>
            </w:r>
            <w:r>
              <w:t xml:space="preserve">”</w:t>
            </w:r>
            <w:r>
              <w:t xml:space="preserve"> </w:t>
            </w:r>
            <w:r>
              <w:t xml:space="preserve">is attributed to Boonchun 2016 and Deák 2014, but the existing marker asks only for Arrigoni–Madsen and Boonchun to be verified; Deák et al. 2014 is a surface-polaron paper and may not report a bulk neutral-vacancy formation energy…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PSlibrary generation input for Pr.pbe-spdn-kjpaw_psl.1.0.0 (paw_ps_low.job) is config = [Xe] 4f2.0 5d1.0 6s1.5 6p0.5 with pseudised 5S(2.00), 6S(1.50), 5P(6.00), 6P(0.50) and 5D(1.00) channels; Z_val = 2 + 1.5 + 6 + 0.5 + 1 = 11 is correct, but the UPF hea…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relaxed Pr^3+–O distance of 2.17 Å is far below the Shannon-radius sum for six-fold Pr^3+ and O^2− (0.99 + 1.40 = 2.39 Å) and only 0.2 Å longer than Ti–O in the host; combined with the loose force tolerance, a referee will ask whether this is the relaxed fir…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k-mesh, cut-off and residual stress of the variable-cell relaxation are not given. At 40 Ry the Pulay stress is not negligible, and a Γ-only vc-relax of a 48-atom cell is poorly converged, so the fixed lattice parameters of all defect cells inherit an unqu…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sentence says only the vacancy-free cells were treated, but Table 4 and Table S5 include a dual-U Rb_VO result, and it is not stated whether that entry is a relaxation or a single point.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3.6 states that printed Fermi energies of chemically different cells are unaligned and</w:t>
            </w:r>
            <w:r>
              <w:t xml:space="preserve"> </w:t>
            </w:r>
            <w:r>
              <w:t xml:space="preserve">“</w:t>
            </w:r>
            <w:r>
              <w:t xml:space="preserve">diagnostic only</w:t>
            </w:r>
            <w:r>
              <w:t xml:space="preserve">”</w:t>
            </w:r>
            <w:r>
              <w:t xml:space="preserve">, yet Section 3.4 uses a 0.53 eV difference between dual-U Pr_perfect and dual-U pristine as evidence for an acceptor state without the same caveat.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2×2×2 non-self-consistent Fermi energy of the pristine cell is reported nowhere (Table 3 gives only the Γ value 7.89 eV), so the statement that it is mesh-stable is unsupported; only Rb_VO (7.14 versus 7.13 eV) is documented.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Bader populations of Ti^3+ and Ti^4+ sites differ by a few tenths of an electron, not by ~1 e; stating that a Ti^3+ centre would produce a 1 e signature overstates the sensitivity of the test and invites the objection that a few-tenths signal could hide below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width of the TiO2 stability field in Δμ_O (bounded by Ti2O3 formation) is asserted without a number or a source; a referee will ask for the TiO2/Ti2O3 boundary value.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Generalises from one dopant of each class to all dopants with /Δq/ = 1 or 3, which the paper elsewhere (Section 4.3, hypotheses (i)-(ii)) says it cannot 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value ε∞ ≈ 5.8 for anatase is given without a source.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S1 says seven settings were changed but lists six (mixing_beta, mixing_ndim, degauss, electron_maxstep, diago_thr_init, starting_magnetization).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Known instability</w:t>
            </w:r>
            <w:r>
              <w:t xml:space="preserve">”</w:t>
            </w:r>
            <w:r>
              <w:t xml:space="preserve"> </w:t>
            </w:r>
            <w:r>
              <w:t xml:space="preserve">asserts literature knowledge without a citation, and</w:t>
            </w:r>
            <w:r>
              <w:t xml:space="preserve"> </w:t>
            </w:r>
            <w:r>
              <w:t xml:space="preserve">“</w:t>
            </w:r>
            <w:r>
              <w:t xml:space="preserve">half-filled</w:t>
            </w:r>
            <w:r>
              <w:t xml:space="preserve">”</w:t>
            </w:r>
            <w:r>
              <w:t xml:space="preserve"> </w:t>
            </w:r>
            <w:r>
              <w:t xml:space="preserve">is not accurate for two electrons in a conduction-band manifold of many states.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keyword</w:t>
            </w:r>
            <w:r>
              <w:t xml:space="preserve"> </w:t>
            </w:r>
            <w:r>
              <w:t xml:space="preserve">“</w:t>
            </w:r>
            <w:r>
              <w:t xml:space="preserve">hole polaron</w:t>
            </w:r>
            <w:r>
              <w:t xml:space="preserve">”</w:t>
            </w:r>
            <w:r>
              <w:t xml:space="preserve"> </w:t>
            </w:r>
            <w:r>
              <w:t xml:space="preserve">implies a demonstrated self-trapped state with lattice distortion; the paper reports only magnetisations and Bader differences and never analyses the local distortion, so the keyword overstates the evidence.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(text edited)</w:t>
            </w:r>
          </w:p>
        </w:tc>
      </w:tr>
    </w:tbl>
    <w:p>
      <w:pPr>
        <w:pStyle w:val="BodyText"/>
      </w:pPr>
      <w:r>
        <w:t xml:space="preserve">Dispositions: Applied: 80, Graphical abstract created: 1, Interim raster patch of the artwork; regeneration from raw data remains an [AUTHOR ACTION]: 4, Not changed: 1, Highlights drafted: 1 (total 87).</w:t>
      </w:r>
    </w:p>
    <w:p>
      <w:pPr>
        <w:pStyle w:val="BodyText"/>
      </w:pPr>
      <w:r>
        <w:t xml:space="preserve">Most consequential corrections: the abstract rewritten to 243 words without the contradictory spin range; the double-rounded 8.80 eV replaced by 8.81 eV; the unsupported nearest-neighbour assignment of the production vacancy removed (the earlier draft had stated that site was not tested); the zero-starting-magnetisation claim replaced by a request for the actual input values; the two nearly degenerate Rb_VO spin solutions (m_abs = 1.21 versus 1.00 μB) disclosed; the HSE06 total-energy discrepancy of 348 Ry flagged; the Bader sum-rule inconsistency flagged; the k-mesh non-monotonicity stated; the</w:t>
      </w:r>
      <w:r>
        <w:t xml:space="preserve"> </w:t>
      </w:r>
      <w:r>
        <w:t xml:space="preserve">‘</w:t>
      </w:r>
      <w:r>
        <w:t xml:space="preserve">withdrawn / used earlier</w:t>
      </w:r>
      <w:r>
        <w:t xml:space="preserve">’</w:t>
      </w:r>
      <w:r>
        <w:t xml:space="preserve"> </w:t>
      </w:r>
      <w:r>
        <w:t xml:space="preserve">scaffolding removed from the Discussion and Conclusions; citation placeholders removed from the reference list; generative-AI, funding and CRediT statements brought to Elsevier form.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2026-10-02T13:43:48Z</dcterms:created>
  <dcterms:modified xsi:type="dcterms:W3CDTF">2026-10-02T13:43:48Z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