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with 0.59 μ</w:t>
      </w:r>
      <w:r>
        <w:rPr>
          <w:vertAlign w:val="subscript"/>
        </w:rPr>
        <w:t xml:space="preserve">B</w:t>
      </w:r>
      <w:r>
        <w:t xml:space="preserve"> </w:t>
      </w:r>
      <w:r>
        <w:t xml:space="preserve">on one oxygen bonded to Rb; the Rb ion itself moves 1.27 Å towards the vacancy, so relaxation also contributes to the Rb result.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w:t>
      </w:r>
      <w:r>
        <w:t xml:space="preserve"> </w:t>
      </w:r>
      <w:r>
        <w:rPr>
          <w:bCs/>
          <w:b/>
        </w:rPr>
        <w:t xml:space="preserve">[NEEDS CITATION: typical indoor illuminance and the low-light V</w:t>
      </w:r>
      <w:r>
        <w:rPr>
          <w:vertAlign w:val="subscript"/>
          <w:bCs/>
          <w:b/>
        </w:rPr>
        <w:t xml:space="preserve">oc</w:t>
      </w:r>
      <w:r>
        <w:rPr>
          <w:bCs/>
          <w:b/>
        </w:rPr>
        <w:t xml:space="preserve"> </w:t>
      </w:r>
      <w:r>
        <w:rPr>
          <w:bCs/>
          <w:b/>
        </w:rPr>
        <w:t xml:space="preserve">limitation; Pecunia et al. may serve if the full text supports both]</w:t>
      </w:r>
      <w:r>
        <w:t xml:space="preserve">,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for Pr in the bulk with plain GGA in a 12-atom cell [20] and for Er at the (101) surface together with oxygen or titanium vacancies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in particular has been studied as an adsorbate on the anatase (101) surface [25] and as a substituent in the bulk [19,20], and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and the atomic wavefunctions that projwfc.x reads from each dataset (Ti 3s/3p/3d, O 2s/2p, Pr 5p/5d, Rb 4s); the Pr dataset contains no 4f wavefunction.</w:t>
      </w:r>
      <w:r>
        <w:t xml:space="preserve"> </w:t>
      </w:r>
      <w:r>
        <w:rPr>
          <w:bCs/>
          <w:b/>
        </w:rPr>
        <w:t xml:space="preserve">[AUTHOR ACTION: add the MD5 checksum of the Pr dataset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to Table S7.]</w:t>
      </w:r>
      <w:r>
        <w:t xml:space="preserve"> </w:t>
      </w:r>
      <w:r>
        <w:t xml:space="preserve">Kinetic-energy cut-offs of 40 Ry (wavefunctions) and 320 Ry (charge density) were used throughout. No cut-off convergence test was performed; comparable anatase defect work uses 55 Ry [13],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[21]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the two doped cells have identical atom ordering in their outputs, consistent with the same vacancy. Three alternative sites in the Pr cell are examined in Section 3.7; a second first-shell candidate (index O3 of the orchestration script) was planned but not computed.</w:t>
      </w:r>
      <w:r>
        <w:t xml:space="preserve"> </w:t>
      </w:r>
      <w:r>
        <w:rPr>
          <w:bCs/>
          <w:b/>
        </w:rPr>
        <w:t xml:space="preserve">[AUTHOR ACTION: confirm from the Pr_VO input that the same oxygen was removed, and give the relaxed first-shell Pr–O distances in Table S8; the value ≈2.17 Å quoted for the production site in earlier drafts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w:t>
      </w:r>
      <w:r>
        <w:t xml:space="preserve"> </w:t>
      </w:r>
      <w:r>
        <w:rPr>
          <w:bCs/>
          <w:b/>
        </w:rPr>
        <w:t xml:space="preserve">[AUTHOR ACTION: confirm degauss = 0.005 Ry in the production relaxation inputs.]</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not set for any species. From a spin-symmetric start a moment develops only if the symmetric solution is unstable and numerical noise (here the randomised starting wavefunctions) breaks the symmetry, as happened for both Rb cells; the same start can leave a calculation in a non-magnetic solution when a magnetic one exists.</w:t>
      </w:r>
      <w:r>
        <w:t xml:space="preserve"> </w:t>
      </w:r>
      <w:r>
        <w:rPr>
          <w:bCs/>
          <w:b/>
        </w:rPr>
        <w:t xml:space="preserve">[AUTHOR ACTION: confirm the starting_magnetization values from the production input files.]</w:t>
      </w:r>
      <w:r>
        <w:t xml:space="preserve"> </w:t>
      </w:r>
      <w:r>
        <w:t xml:space="preserve">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run log lists an earlier pristine perfect run as a single-point calculation with a residual force of 0.0225 Ry/Bohr (0.58 eV/Å); if the production pristine energy is also unrelaxed, relaxing it would lower E(Pristine_perfect) and raise the pristine formation energy of Table 2 by the relaxation energy.</w:t>
      </w:r>
      <w:r>
        <w:t xml:space="preserve"> </w:t>
      </w:r>
      <w:r>
        <w:rPr>
          <w:bCs/>
          <w:b/>
        </w:rPr>
        <w:t xml:space="preserve">[AUTHOR ACTION: state whether the production Pristine_perfect energy (−4275.01530 Ry) comes from a relaxed geometry and give its maximum residual force; if not, relax it and update Table 2.]</w:t>
      </w:r>
      <w:r>
        <w:t xml:space="preserve"> </w:t>
      </w:r>
      <w:r>
        <w:t xml:space="preserve">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w:t>
      </w:r>
      <w:r>
        <w:t xml:space="preserve"> </w:t>
      </w:r>
      <w:r>
        <w:rPr>
          <w:bCs/>
          <w:b/>
        </w:rPr>
        <w:t xml:space="preserve">[AUTHOR ACTION: state etot_conv_thr and forc_conv_thr of the production inputs; with the maximum force below 0.005 Ry/Bohr for several steps (Figure S3) and an energy change below 1×10</w:t>
      </w:r>
      <w:r>
        <w:rPr>
          <w:vertAlign w:val="superscript"/>
          <w:bCs/>
          <w:b/>
        </w:rPr>
        <w:t xml:space="preserve">−9</w:t>
      </w:r>
      <w:r>
        <w:rPr>
          <w:bCs/>
          <w:b/>
        </w:rPr>
        <w:t xml:space="preserve"> </w:t>
      </w:r>
      <w:r>
        <w:rPr>
          <w:bCs/>
          <w:b/>
        </w:rPr>
        <w:t xml:space="preserve">Ry, pw.x would normally have terminated by itself unless a tighter threshold was set.]</w:t>
      </w:r>
      <w:r>
        <w:t xml:space="preserve"> </w:t>
      </w:r>
      <w:r>
        <w:t xml:space="preserve">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[38].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[39,40],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[41,42], without three-body terms, as in the DFT+U+D3 study of pristine and defective anatase by Torres et al., who used PBEsol-D3 with U = 3 eV for the defective (001) surface [43]; the single points were started from scratch on the production geometries. (v) Alternative vacancy sites: three additional Pr_VO cells with the vacancy at atom indices O1, O7 and O17 of the production input. (vi) Bader analysis of Pr_VO and Rb_VO from pp.x charge densities with the Henkelman grid algorithm [44,45].</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so structural relaxation is part of the energy released when the vacancy forms next to Rb (Sections 3.2 and 4.3).</w:t>
      </w:r>
      <w:r>
        <w:t xml:space="preserve"> </w:t>
      </w:r>
      <w:r>
        <w:rPr>
          <w:bCs/>
          <w:b/>
        </w:rPr>
        <w:t xml:space="preserve">[AUTHOR ACTION: the relaxed Pr_VO coordinates were not available for this revision; place the pw.x output of the relaxed Pr_VO cell in figures/data/ so that make_fig1_structures.py adds panel (c), and state the Pr displacement and Pr–O distances here.]</w:t>
      </w:r>
      <w:r>
        <w:t xml:space="preserve"> </w:t>
      </w:r>
      <w:r>
        <w:t xml:space="preserve">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3.45 eV for Pr and 8.81 eV for Rb (differences of the unrounded values). At this reference the Pr cell remains uphill, so oxygen removal is not spontaneous; the Rb cell is downhill, so the vacancy-free Rb-substituted cell is unstable against oxygen loss. Part of the Rb reduction is structural: the Rb ion moves 1.27 Å into the space vacated by the oxygen (Section 3.1), and the energy of this relaxation has not been separated from the electronic contribution.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[46];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w:t>
      </w:r>
      <w:r>
        <w:t xml:space="preserve"> </w:t>
      </w:r>
      <w:r>
        <w:rPr>
          <w:bCs/>
          <w:b/>
        </w:rPr>
        <w:t xml:space="preserve">[AUTHOR ACTION: if a numerical comparison is wanted, read the oxygen-rich neutral-V</w:t>
      </w:r>
      <w:r>
        <w:rPr>
          <w:vertAlign w:val="subscript"/>
          <w:bCs/>
          <w:b/>
        </w:rPr>
        <w:t xml:space="preserve">O</w:t>
      </w:r>
      <w:r>
        <w:rPr>
          <w:bCs/>
          <w:b/>
        </w:rPr>
        <w:t xml:space="preserve"> </w:t>
      </w:r>
      <w:r>
        <w:rPr>
          <w:bCs/>
          <w:b/>
        </w:rPr>
        <w:t xml:space="preserve">values from Fig. 5 of Arrigoni and Madsen and Fig. 1 of Boonchun et al. and state them with their chemical-potential definitions.]</w:t>
      </w:r>
      <w:r>
        <w:t xml:space="preserve"> </w:t>
      </w:r>
      <w:r>
        <w:t xml:space="preserve">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smeared character is documented by the projected densities of states, in which the occupied conduction-band states have equal weight in the two spin channels, and by the Löwdin analysis, in which no site carries more than 0.001 μ</w:t>
      </w:r>
      <w:r>
        <w:rPr>
          <w:vertAlign w:val="subscript"/>
        </w:rPr>
        <w:t xml:space="preserve">B</w:t>
      </w:r>
      <w:r>
        <w:t xml:space="preserve"> </w:t>
      </w:r>
      <w:r>
        <w:t xml:space="preserve">(Section 3.6).</w:t>
      </w:r>
      <w:r>
        <w:t xml:space="preserve"> </w:t>
      </w:r>
      <w:r>
        <w:rPr>
          <w:bCs/>
          <w:b/>
        </w:rPr>
        <w:t xml:space="preserve">[AUTHOR ACTION: document the occupations of the non-magnetic Pr_perfect solution in the same way.]</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 S2a). The self-consistent run that preceded the projected densities of states, started from 0.3 on Ti, reproduced the production Fermi energy and is taken to be the production solution, with the opposite (arbitrary) sign of m.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part of the excess.</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rPr>
                <w:bCs/>
                <w:b/>
              </w:rPr>
              <w:t xml:space="preserve">[AUTHOR ACTION: E</w:t>
            </w:r>
            <w:r>
              <w:rPr>
                <w:vertAlign w:val="subscript"/>
                <w:bCs/>
                <w:b/>
              </w:rPr>
              <w:t xml:space="preserve">F</w:t>
            </w:r>
            <w:r>
              <w:rPr>
                <w:bCs/>
                <w:b/>
              </w:rPr>
              <w:t xml:space="preserve">]</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values were not available for this revision.</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w:t>
      </w:r>
      <w:r>
        <w:t xml:space="preserve"> </w:t>
      </w:r>
      <w:r>
        <w:rPr>
          <w:bCs/>
          <w:b/>
        </w:rPr>
        <w:t xml:space="preserve">[AUTHOR ACTION: confirm from the output whether the dual-U Rb_VO relaxation finished, and give its final energy, m and m</w:t>
      </w:r>
      <w:r>
        <w:rPr>
          <w:vertAlign w:val="subscript"/>
          <w:bCs/>
          <w:b/>
        </w:rPr>
        <w:t xml:space="preserve">abs</w:t>
      </w:r>
      <w:r>
        <w:rPr>
          <w:bCs/>
          <w:b/>
        </w:rPr>
        <w:t xml:space="preserve">.]</w:t>
      </w:r>
      <w:r>
        <w:t xml:space="preserve"> </w:t>
      </w:r>
      <w:r>
        <w:t xml:space="preserve">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w:t>
      </w:r>
      <w:r>
        <w:rPr>
          <w:vertAlign w:val="subscript"/>
          <w:bCs/>
          <w:b/>
        </w:rPr>
        <w:t xml:space="preserve">abs</w:t>
      </w:r>
      <w:r>
        <w:rPr>
          <w:bCs/>
          <w:b/>
        </w:rPr>
        <w:t xml:space="preserve"> </w:t>
      </w:r>
      <w:r>
        <w:rPr>
          <w:bCs/>
          <w:b/>
        </w:rPr>
        <w:t xml:space="preserve">and the Löwdin site moments of dual-U Rb_perfect and Pr_perfect (projwfc.x on the existing outputs).]</w:t>
      </w:r>
      <w:r>
        <w:t xml:space="preserve"> </w:t>
      </w:r>
      <w:r>
        <w:t xml:space="preserve">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w:t>
      </w:r>
      <w:r>
        <w:t xml:space="preserve"> </w:t>
      </w:r>
      <w:r>
        <w:rPr>
          <w:bCs/>
          <w:b/>
        </w:rPr>
        <w:t xml:space="preserve">[AUTHOR ACTION: add m</w:t>
      </w:r>
      <w:r>
        <w:rPr>
          <w:vertAlign w:val="subscript"/>
          <w:bCs/>
          <w:b/>
        </w:rPr>
        <w:t xml:space="preserve">abs</w:t>
      </w:r>
      <w:r>
        <w:rPr>
          <w:bCs/>
          <w:b/>
        </w:rPr>
        <w:t xml:space="preserve"> </w:t>
      </w:r>
      <w:r>
        <w:rPr>
          <w:bCs/>
          <w:b/>
        </w:rPr>
        <w:t xml:space="preserve">of the q = +1 Rb_VO cell from its output.]</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−0.76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within 0.6 eV below E</w:t>
      </w:r>
      <w:r>
        <w:rPr>
          <w:vertAlign w:val="subscript"/>
        </w:rPr>
        <w:t xml:space="preserve">F</w:t>
      </w:r>
      <w:r>
        <w:t xml:space="preserve"> </w:t>
      </w:r>
      <w:r>
        <w:t xml:space="preserve">have equal weight in the two spin channels (0.70 states each in the broadened DOS, 95 % Ti-3d), no feature appears inside the gap at this broadening, and the Pr-5d projection is small at both band edges. No site carries a Löwdin spin polarisation above 0.001 μ</w:t>
      </w:r>
      <w:r>
        <w:rPr>
          <w:vertAlign w:val="subscript"/>
        </w:rPr>
        <w:t xml:space="preserve">B</w:t>
      </w:r>
      <w:r>
        <w:t xml:space="preserve">, so the net excess electron is spin-paired over delocalised conduction-band states: this is the smeared solution of Section 3.3. The Pr-4f states are frozen in the core and cannot appear (Section 2.1). In Rb_VO the Fermi level lies at the top of the O-2p valence band and an empty state lies just above it in one spin channel only: between E</w:t>
      </w:r>
      <w:r>
        <w:rPr>
          <w:vertAlign w:val="subscript"/>
        </w:rPr>
        <w:t xml:space="preserve">F</w:t>
      </w:r>
      <w:r>
        <w:t xml:space="preserve"> </w:t>
      </w:r>
      <w:r>
        <w:t xml:space="preserve">and E</w:t>
      </w:r>
      <w:r>
        <w:rPr>
          <w:vertAlign w:val="subscript"/>
        </w:rPr>
        <w:t xml:space="preserve">F</w:t>
      </w:r>
      <w:r>
        <w:t xml:space="preserve"> </w:t>
      </w:r>
      <w:r>
        <w:t xml:space="preserve">+ 0.6 eV the minority channel holds 0.79 states and the majority channel none, and 93 % of the minority weight is O-2p (Ti-3d 5 %). This empty minority-spin state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3.40 Å from the vacant site; it is also the oxygen with the largest Bader depletion (Section 3.7). The residual hole is therefore an O-2p hole centred on one oxygen next to the dopant, with smaller weight on its oxygen neighbours and no Ti</w:t>
      </w:r>
      <w:r>
        <w:rPr>
          <w:vertAlign w:val="superscript"/>
        </w:rPr>
        <w:t xml:space="preserve">3+</w:t>
      </w:r>
      <w:r>
        <w:t xml:space="preserve"> </w:t>
      </w:r>
      <w:r>
        <w:t xml:space="preserve">character.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separation between the valence-band top and the conduction-band onset is about 2.4–2.5 eV in both cells (onsets taken where the total DOS reaches 0.5 states eV</w:t>
      </w:r>
      <w:r>
        <w:rPr>
          <w:vertAlign w:val="superscript"/>
        </w:rPr>
        <w:t xml:space="preserve">−1</w:t>
      </w:r>
      <w:r>
        <w:t xml:space="preserve">). In the run used for Figure 4 the net moment is positive, so the hole appears in the spin-down channel; the sign of m is arbitrary in a collinear calculation, and the production relaxation (m = −0.97 μ</w:t>
      </w:r>
      <w:r>
        <w:rPr>
          <w:vertAlign w:val="subscript"/>
        </w:rPr>
        <w:t xml:space="preserve">B</w:t>
      </w:r>
      <w:r>
        <w:t xml:space="preserve">) corresponds to the same solution with the spins interchanged (Section 3.3). The Fermi energy of Pr_VO in Figure 4 (10.31 eV, 2×2×2 non-self-consistent) differs from the Γ-only self-consistent value (9.99 eV) because of the k-mesh dependence of the conduction-band filling; the Rb_VO Fermi energy is mesh-stable (7.13 versus 7.14 eV).</w:t>
      </w:r>
      <w:r>
        <w:t xml:space="preserve"> </w:t>
      </w:r>
      <w:r>
        <w:rPr>
          <w:bCs/>
          <w:b/>
        </w:rPr>
        <w:t xml:space="preserve">[AUTHOR ACTION (optional): add the Rb_VO spin-density isosurface (pp.x, plot_num = 6) as Figure S4 to complement the Löwdin moments.]</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(0.70 states each between −0.6 eV and E</w:t>
      </w:r>
      <w:r>
        <w:rPr>
          <w:vertAlign w:val="subscript"/>
          <w:iCs/>
          <w:i/>
        </w:rPr>
        <w:t xml:space="preserve">F</w:t>
      </w:r>
      <w:r>
        <w:rPr>
          <w:iCs/>
          <w:i/>
        </w:rPr>
        <w:t xml:space="preserve">, 95 % Ti-3d). In (d) the empty state just above E</w:t>
      </w:r>
      <w:r>
        <w:rPr>
          <w:vertAlign w:val="subscript"/>
          <w:iCs/>
          <w:i/>
        </w:rPr>
        <w:t xml:space="preserve">F</w:t>
      </w:r>
      <w:r>
        <w:rPr>
          <w:iCs/>
          <w:i/>
        </w:rPr>
        <w:t xml:space="preserve"> </w:t>
      </w:r>
      <w:r>
        <w:rPr>
          <w:iCs/>
          <w:i/>
        </w:rPr>
        <w:t xml:space="preserve">appears in the spin-down channel only (0.79 states between E</w:t>
      </w:r>
      <w:r>
        <w:rPr>
          <w:vertAlign w:val="subscript"/>
          <w:iCs/>
          <w:i/>
        </w:rPr>
        <w:t xml:space="preserve">F</w:t>
      </w:r>
      <w:r>
        <w:rPr>
          <w:iCs/>
          <w:i/>
        </w:rPr>
        <w:t xml:space="preserve"> </w:t>
      </w:r>
      <w:r>
        <w:rPr>
          <w:iCs/>
          <w:i/>
        </w:rPr>
        <w:t xml:space="preserve">and +0.6 eV, 93 % O-2p; spin up 0.00).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gave a non-magnetic solution (m =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which lie within the stated mesh dependence.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belongs to the from-scratch SCF solution of the smeared Pr_VO cell and not to the D3 term.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hardware listed in Table S6)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production site is itself a first-shell oxygen of the dopant site (Section 2.3); a second first-shell candidate was not computed, site multiplicities are not given, and no corresponding sampling was performed for the Rb cell. The positions of the removed oxygens are listed in Table S4.</w:t>
      </w:r>
      <w:r>
        <w:t xml:space="preserve"> </w:t>
      </w:r>
      <w:r>
        <w:rPr>
          <w:bCs/>
          <w:b/>
        </w:rPr>
        <w:t xml:space="preserve">[AUTHOR ACTION: if possible, add two Rb_VO sites (a second first-shell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state that the two cells share the same atom ordering and which oxygen index was removed in each, and report the grid used; Bader grid convergence was not tested. ]</w:t>
      </w:r>
      <w:r>
        <w:t xml:space="preserve"> </w:t>
      </w:r>
      <w:r>
        <w:t xml:space="preserve">Relative to the Pr_VO cell, the 31 oxygen atoms of Rb_VO hold 0.97 e less in total, with the depletion concentrated on one oxygen bonded to the displaced Rb ion (−0.26 e, O8; Rb–O8 = 2.56 Å, 3.40 Å from the vacant site) and a second oxygen (−0.14 e, O30; 3.07 Å from Rb),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(3.45 eV for one electron in the Pr cell, 8.81 eV for two in the Rb cell) are of that order but not equal per electron. The valence-to-conduction-band separation in the projected densities of states of the two vacancy cells is about 2.4–2.5 eV (Section 3.6), smaller than either per-electron reduction (3.45 eV for Pr, 4.40 eV per electron for Rb), so electron transfer across the gap does not account for the reductions on its own. The remainder must come from the electrostatic interaction between the vacancy and the dopant, which the dependence of E</w:t>
      </w:r>
      <w:r>
        <w:rPr>
          <w:vertAlign w:val="subscript"/>
        </w:rPr>
        <w:t xml:space="preserve">f</w:t>
      </w:r>
      <w:r>
        <w:t xml:space="preserve"> </w:t>
      </w:r>
      <w:r>
        <w:t xml:space="preserve">on the vacancy site in the Pr cell indicates (Section 3.7), and from lattice relaxation, which in the Rb cell includes a 1.27 Å displacement of the Rb ion into the space vacated by the oxygen (Section 3.1);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gives a direct indication of the elastic part: the Rb ion moves 1.27 Å off the cation site into the space vacated by the adjacent oxygen (Section 3.1), a relaxation channel that only an adjacent vacancy opens and that a smaller ion would exploit less, but whose energy has not been separated from the electronic contribution.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Whether the production pristine perfect cell was relaxed has to be confirmed (Section 2.6); if it was not, the pristine formation energy and the reductions relative to it are underestimated by its relaxation energy.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The production relaxations started from zero magnetisation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[38]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state whose Löwdin moment sits mainly on one oxygen bonded to the Rb ion (0.59 of 1.01 μ</w:t>
      </w:r>
      <w:r>
        <w:rPr>
          <w:vertAlign w:val="subscript"/>
        </w:rPr>
        <w:t xml:space="preserve">B</w:t>
      </w:r>
      <w:r>
        <w:t xml:space="preserve">), and the Rb ion has moved 1.27 Å towards the vacancy, so lattice relaxation contributes to the Rb energetics;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plotting scripts that draw Figures 1–4, S1 and S2 and the graphical abstract directly from the authors’ Quantum ESPRESSO outputs and computed values, without altering any data.</w:t>
      </w:r>
      <w:r>
        <w:t xml:space="preserve"> </w:t>
      </w:r>
      <w:r>
        <w:rPr>
          <w:bCs/>
          <w:b/>
        </w:rPr>
        <w:t xml:space="preserve">[AUTHOR ACTION: Figure S3 is still interim artwork whose text labels were raster-patched by figures/patch_labels.py; regenerate it from the force data of the relaxation outputs. Elsevier does not permit generative-AI or AI-assisted tools to create or alter images or to produce graphical-abstract artwork; confirm with the editorial office that data plots drawn by AI-assisted plotting scripts are acceptable, or regenerate them with the authors’ own scripts, and amend this statement accordingly.]</w:t>
      </w:r>
      <w:r>
        <w:t xml:space="preserve"> </w:t>
      </w:r>
      <w:r>
        <w:t xml:space="preserve">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Chen, H.; Yao, L.; Yang, S.; Wang, Y.; Liang, X.; Huang, Y. First-Principles Study on Electronic and Optical Properties in Pr-Doped Anatase TiO2. Adv. Mater. Res. 2014, 924, 260–268. DOI: 10.4028/www.scientific.net/AMR.924.260.</w:t>
      </w:r>
    </w:p>
    <w:p>
      <w:pPr>
        <w:pStyle w:val="BodyText"/>
      </w:pPr>
      <w:r>
        <w:t xml:space="preserve">[21]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Freysoldt, C.; Grabowski, B.; Hickel, T.; Neugebauer, J.; Kresse, G.; Janotti, A.; Van de Walle, C. G. First-Principles Calculations for Point Defects in Solids. Rev. Mod. Phys. 2014, 86, 253–305. DOI: 10.1103/RevModPhys.86.253.</w:t>
      </w:r>
    </w:p>
    <w:p>
      <w:pPr>
        <w:pStyle w:val="BodyText"/>
      </w:pPr>
      <w:r>
        <w:t xml:space="preserve">[39] Heyd, J.; Scuseria, G. E.; Ernzerhof, M. Hybrid Functionals Based on a Screened Coulomb Potential. J. Chem. Phys. 2003, 118, 8207–8215. DOI: 10.1063/1.1564060.</w:t>
      </w:r>
    </w:p>
    <w:p>
      <w:pPr>
        <w:pStyle w:val="BodyText"/>
      </w:pPr>
      <w:r>
        <w:t xml:space="preserve">[40] Krukau, A. V.; Vydrov, O. A.; Izmaylov, A. F.; Scuseria, G. E. Influence of the Exchange Screening Parameter on the Performance of Screened Hybrid Functionals. J. Chem. Phys. 2006, 125, 224106. DOI: 10.1063/1.2404663.</w:t>
      </w:r>
    </w:p>
    <w:p>
      <w:pPr>
        <w:pStyle w:val="BodyText"/>
      </w:pPr>
      <w:r>
        <w:t xml:space="preserve">[41] Grimme, S.; Antony, J.; Ehrlich, S.; Krieg, H. A Consistent and Accurate Ab Initio Parametrization of Density Functional Dispersion Correction (DFT-D) for the 94 Elements H–Pu. J. Chem. Phys. 2010, 132, 154104. DOI: 10.1063/1.3382344.</w:t>
      </w:r>
    </w:p>
    <w:p>
      <w:pPr>
        <w:pStyle w:val="BodyText"/>
      </w:pPr>
      <w:r>
        <w:t xml:space="preserve">[42] Grimme, S.; Ehrlich, S.; Goerigk, L. Effect of the Damping Function in Dispersion Corrected Density Functional Theory. J. Comput. Chem. 2011, 32, 1456–1465. DOI: 10.1002/jcc.21759.</w:t>
      </w:r>
    </w:p>
    <w:p>
      <w:pPr>
        <w:pStyle w:val="BodyText"/>
      </w:pPr>
      <w:r>
        <w:t xml:space="preserve">[43]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[44] Henkelman, G.; Arnaldsson, A.; Jónsson, H. A Fast and Robust Algorithm for Bader Decomposition of Charge Density. Comput. Mater. Sci. 2006, 36, 354–360. DOI: 10.1016/j.commatsci.2005.04.010.</w:t>
      </w:r>
    </w:p>
    <w:p>
      <w:pPr>
        <w:pStyle w:val="BodyText"/>
      </w:pPr>
      <w:r>
        <w:t xml:space="preserve">[45] Tang, W.; Sanville, E.; Henkelman, G. A Grid-Based Bader Analysis Algorithm without Lattice Bias. J. Phys.: Condens. Matter 2009, 21, 084204. DOI: 10.1088/0953-8984/21/8/084204.</w:t>
      </w:r>
    </w:p>
    <w:p>
      <w:pPr>
        <w:pStyle w:val="BodyText"/>
      </w:pPr>
      <w:r>
        <w:t xml:space="preserve">[46] Boonchun, A.; Reunchan, P.; Umezawa, N. Energetics of Native Defects in Anatase TiO2: A Hybrid Density Functional Study. Phys. Chem. Chem. Phys. 2016, 18, 30040–30046. DOI: 10.1039/c6cp05798e.</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2026-10-03T15:09:48Z</dcterms:created>
  <dcterms:modified xsi:type="dcterms:W3CDTF">2026-10-03T15:09:48Z</dcterms:modified>
</cp:coreProperties>
</file>

<file path=docProps/custom.xml><?xml version="1.0" encoding="utf-8"?>
<Properties xmlns="http://schemas.openxmlformats.org/officeDocument/2006/custom-properties" xmlns:vt="http://schemas.openxmlformats.org/officeDocument/2006/docPropsVTypes"/>
</file>