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4130b035dd8d16fa6e7f928145f948a07df62b3"/>
    <w:p>
      <w:pPr>
        <w:pStyle w:val="Heading1"/>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and aliovalent substitution is the usual lever for controlling them; trivalent rare-earth and monovalent alkali dopants have, however,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both substitutions lower the cost of oxygen removal, the Pr cell remains uphill and the Rb cell is downhill, a 5.36 eV contrast that changes by only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The Rb cells carry unpaired spin in every treatment tested, reaching an absolute magnetisation of 2.99 μ</w:t>
      </w:r>
      <w:r>
        <w:rPr>
          <w:vertAlign w:val="subscript"/>
        </w:rPr>
        <w:t xml:space="preserve">B</w:t>
      </w:r>
      <w:r>
        <w:t xml:space="preserve"> </w:t>
      </w:r>
      <w:r>
        <w:t xml:space="preserve">for the doubly ionised vacancy cell, consistent with three holes per Rb. With U on Ti-3d only the Pr cells converge to non-magnetic smeared solutions, but the vacancy-free Pr cell develops a localised hole (1.00 μ</w:t>
      </w:r>
      <w:r>
        <w:rPr>
          <w:vertAlign w:val="subscript"/>
        </w:rPr>
        <w:t xml:space="preserve">B</w:t>
      </w:r>
      <w:r>
        <w:t xml:space="preserve">) once an oxygen-2p Hubbard term is added, so hole localisation there is method dependent. The results support charge-compensation control of V</w:t>
      </w:r>
      <w:r>
        <w:rPr>
          <w:vertAlign w:val="subscript"/>
        </w:rPr>
        <w:t xml:space="preserve">O</w:t>
      </w:r>
      <w:r>
        <w:t xml:space="preserve"> </w:t>
      </w:r>
      <w:r>
        <w:t xml:space="preserve">energetics in this host;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 and wide-gap absorbers such as CsPbBr</w:t>
      </w:r>
      <w:r>
        <w:rPr>
          <w:vertAlign w:val="subscript"/>
        </w:rPr>
        <w:t xml:space="preserve">3</w:t>
      </w:r>
      <w:r>
        <w:t xml:space="preserve"> </w:t>
      </w:r>
      <w:r>
        <w:t xml:space="preserve">[2] are paired with n-type oxide electron-transport layers (ETLs), most commonly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[5,6,7,8,9,10,11,12,13,14,15]. Controlling the equilibrium V</w:t>
      </w:r>
      <w:r>
        <w:rPr>
          <w:vertAlign w:val="subscript"/>
        </w:rPr>
        <w:t xml:space="preserve">O</w:t>
      </w:r>
      <w:r>
        <w:t xml:space="preserve"> </w:t>
      </w:r>
      <w:r>
        <w:t xml:space="preserve">population of an ETL is therefore a materials-design problem, and substitutional aliovalent doping is the principal lever [16,17,18,19].</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describe this deficit as accommodated electronically, by rehybridisation at the valence-band edge or by a change of dopant oxidation state [20,21,22,23,24]. The picture is not universal: Iwaszuk and Nolan showed for trivalent dopants in bulk rutile that oxygen-vacancy compensation can compete with, and in some cases dominate, electronic compensation [18]; the coupling between a trivalent dopant and an oxygen vacancy has been analysed for Ce-doped anatase [25] and Gd-doped CeO</w:t>
      </w:r>
      <w:r>
        <w:rPr>
          <w:vertAlign w:val="subscript"/>
        </w:rPr>
        <w:t xml:space="preserve">2</w:t>
      </w:r>
      <w:r>
        <w:t xml:space="preserve"> </w:t>
      </w:r>
      <w:r>
        <w:t xml:space="preserve">[19]; and Bahmanrokh et al. derived a general defect-equilibria formalism for Ce-doped anatase in which both channels appear [26]. Pr in particular has been treated at the anatase (101) surface [27] and in the bulk [24], and is an attractive test case because its +3 state is well defined and its ionic radius (0.99 Å in six-fold coordination [28])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[17];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[29]; and Tian et al. recently combined experiment and calculation to show that Rb doping, in synergy with lattice strain, promotes oxygen-vacancy formation in TiO</w:t>
      </w:r>
      <w:r>
        <w:rPr>
          <w:vertAlign w:val="subscript"/>
        </w:rPr>
        <w:t xml:space="preserve">2</w:t>
      </w:r>
      <w:r>
        <w:t xml:space="preserve"> </w:t>
      </w:r>
      <w:r>
        <w:t xml:space="preserve">[16].</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[30]: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test the sensitivity of the localisation picture to an oxygen-site Hubbard term, and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[31,32] using the PBE exchange–correlation functional [33] and projector-augmented-wave datasets from PSlibrary 1.0.0 [34]: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w:t>
      </w:r>
      <w:r>
        <w:t xml:space="preserve"> </w:t>
      </w:r>
      <w:r>
        <w:rPr>
          <w:bCs/>
          <w:b/>
        </w:rPr>
        <w:t xml:space="preserve">[AUTHOR ACTION: copy the exact valence configuration from the UPF header into Table 1 and Table S7.]</w:t>
      </w:r>
      <w:r>
        <w:t xml:space="preserve"> </w:t>
      </w:r>
      <w:r>
        <w:t xml:space="preserve">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+V</w:t>
      </w:r>
      <w:r>
        <w:rPr>
          <w:vertAlign w:val="subscript"/>
        </w:rPr>
        <w:t xml:space="preserve">O</w:t>
      </w:r>
      <w:r>
        <w:t xml:space="preserve"> </w:t>
      </w:r>
      <w:r>
        <w:t xml:space="preserve">and Rb</w:t>
      </w:r>
      <w:r>
        <w:rPr>
          <w:vertAlign w:val="subscript"/>
        </w:rPr>
        <w:t xml:space="preserve">Ti</w:t>
      </w:r>
      <w:r>
        <w:t xml:space="preserve">+V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No cut-off convergence test was performed; comparable anatase defect work uses 55 Ry for the same species [14],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[35], which is the form implemented behind the HUBBARD card of Quantum ESPRESSO 7.x, was applied to the Ti-3d manifold with U</w:t>
      </w:r>
      <w:r>
        <w:rPr>
          <w:vertAlign w:val="subscript"/>
        </w:rPr>
        <w:t xml:space="preserve">eff</w:t>
      </w:r>
      <w:r>
        <w:t xml:space="preserve"> </w:t>
      </w:r>
      <w:r>
        <w:t xml:space="preserve">= 3.5 eV using ortho-atomic projectors. Deák et al. note that this value is close to an ab initio determination of U for anatase [36], and it has been used for Er-doped anatase [21] and for anatase (101) defect chemistry [7]; other anatase work uses U = 4.2 eV [14,15], a value originally fitted for the rutile (110) surface [37].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texts that Mazierski et al. and Yin et al. used U(Ti-3d) = 3.5 eV and that Deák et al. quote an ab initio anatase value near 3.5 eV.]</w:t>
      </w:r>
      <w:r>
        <w:t xml:space="preserve"> </w:t>
      </w:r>
      <w:r>
        <w:t xml:space="preserve">The DFT+U approach rests on the formulation of Anisimov et al. [38]; linear-response determination of U [39] was not performed for the dopant-containing cells.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[17],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in each doped cell is an oxygen atom in the neighbourhood of the dopant site; three alternative sites in the Pr cell are examined in Section 3.7.</w:t>
      </w:r>
      <w:r>
        <w:t xml:space="preserve"> </w:t>
      </w:r>
      <w:r>
        <w:rPr>
          <w:bCs/>
          <w:b/>
        </w:rPr>
        <w:t xml:space="preserve">[AUTHOR ACTION: state the atom index and the relaxed dopant–O distance of the production V</w:t>
      </w:r>
      <w:r>
        <w:rPr>
          <w:vertAlign w:val="subscript"/>
          <w:bCs/>
          <w:b/>
        </w:rPr>
        <w:t xml:space="preserve">O</w:t>
      </w:r>
      <w:r>
        <w:rPr>
          <w:bCs/>
          <w:b/>
        </w:rPr>
        <w:t xml:space="preserve"> </w:t>
      </w:r>
      <w:r>
        <w:rPr>
          <w:bCs/>
          <w:b/>
        </w:rPr>
        <w:t xml:space="preserve">in both cells. The earlier draft stated that the nearest-neighbour oxygen (index O3, 2.17 Å from Pr) was not tested, whereas SI Table S4 describes the production site as the closest oxygen at ≈2.17 Å; reconcile from the input files before any statement about nearest-neighbour preference is made. Also give the relaxed first-shell dopant–O bond lengths for Pr and Rb (six values each) as Table S8; note that 2.17 Å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a choice the earlier literature on anatase defect cells of comparable size has also made [15].</w:t>
      </w:r>
      <w:r>
        <w:t xml:space="preserve"> </w:t>
      </w:r>
      <w:r>
        <w:rPr>
          <w:bCs/>
          <w:b/>
        </w:rPr>
        <w:t xml:space="preserve">[AUTHOR ACTION: verify that Arrigoni and Madsen used Γ-only sampling; otherwise remove the attribution.]</w:t>
      </w:r>
      <w:r>
        <w:t xml:space="preserve"> </w:t>
      </w:r>
      <w:r>
        <w:t xml:space="preserve">Single-point total energies on the Γ-relaxed geometries were recomputed on a 2×2×2 Monkhorst–Pack mesh for all four doped cells, and the projected densities of states were obtained from non-self-consistent calculations on a 2×2×2 mesh;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well-localised unpaired electron both are close to 1 μ</w:t>
      </w:r>
      <w:r>
        <w:rPr>
          <w:vertAlign w:val="subscript"/>
        </w:rPr>
        <w:t xml:space="preserve">B</w:t>
      </w:r>
      <w:r>
        <w:t xml:space="preserve">; m</w:t>
      </w:r>
      <w:r>
        <w:rPr>
          <w:vertAlign w:val="subscript"/>
        </w:rPr>
        <w:t xml:space="preserve">abs</w:t>
      </w:r>
      <w:r>
        <w:t xml:space="preserve"> </w:t>
      </w:r>
      <w:r>
        <w:t xml:space="preserve">&gt; |m| indicates spin density of both signs. Production relaxations were started from a small, symmetry-breaking starting magnetisation.</w:t>
      </w:r>
      <w:r>
        <w:t xml:space="preserve"> </w:t>
      </w:r>
      <w:r>
        <w:rPr>
          <w:bCs/>
          <w:b/>
        </w:rPr>
        <w:t xml:space="preserve">[AUTHOR ACTION: state the starting_magnetization value of each species in the production inputs. Quantum ESPRESSO requires a non-zero value for at least one species in an nspin = 2 run, and Section S1 records 0.05 on both species for the pristine V</w:t>
      </w:r>
      <w:r>
        <w:rPr>
          <w:vertAlign w:val="subscript"/>
          <w:bCs/>
          <w:b/>
        </w:rPr>
        <w:t xml:space="preserve">O</w:t>
      </w:r>
      <w:r>
        <w:rPr>
          <w:bCs/>
          <w:b/>
        </w:rPr>
        <w:t xml:space="preserve"> </w:t>
      </w:r>
      <w:r>
        <w:rPr>
          <w:bCs/>
          <w:b/>
        </w:rPr>
        <w:t xml:space="preserve">cell; the earlier wording</w:t>
      </w:r>
      <w:r>
        <w:rPr>
          <w:bCs/>
          <w:b/>
        </w:rPr>
        <w:t xml:space="preserve"> </w:t>
      </w:r>
      <w:r>
        <w:rPr>
          <w:bCs/>
          <w:b/>
        </w:rPr>
        <w:t xml:space="preserve">“</w:t>
      </w:r>
      <w:r>
        <w:rPr>
          <w:bCs/>
          <w:b/>
        </w:rPr>
        <w:t xml:space="preserve">zero magnetisation on all species</w:t>
      </w:r>
      <w:r>
        <w:rPr>
          <w:bCs/>
          <w:b/>
        </w:rPr>
        <w:t xml:space="preserve">”</w:t>
      </w:r>
      <w:r>
        <w:rPr>
          <w:bCs/>
          <w:b/>
        </w:rPr>
        <w:t xml:space="preserve"> </w:t>
      </w:r>
      <w:r>
        <w:rPr>
          <w:bCs/>
          <w:b/>
        </w:rPr>
        <w:t xml:space="preserve">cannot be correct as written.]</w:t>
      </w:r>
      <w:r>
        <w:t xml:space="preserve"> </w:t>
      </w:r>
      <w:r>
        <w:t xml:space="preserve">Because a near-zero start can trap a calculation in a non-magnetic solution, the Pr_VO cell was re-relaxed from a magnetic start with starting_magnetization = 0.3 on Ti and 0.5 on the dopant (these are fractions of the valence charge in the Quantum ESPRESSO convention, not site moments in μ</w:t>
      </w:r>
      <w:r>
        <w:rPr>
          <w:vertAlign w:val="subscript"/>
        </w:rPr>
        <w:t xml:space="preserve">B</w:t>
      </w:r>
      <w:r>
        <w:t xml:space="preserve">) under a separate prefix, and the two total energies were compared (Section 3.3).</w:t>
      </w:r>
      <w:r>
        <w:t xml:space="preserve"> </w:t>
      </w:r>
      <w:r>
        <w:rPr>
          <w:bCs/>
          <w:b/>
        </w:rPr>
        <w:t xml:space="preserve">[AUTHOR ACTION: state whether equivalent magnetic-start trials were run for Pristine_perfect, Pristine_VO and Pr_perfect and report their outcomes; if not, say so here.]</w:t>
      </w:r>
      <w:r>
        <w:t xml:space="preserve"> </w:t>
      </w:r>
      <w:r>
        <w:t xml:space="preserve">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the default mixing (mixing_beta = 0.3) and converged only after the changes described in Section S1.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[40]. The known overbinding of O</w:t>
      </w:r>
      <w:r>
        <w:rPr>
          <w:vertAlign w:val="subscript"/>
        </w:rPr>
        <w:t xml:space="preserve">2</w:t>
      </w:r>
      <w:r>
        <w:t xml:space="preserve"> </w:t>
      </w:r>
      <w:r>
        <w:t xml:space="preserve">by PBE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[41,42],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[43,44], without three-body terms, following the DFT+U+D3 protocol used for defective anatase by Torres et al. [45];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[46,47].</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r>
        <w:t xml:space="preserve"> </w:t>
      </w: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lies in the neighbourhood of the dopant in both cells (Section 2.3).</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patch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the panel subtitles of the interim artwork were patched to match this caption; regenerate the figure from the relaxed coordinates and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adjacent to the dopant site relative to pristine TiO</w:t>
      </w:r>
      <w:r>
        <w:rPr>
          <w:vertAlign w:val="subscript"/>
        </w:rPr>
        <w:t xml:space="preserve">2</w:t>
      </w:r>
      <w:r>
        <w:t xml:space="preserve">, by 3.45 eV for Pr and 8.81 eV for Rb (differences of the unrounded values). The Pr cell remains uphill at this reference, so oxygen removal is not spontaneous; the Rb cell is downhill, so the vacancy-free Rb-substituted cell is unstable against oxygen loss at this reference.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Smearing, cut-off and relaxation-tolerance contributions to the absolute values have not been quantified (Section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formed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4.0–5.0 eV range reported for the neutral bulk vacancy in anatase with DFT+U at U = 4.2 eV [15] and below the 5.3–5.5 eV obtained with HSE06 at the oxygen-rich limit [48,36], as expected for a semi-local functional with a PBE O</w:t>
      </w:r>
      <w:r>
        <w:rPr>
          <w:vertAlign w:val="subscript"/>
        </w:rPr>
        <w:t xml:space="preserve">2</w:t>
      </w:r>
      <w:r>
        <w:t xml:space="preserve"> </w:t>
      </w:r>
      <w:r>
        <w:t xml:space="preserve">reference; this is a consistency check, not a validation of the protocol.</w:t>
      </w:r>
      <w:r>
        <w:t xml:space="preserve"> </w:t>
      </w:r>
      <w:r>
        <w:rPr>
          <w:bCs/>
          <w:b/>
        </w:rPr>
        <w:t xml:space="preserve">[AUTHOR ACTION: verify the Arrigoni–Madsen, Boonchun and Deák values and their oxygen-chemical-potential conditions against the full texts.]</w:t>
      </w:r>
      <w:r>
        <w:t xml:space="preserve"> </w:t>
      </w:r>
      <w:r>
        <w:t xml:space="preserve">On the 2×2×2 mesh the individual formation energies shift by −0.10 eV (Pr) and −0.14 eV (Rb) while the contrast moves from 5.36 to 5.39 eV, i.e. by +0.04 eV (defined as the 2×2×2 contrast minus the Γ-only contrast). The comparative conclusion is therefore insensitive to Brillouin-zone sampling at the 0.05 eV level, although the absolute values carry a 0.1–0.15 eV mesh dependence. The sign of the Rb result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[16];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spread over band-edge states with equal spin-up and spin-down weight.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the non-magnetic solution is therefore the lower of the two solutions tested, and a broader search over spin seeds and local distortions would be needed to establish it as the ground state.</w:t>
      </w:r>
      <w:r>
        <w:t xml:space="preserve"> </w:t>
      </w:r>
      <w:r>
        <w:rPr>
          <w:bCs/>
          <w:b/>
        </w:rPr>
        <w:t xml:space="preserve">[AUTHOR ACTION: report the fractional occupations of the states within ±0.3 eV of E</w:t>
      </w:r>
      <w:r>
        <w:rPr>
          <w:vertAlign w:val="subscript"/>
          <w:bCs/>
          <w:b/>
        </w:rPr>
        <w:t xml:space="preserve">F</w:t>
      </w:r>
      <w:r>
        <w:rPr>
          <w:bCs/>
          <w:b/>
        </w:rPr>
        <w:t xml:space="preserve"> </w:t>
      </w:r>
      <w:r>
        <w:rPr>
          <w:bCs/>
          <w:b/>
        </w:rPr>
        <w:t xml:space="preserve">for the non-magnetic Pr_perfect and Pr_VO solutions, so that the smeared character asserted here is documented.]</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scratch on the final Rb_VO geometry, at the production U (with the D3 term, Section 3.7) and at other U values (Table S1), converge instead to m</w:t>
      </w:r>
      <w:r>
        <w:rPr>
          <w:vertAlign w:val="subscript"/>
        </w:rPr>
        <w:t xml:space="preserve">abs</w:t>
      </w:r>
      <w:r>
        <w:t xml:space="preserve"> </w:t>
      </w:r>
      <w:r>
        <w:t xml:space="preserve">= 1.00 μ</w:t>
      </w:r>
      <w:r>
        <w:rPr>
          <w:vertAlign w:val="subscript"/>
        </w:rPr>
        <w:t xml:space="preserve">B</w:t>
      </w:r>
      <w:r>
        <w:t xml:space="preserve">; the relaxed cell therefore has two nearly degenerate spin solutions of this kind, and which one is lower in energy has not been established.</w:t>
      </w:r>
      <w:r>
        <w:t xml:space="preserve"> </w:t>
      </w:r>
      <w:r>
        <w:rPr>
          <w:bCs/>
          <w:b/>
        </w:rPr>
        <w:t xml:space="preserve">[AUTHOR ACTION: compare the total energy of a from-scratch single point at U = 3.5 eV without D3 on the final Rb_VO geometry with the last relaxation step, and report both solutions’ m and m</w:t>
      </w:r>
      <w:r>
        <w:rPr>
          <w:vertAlign w:val="subscript"/>
          <w:bCs/>
          <w:b/>
        </w:rPr>
        <w:t xml:space="preserve">abs</w:t>
      </w:r>
      <w:r>
        <w:rPr>
          <w:bCs/>
          <w:b/>
        </w:rPr>
        <w:t xml:space="preserve">.]</w:t>
      </w:r>
      <w:r>
        <w:t xml:space="preserve"> </w:t>
      </w:r>
      <w:r>
        <w:t xml:space="preserve">With three formal holes in Rb_perfect and one residual hole in Rb_VO (Table 1), the Ti-3d-only Hubbard treatment thus localises one unpaired spin in each Rb cell; the remaining two holes of Rb_perfect are spin-compensated in this treatment, a point that the oxygen-site Hubbard test of Section 3.4 resolves. The excess of m</w:t>
      </w:r>
      <w:r>
        <w:rPr>
          <w:vertAlign w:val="subscript"/>
        </w:rPr>
        <w:t xml:space="preserve">abs</w:t>
      </w:r>
      <w:r>
        <w:t xml:space="preserve"> </w:t>
      </w:r>
      <w:r>
        <w:t xml:space="preserve">over |m| in Rb_VO (0.24 μ</w:t>
      </w:r>
      <w:r>
        <w:rPr>
          <w:vertAlign w:val="subscript"/>
        </w:rPr>
        <w:t xml:space="preserve">B</w:t>
      </w:r>
      <w:r>
        <w:t xml:space="preserve">) indicates minority spin density of the opposite sign, consistent with a partly delocalised hole rather than a single-site moment.</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Total (|m|) and absolute (m</w:t>
      </w:r>
      <w:r>
        <w:rPr>
          <w:vertAlign w:val="subscript"/>
          <w:iCs/>
          <w:i/>
        </w:rPr>
        <w:t xml:space="preserve">abs</w:t>
      </w:r>
      <w:r>
        <w:rPr>
          <w:iCs/>
          <w:i/>
        </w:rPr>
        <w:t xml:space="preserve">) magnetisation of the production cells and of the O</w:t>
      </w:r>
      <w:r>
        <w:rPr>
          <w:vertAlign w:val="subscript"/>
          <w:iCs/>
          <w:i/>
        </w:rPr>
        <w:t xml:space="preserve">2</w:t>
      </w:r>
      <w:r>
        <w:rPr>
          <w:iCs/>
          <w:i/>
        </w:rPr>
        <w:t xml:space="preserve"> </w:t>
      </w:r>
      <w:r>
        <w:rPr>
          <w:iCs/>
          <w:i/>
        </w:rPr>
        <w:t xml:space="preserve">reference (single-U(Ti-3d) PBE+U relaxations).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localisation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w:t>
      </w:r>
      <w:r>
        <w:t xml:space="preserve"> </w:t>
      </w:r>
      <w:r>
        <w:rPr>
          <w:bCs/>
          <w:b/>
        </w:rPr>
        <w:t xml:space="preserve">[AUTHOR ACTION: state for each of the four dual-U cells whether it was relaxed or computed as a single point, and add the Rb_perfect and Rb_VO dual-U total energies to Tables S5 and S9.]</w:t>
      </w:r>
      <w:r>
        <w:t xml:space="preserve"> </w:t>
      </w:r>
      <w:r>
        <w:t xml:space="preserve">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by itself induce magnetism.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localised unpaired spins once the oxygen term is present;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localises when the oxygen term is present. Its printed Fermi energy (6.69 eV) lies 0.53 eV below that of the dual-U pristine cell (7.22 eV), which is the direction expected for a localised acceptor state,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 as well as m</w:t>
      </w:r>
      <w:r>
        <w:rPr>
          <w:vertAlign w:val="subscript"/>
          <w:bCs/>
          <w:b/>
        </w:rPr>
        <w:t xml:space="preserve">abs</w:t>
      </w:r>
      <w:r>
        <w:rPr>
          <w:bCs/>
          <w:b/>
        </w:rPr>
        <w:t xml:space="preserve"> </w:t>
      </w:r>
      <w:r>
        <w:rPr>
          <w:bCs/>
          <w:b/>
        </w:rPr>
        <w:t xml:space="preserve">for the dual-U cells (m = 3.00 μ</w:t>
      </w:r>
      <w:r>
        <w:rPr>
          <w:vertAlign w:val="subscript"/>
          <w:bCs/>
          <w:b/>
        </w:rPr>
        <w:t xml:space="preserve">B</w:t>
      </w:r>
      <w:r>
        <w:rPr>
          <w:bCs/>
          <w:b/>
        </w:rPr>
        <w:t xml:space="preserve"> </w:t>
      </w:r>
      <w:r>
        <w:rPr>
          <w:bCs/>
          <w:b/>
        </w:rPr>
        <w:t xml:space="preserve">is required for the three Rb spins to be parallel) and the site-projected moments or spin density of dual-U Rb_perfect and Pr_perfect.]</w:t>
      </w:r>
      <w:r>
        <w:t xml:space="preserve"> </w:t>
      </w:r>
      <w:r>
        <w:t xml:space="preserve">The electron count of each dual-U cell is reproduced by the spin count: one hole per Pr</w:t>
      </w:r>
      <w:r>
        <w:rPr>
          <w:vertAlign w:val="superscript"/>
        </w:rPr>
        <w:t xml:space="preserve">3+</w:t>
      </w:r>
      <w:r>
        <w:t xml:space="preserve">, three per Rb</w:t>
      </w:r>
      <w:r>
        <w:rPr>
          <w:vertAlign w:val="superscript"/>
        </w:rPr>
        <w:t xml:space="preserve">+</w:t>
      </w:r>
      <w:r>
        <w:t xml:space="preserve">,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spin count of the Rb cells is now consistent across the two Hubbard treatments and with the charged-cell series of Section 3.5. Second, the description of the Pr-substituted parent is method dependent: the hole is delocalised in the Ti-3d-only treatment and localised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removing one and then two electrons from the smeared non-magnetic solution leaves it non-magnetic.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so the differences (+2.10 eV for Pr_VO and −0.76 eV for Rb_VO relative to pristine; 2.86 eV between the two doped vacancy cells) should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species-summed projection does not by itself fix the orbital character of the hole; the Bader differences of Section 3.7 and the dual-U result of Section 3.4 indicate that it is predominantly O-2p.</w:t>
      </w:r>
      <w:r>
        <w:t xml:space="preserve"> </w:t>
      </w:r>
      <w:r>
        <w:rPr>
          <w:bCs/>
          <w:b/>
        </w:rPr>
        <w:t xml:space="preserve">[AUTHOR ACTION: from the existing projwfc.x output, add site-resolved O-2p and Ti-3d projections of the Rb_VO gap state and its integrated occupation per spin channel (Figure S4), and state the energy resolution of the DOS.]</w:t>
      </w:r>
      <w:r>
        <w:t xml:space="preserve"> </w:t>
      </w:r>
      <w:r>
        <w:t xml:space="preserve">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report the 2×2×2 non-self-consistent Fermi energy of the pristine cell.]</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patch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gap region of Rb_VO showing the spin-split occupied state with mixed O-2p/Ti-3d weight.</w:t>
      </w:r>
      <w:r>
        <w:rPr>
          <w:iCs/>
          <w:i/>
        </w:rPr>
        <w:t xml:space="preserve"> </w:t>
      </w:r>
      <w:r>
        <w:rPr>
          <w:bCs/>
          <w:b/>
          <w:iCs/>
          <w:i/>
        </w:rPr>
        <w:t xml:space="preserve">[AUTHOR ACTION: the title, panel subtitles and inset label of the interim artwork were patched to match this caption; regenerate from the projwfc.x output with the broadening and band count stated and the source run identifiers recorded in the figure script, and check the Rb_VO spin-down Ti-3d channel, which appears to be missing from the valence band in the current plot.]</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non-magnetic at every U; Rb_VO with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in the from-scratch single points, versus 1.21 μ</w:t>
      </w:r>
      <w:r>
        <w:rPr>
          <w:vertAlign w:val="subscript"/>
        </w:rPr>
        <w:t xml:space="preserve">B</w:t>
      </w:r>
      <w:r>
        <w:t xml:space="preserve"> </w:t>
      </w:r>
      <w:r>
        <w:t xml:space="preserve">in the final relaxation step at U = 3.5 eV; see Section 3.3 for the two solutions). The printed Fermi energies vary by at most 0.26 eV across the 1.5 eV range. The qualitative Pr/Rb distinction is therefore not tied to the particular U used.</w:t>
      </w:r>
    </w:p>
    <w:p>
      <w:pPr>
        <w:pStyle w:val="BodyText"/>
      </w:pPr>
      <w:r>
        <w:rPr>
          <w:iCs/>
          <w:i/>
        </w:rPr>
        <w:t xml:space="preserve">k-mesh.</w:t>
      </w:r>
      <w:r>
        <w:t xml:space="preserve"> </w:t>
      </w:r>
      <w:r>
        <w:t xml:space="preserve">For Pristine_perfect, Pr_VO and Rb_VO the total energy was computed at Γ, 2×2×1, 2×2×2 and 3×3×2 meshes at U = 3.5 eV. Relative to 3×3×2 the Γ-only energies are high by 1.05, 1.08 and 1.16 eV per cell (22, 23 and 25 meV per atom), whereas the 2×2×1 energies are within 1.15, 1.05 and 0.42 meV per atom of 3×3×2. The 2×2×2 energies of Table S2 lie 1.13 and 1.24 eV below the Γ-only values for Pr_VO and Rb_VO, i.e. 0.05–0.08 eV (1–2 meV per atom) below the 3×3×2 values,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A complete formation-energy cycle exists only at Γ and, for the doped hosts, at 2×2×2. The magnetisations are mesh-independent.</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 and confirm the 2×2×2 values against the 3×3×2 ones.]</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0.037 eV above the production value for Pr_VO, which indicates that the from-scratch single point converged to a slightly different electronic solution of the smeared Pr_VO cell.</w:t>
      </w:r>
      <w:r>
        <w:t xml:space="preserve"> </w:t>
      </w:r>
      <w:r>
        <w:rPr>
          <w:bCs/>
          <w:b/>
        </w:rPr>
        <w:t xml:space="preserve">[AUTHOR ACTION: check the convergence and occupations of the Pr_VO D3 single point and report the discrepancy’s origin.]</w:t>
      </w:r>
      <w:r>
        <w:t xml:space="preserve"> </w:t>
      </w:r>
      <w:r>
        <w:t xml:space="preserve">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w:t>
      </w:r>
      <w:r>
        <w:rPr>
          <w:vertAlign w:val="subscript"/>
        </w:rPr>
        <w:t xml:space="preserve">abs</w:t>
      </w:r>
      <w:r>
        <w:t xml:space="preserve"> </w:t>
      </w:r>
      <w:r>
        <w:t xml:space="preserve">=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1.21 μ</w:t>
      </w:r>
      <w:r>
        <w:rPr>
          <w:vertAlign w:val="subscript"/>
        </w:rPr>
        <w:t xml:space="preserve">B</w:t>
      </w:r>
      <w:r>
        <w:t xml:space="preserve"> </w:t>
      </w:r>
      <w:r>
        <w:t xml:space="preserve">of the final relaxation step.</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stated hardware)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nearest-neighbour candidate has not been established as tested (Section 2.3), site degeneracies are not given, and no corresponding sampling was performed for the Rb cell.</w:t>
      </w:r>
      <w:r>
        <w:t xml:space="preserve"> </w:t>
      </w:r>
      <w:r>
        <w:rPr>
          <w:bCs/>
          <w:b/>
        </w:rPr>
        <w:t xml:space="preserve">[AUTHOR ACTION: list the index, coordinates, minimum-image Pr–V</w:t>
      </w:r>
      <w:r>
        <w:rPr>
          <w:vertAlign w:val="subscript"/>
          <w:bCs/>
          <w:b/>
        </w:rPr>
        <w:t xml:space="preserve">O</w:t>
      </w:r>
      <w:r>
        <w:rPr>
          <w:bCs/>
          <w:b/>
        </w:rPr>
        <w:t xml:space="preserve"> </w:t>
      </w:r>
      <w:r>
        <w:rPr>
          <w:bCs/>
          <w:b/>
        </w:rPr>
        <w:t xml:space="preserve">distance and multiplicity of all four sites in Table S4, state whether the nearest-neighbour oxygen (O3, 2.17 Å) was among them,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w:t>
      </w:r>
      <w:r>
        <w:t xml:space="preserve"> </w:t>
      </w:r>
      <w:r>
        <w:t xml:space="preserve">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differences of that size approach the 0.05 e threshold quoted and the test is therefore indicative rather than decisive. The comparison is between cells of different composition, so the differences contain chemical polarisation by the dopant as well as carrier redistribution, and Bader charges are not orbital occupations; the result is therefore supporting evidence that the unpaired spin of Rb_VO resides mainly on oxygen, not a quantitative hole count.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w:t>
      </w:r>
      <w:r>
        <w:t xml:space="preserve"> </w:t>
      </w: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several eV per transferred electron are expected and are what is found (3.45 eV for one electron in the Pr cell, 8.81 eV for two in the Rb cell). The per-electron gains are not equal, because the two dopants also differ in the electrostatic and elastic environment they create around the vacancy site; the two-dopant design cannot decompose the formation-energy difference into these contributions.</w:t>
      </w:r>
    </w:p>
    <w:p>
      <w:pPr>
        <w:pStyle w:val="BodyText"/>
      </w:pPr>
      <w:r>
        <w:rPr>
          <w:bCs/>
          <w:b/>
        </w:rPr>
        <w:t xml:space="preserve">4.2 Relation to previous work.</w:t>
      </w:r>
      <w:r>
        <w:t xml:space="preserve"> </w:t>
      </w:r>
      <w:r>
        <w:t xml:space="preserve">The Rb result reproduces,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[17], and it agrees in sign with the experimental vacancy-formation trend reported for Rb-doped TiO</w:t>
      </w:r>
      <w:r>
        <w:rPr>
          <w:vertAlign w:val="subscript"/>
        </w:rPr>
        <w:t xml:space="preserve">2</w:t>
      </w:r>
      <w:r>
        <w:t xml:space="preserve"> </w:t>
      </w:r>
      <w:r>
        <w:t xml:space="preserve">by Tian et al. [16]. Because only one alkali was studied here, the radius dependence found by Carey and Nolan across Li–Rb is not tested. The Pr result is consistent with the trivalent-dopant picture of Iwaszuk and Nolan for rutile [18]: the vacancy is not spontaneous at the oxygen-rich reference, but its cost is reduced by 3.45 eV relative to the pristine host, so V</w:t>
      </w:r>
      <w:r>
        <w:rPr>
          <w:vertAlign w:val="subscript"/>
        </w:rPr>
        <w:t xml:space="preserve">O</w:t>
      </w:r>
      <w:r>
        <w:t xml:space="preserve"> </w:t>
      </w:r>
      <w:r>
        <w:t xml:space="preserve">compensation becomes accessible as the oxygen chemical potential is lowered.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next to Pr becomes exothermic once μ</w:t>
      </w:r>
      <w:r>
        <w:rPr>
          <w:vertAlign w:val="subscript"/>
        </w:rPr>
        <w:t xml:space="preserve">O</w:t>
      </w:r>
      <w:r>
        <w:t xml:space="preserve"> </w:t>
      </w:r>
      <w:r>
        <w:t xml:space="preserve">falls more than 1.29 eV below the O</w:t>
      </w:r>
      <w:r>
        <w:rPr>
          <w:vertAlign w:val="subscript"/>
        </w:rPr>
        <w:t xml:space="preserve">2</w:t>
      </w:r>
      <w:r>
        <w:t xml:space="preserve"> </w:t>
      </w:r>
      <w:r>
        <w:t xml:space="preserve">reference; whether that lies within the stability field of TiO</w:t>
      </w:r>
      <w:r>
        <w:rPr>
          <w:vertAlign w:val="subscript"/>
        </w:rPr>
        <w:t xml:space="preserve">2</w:t>
      </w:r>
      <w:r>
        <w:t xml:space="preserve"> </w:t>
      </w:r>
      <w:r>
        <w:t xml:space="preserve">against lower oxides was not evaluated (Section 5). The preference for the production vacancy site over the two more distant sites sampled (Section 3.7) is in the same direction as the Pr–V</w:t>
      </w:r>
      <w:r>
        <w:rPr>
          <w:vertAlign w:val="subscript"/>
        </w:rPr>
        <w:t xml:space="preserve">O</w:t>
      </w:r>
      <w:r>
        <w:t xml:space="preserve"> </w:t>
      </w:r>
      <w:r>
        <w:t xml:space="preserve">association reported for Pr adsorbed at the anatase (101) surface by Vural et al. [27], although adsorption and bulk substitution are different situations and only four sites were sampled here. The localisation of the Pr-induced hole when an oxygen-site U is present parallels the oxygen-hole states reported for trivalent dopants in rutile by Iwaszuk and Nolan [18]; the observation for Cu-doped anatase that the dopant provides an empty gap state that accepts vacancy electrons [49] is a chemical analogy rather than evidence for the Pr case.</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[28]),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it does not hold size constant, and no strain or fixed-geometry decomposition was computed, so the contrast cannot be apportioned between electronic and elastic contributions. What can be said is that the sign and magnitude of the contrast are those expected from the electron count and that no size-based argument predicts them.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a localised oxygen hole with U on O-2p (Section 3.4). The dual-U result is the one consistent with the electron count and with the behaviour of the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and Figure 4);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support, within this protocol and host, the use of the formal charge mismatch as a first screening variable for whether a substitutional dopant will promote or resist oxygen-vacancy formation: the trivalent dopant studied leaves the vacancy uphill at the oxygen-rich limit and the monovalent dopant studied makes it spontaneous.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being the electronic mirror image of the alkali case. (iii) The oxygen-hole states generated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and 3.1 % anion substitution. Defect–image interactions are not corrected; absolute formation energies at the dilute limit may differ by several tenths of an eV. (ii)</w:t>
      </w:r>
      <w:r>
        <w:t xml:space="preserve"> </w:t>
      </w:r>
      <w:r>
        <w:rPr>
          <w:iCs/>
          <w:i/>
        </w:rPr>
        <w:t xml:space="preserve">Brillouin-zone sampling.</w:t>
      </w:r>
      <w:r>
        <w:t xml:space="preserve"> </w:t>
      </w:r>
      <w:r>
        <w:t xml:space="preserve">Production relaxations are Γ-only. Total energies are 22–25 meV per atom above the 3×3×2 values; formation energies rely on cancellation within each host, and the 2×2×2 check bounds the residual at 0.10–0.14 eV on each E</w:t>
      </w:r>
      <w:r>
        <w:rPr>
          <w:vertAlign w:val="subscript"/>
        </w:rPr>
        <w:t xml:space="preserve">f</w:t>
      </w:r>
      <w:r>
        <w:t xml:space="preserve"> </w:t>
      </w:r>
      <w:r>
        <w:t xml:space="preserve">and 0.04 eV on ΔE</w:t>
      </w:r>
      <w:r>
        <w:rPr>
          <w:vertAlign w:val="subscript"/>
        </w:rPr>
        <w:t xml:space="preserve">f</w:t>
      </w:r>
      <w:r>
        <w:t xml:space="preserve">. (iii)</w:t>
      </w:r>
      <w:r>
        <w:t xml:space="preserve"> </w:t>
      </w:r>
      <w:r>
        <w:rPr>
          <w:iCs/>
          <w:i/>
        </w:rPr>
        <w:t xml:space="preserve">Plane-wave cut-off.</w:t>
      </w:r>
      <w:r>
        <w:t xml:space="preserve"> </w:t>
      </w:r>
      <w:r>
        <w:t xml:space="preserve">40 Ry was not tested against a higher cut-off; comparable studies use 55 Ry for the same species [14].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One magnetic trial was performed, for Pr_VO; occupations, smearing and symmetry settings were not varied, and two nearly degenerate spin solutions of Rb_VO were found but not ranked (Section 3.3).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w:t>
      </w:r>
      <w:r>
        <w:t xml:space="preserve"> </w:t>
      </w:r>
      <w:r>
        <w:rPr>
          <w:bCs/>
          <w:b/>
        </w:rPr>
        <w:t xml:space="preserve">[NEEDS CITATION: source for ε</w:t>
      </w:r>
      <w:r>
        <w:rPr>
          <w:vertAlign w:val="subscript"/>
          <w:bCs/>
          <w:b/>
        </w:rPr>
        <w:t xml:space="preserve">∞</w:t>
      </w:r>
      <w:r>
        <w:rPr>
          <w:bCs/>
          <w:b/>
        </w:rPr>
        <w:t xml:space="preserve"> </w:t>
      </w:r>
      <w:r>
        <w:rPr>
          <w:bCs/>
          <w:b/>
        </w:rPr>
        <w:t xml:space="preserve">of anatase]</w:t>
      </w:r>
      <w:r>
        <w:t xml:space="preserve"> </w:t>
      </w:r>
      <w:r>
        <w:t xml:space="preserve">would give a first-order monopole correction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Rb + 3 V</w:t>
      </w:r>
      <w:r>
        <w:rPr>
          <w:vertAlign w:val="subscript"/>
        </w:rPr>
        <w:t xml:space="preserve">O</w:t>
      </w:r>
      <w:r>
        <w:t xml:space="preserve"> </w:t>
      </w:r>
      <w:r>
        <w:t xml:space="preserve">stoichiometry,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of different composition and is supporting rather than quantitative evidence.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a 5.36 eV contrast that is stable to 0.04 eV against the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which the oxygen-site Hubbard calculation and the Bader comparison place mainly on oxygen, and a charged-cell series reaches three unpaired spins per Rb</w:t>
      </w:r>
      <w:r>
        <w:rPr>
          <w:vertAlign w:val="superscript"/>
        </w:rPr>
        <w:t xml:space="preserve">+</w:t>
      </w:r>
      <w:r>
        <w:t xml:space="preserve">. The Pr cells converge to non-magnetic smeared solutions with U on Ti-3d only, but the vacancy-free Pr cell develops a localised hole when U is also placed on O-2p, so the localisation picture for Pr-substituted anatase is method dependent and a closed-shell, trap-free description of it is not supported. The two-dopant comparison is consistent with charge-compensation control of oxygen-vacancy energetics in this host and provides a common-protocol benchmark for the two dopant families,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produce the plotting scripts for Figures 2 and 3 from the authors’ computed values.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PDOS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no competing financial or personal interests.</w:t>
      </w:r>
    </w:p>
    <w:p>
      <w:pPr>
        <w:pStyle w:val="BodyText"/>
      </w:pPr>
      <w:r>
        <w:rPr>
          <w:bCs/>
          <w:b/>
        </w:rPr>
        <w:t xml:space="preserve">References</w:t>
      </w:r>
    </w:p>
    <w:p>
      <w:pPr>
        <w:numPr>
          <w:ilvl w:val="0"/>
          <w:numId w:val="1002"/>
        </w:numPr>
      </w:pPr>
      <w:r>
        <w:t xml:space="preserve">Pecunia, V.; Occhipinti, L. G.; Hoye, R. L. Z. Emerging Indoor Photovoltaic Technologies for Sustainable Internet of Things. Adv. Energy Mater. 2021, 11, 2100698. DOI: 10.1002/aenm.202100698.</w:t>
      </w:r>
    </w:p>
    <w:p>
      <w:pPr>
        <w:numPr>
          <w:ilvl w:val="0"/>
          <w:numId w:val="1002"/>
        </w:numPr>
      </w:pPr>
      <w:r>
        <w:t xml:space="preserve">Duan, J.; Zhao, Y.; He, B.; Tang, Q. High-Purity Inorganic Perovskite Films for Solar Cells with 9.72% Efficiency. Angew. Chem. Int. Ed. 2018, 57, 3787–3791. DOI: 10.1002/anie.201800019.</w:t>
      </w:r>
    </w:p>
    <w:p>
      <w:pPr>
        <w:numPr>
          <w:ilvl w:val="0"/>
          <w:numId w:val="1002"/>
        </w:numPr>
      </w:pPr>
      <w:r>
        <w:t xml:space="preserve">Kavan, L.; Vlčková Živcová, Z.; Zlámalová, M.; Zakeeruddin, S. M.; Grätzel, M. Electron-Selective Layers for Dye-Sensitized Solar Cells Based on TiO2 and SnO2. J. Phys. Chem. C 2020, 124, 6512–6521. DOI: 10.1021/acs.jpcc.9b11883.</w:t>
      </w:r>
    </w:p>
    <w:p>
      <w:pPr>
        <w:numPr>
          <w:ilvl w:val="0"/>
          <w:numId w:val="1002"/>
        </w:numPr>
      </w:pPr>
      <w:r>
        <w:t xml:space="preserve">Nagar, M. R.; Shahnawaz; Yadav, R. A. K.; Lin, J.-T.; Jou, J.-H. Nanocomposite Electron-Transport Layer Incorporated Highly Efficient OLED. ACS Appl. Electron. Mater. 2020, 2, 1545–1554. DOI: 10.1021/acsaelm.0c00166.</w:t>
      </w:r>
    </w:p>
    <w:p>
      <w:pPr>
        <w:numPr>
          <w:ilvl w:val="0"/>
          <w:numId w:val="1002"/>
        </w:numPr>
      </w:pPr>
      <w:r>
        <w:t xml:space="preserve">Xie, H.; Li, N.; Chen, X.; Jiang, J.; Zhao, X. Surface Oxygen Vacancies Promoted Photodegradation of Benzene on TiO2 Film. Appl. Surf. Sci. 2020, 511, 145597. DOI: 10.1016/j.apsusc.2020.145597.</w:t>
      </w:r>
    </w:p>
    <w:p>
      <w:pPr>
        <w:numPr>
          <w:ilvl w:val="0"/>
          <w:numId w:val="1002"/>
        </w:numPr>
      </w:pPr>
      <w:r>
        <w:t xml:space="preserve">Kreft, S.; Wei, D.; Junge, H.; Beller, M. Recent Advances on TiO2-Based Photocatalytic CO2 Reduction. EnergyChem 2020, 2, 100044. DOI: 10.1016/j.enchem.2020.100044.</w:t>
      </w:r>
    </w:p>
    <w:p>
      <w:pPr>
        <w:numPr>
          <w:ilvl w:val="0"/>
          <w:numId w:val="1002"/>
        </w:numPr>
      </w:pPr>
      <w:r>
        <w:t xml:space="preserve">Yin, W.; Wen, B.; Ge, Q.; Teobaldi, G.; Liu, L. Effect of Crystal Field on the Formation and Diffusion of Oxygen Vacancy at Anatase (101) Surface and Sub-Surface. Prog. Nat. Sci.: Mater. Int. 2020, 30, 128–134. DOI: 10.1016/j.pnsc.2020.01.001.</w:t>
      </w:r>
    </w:p>
    <w:p>
      <w:pPr>
        <w:numPr>
          <w:ilvl w:val="0"/>
          <w:numId w:val="1002"/>
        </w:numPr>
      </w:pPr>
      <w:r>
        <w:t xml:space="preserve">Li, Z.; Zhang, X.; Zhang, L.; Xu, C.; Zhang, Y. Pathway Alteration of Water Splitting via Oxygen Vacancy Formation on Anatase Titanium Dioxide in Photothermal Catalysis. J. Phys. Chem. C 2020, 124, 26214–26221. DOI: 10.1021/acs.jpcc.0c07117.</w:t>
      </w:r>
    </w:p>
    <w:p>
      <w:pPr>
        <w:numPr>
          <w:ilvl w:val="0"/>
          <w:numId w:val="1002"/>
        </w:numPr>
      </w:pPr>
      <w:r>
        <w:t xml:space="preserve">Knez, D.; Dražić, G.; Chaluvadi, S. K.; Rossi, G.; Ciancio, R. Unveiling Oxygen Vacancy Superstructures in Reduced Anatase Thin Films. Nano Lett. 2020, 20, 6444–6451. DOI: 10.1021/acs.nanolett.0c02125.</w:t>
      </w:r>
    </w:p>
    <w:p>
      <w:pPr>
        <w:numPr>
          <w:ilvl w:val="0"/>
          <w:numId w:val="1002"/>
        </w:numPr>
      </w:pPr>
      <w:r>
        <w:t xml:space="preserve">Bigi, C.; Tang, Z.; Pierantozzi, G. M.; Panaccione, G.; Selloni, A. Distinct Behaviour of Localised and Delocalised Carriers in Anatase TiO2 (001) during Reaction with O2. Phys. Rev. Mater. 2020, 4, 025801. DOI: 10.1103/PhysRevMaterials.4.025801.</w:t>
      </w:r>
    </w:p>
    <w:p>
      <w:pPr>
        <w:numPr>
          <w:ilvl w:val="0"/>
          <w:numId w:val="1002"/>
        </w:numPr>
      </w:pPr>
      <w:r>
        <w:t xml:space="preserve">Bai, X.; Jia, J.; Du, Y.; Liu, E.; Fan, J. Multi-Level Trapped Electrons System in Enhancing Photocatalytic Activity of TiO2 Nanosheets for Simultaneous Reduction of Cr(VI) and RhB Degradation. Appl. Surf. Sci. 2020, 504, 144298. DOI: 10.1016/j.apsusc.2019.144298.</w:t>
      </w:r>
    </w:p>
    <w:p>
      <w:pPr>
        <w:numPr>
          <w:ilvl w:val="0"/>
          <w:numId w:val="1002"/>
        </w:numPr>
      </w:pPr>
      <w:r>
        <w:t xml:space="preserve">Yang, Y.; Zhang, Z.; Fang, W.-H.; Fernández-Alberti, S.; Long, R. Unraveling the Quantum Dynamics Origin of High Photocatalytic Activity in Nitrogen-Doped Anatase TiO2: Time-Domain Ab Initio Analysis. J. Mater. Chem. A 2020, 8, 25235–25244. DOI: 10.1039/d0ta08712b.</w:t>
      </w:r>
    </w:p>
    <w:p>
      <w:pPr>
        <w:numPr>
          <w:ilvl w:val="0"/>
          <w:numId w:val="1002"/>
        </w:numPr>
      </w:pPr>
      <w:r>
        <w:t xml:space="preserve">Yin, W.-J.; Wen, B.; Zhou, C.; Selloni, A.; Liu, L.-M. Excess Electrons in Reduced Rutile and Anatase TiO2. Surf. Sci. Rep. 2018, 73, 58–82. DOI: 10.1016/j.surfrep.2018.02.003.</w:t>
      </w:r>
    </w:p>
    <w:p>
      <w:pPr>
        <w:numPr>
          <w:ilvl w:val="0"/>
          <w:numId w:val="1002"/>
        </w:numPr>
      </w:pPr>
      <w:r>
        <w:t xml:space="preserve">Raghav, A.; Hanindriyo, A. T.; Utimula, K.; Abbasnejad, M.; Maezono, R.; Panda, E. Intrinsic Electronic Defect States of Anatase Using Density Functional Theory. Comput. Mater. Sci. 2020, 184, 109925. DOI: 10.1016/j.commatsci.2020.109925.</w:t>
      </w:r>
    </w:p>
    <w:p>
      <w:pPr>
        <w:numPr>
          <w:ilvl w:val="0"/>
          <w:numId w:val="1002"/>
        </w:numPr>
      </w:pPr>
      <w:r>
        <w:t xml:space="preserve">Arrigoni, M.; Madsen, G. K. H. A Comparative First-Principles Investigation on the Defect Chemistry of TiO2 Anatase. J. Chem. Phys. 2020, 152, 044110. DOI: 10.1063/1.5138902.</w:t>
      </w:r>
    </w:p>
    <w:p>
      <w:pPr>
        <w:numPr>
          <w:ilvl w:val="0"/>
          <w:numId w:val="1002"/>
        </w:numPr>
      </w:pPr>
      <w:r>
        <w:t xml:space="preserve">Tian, X.; Zeng, Z.; He, Y.; Lei, L.; Yu, C.; Zhang, X. Rb Doping and Lattice Strain Synergistically Engineering Oxygen Vacancies in TiO2 for Stable High-Contrast Photoreversible Colour Switching. Adv. Funct. Mater. 2025, 35, 2423514. DOI: 10.1002/adfm.202423514.</w:t>
      </w:r>
    </w:p>
    <w:p>
      <w:pPr>
        <w:numPr>
          <w:ilvl w:val="0"/>
          <w:numId w:val="1002"/>
        </w:numPr>
      </w:pPr>
      <w:r>
        <w:t xml:space="preserve">Carey, J. J.; Nolan, M. Enhancing the Oxygen Vacancy Formation and Migration in Bulk Chromium(III) Oxide by Alkali Metal Doping: A Change from Isotropic to Anisotropic Oxygen Diffusion. J. Mater. Chem. A 2017, 5, 15613–15630. DOI: 10.1039/c7ta00315c.</w:t>
      </w:r>
    </w:p>
    <w:p>
      <w:pPr>
        <w:numPr>
          <w:ilvl w:val="0"/>
          <w:numId w:val="1002"/>
        </w:numPr>
      </w:pPr>
      <w:r>
        <w:t xml:space="preserve">Iwaszuk, A.; Nolan, M. Charge Compensation in Trivalent Cation Doped Bulk Rutile TiO2. J. Phys.: Condens. Matter 2011, 23, 334207. DOI: 10.1088/0953-8984/23/33/334207.</w:t>
      </w:r>
    </w:p>
    <w:p>
      <w:pPr>
        <w:numPr>
          <w:ilvl w:val="0"/>
          <w:numId w:val="1002"/>
        </w:numPr>
      </w:pPr>
      <w:r>
        <w:t xml:space="preserve">Han, X.; Amrane, N.; Zhang, Z.; Benkraouda, M. Interplay between Gd and Oxygen Vacancy on the Electronic Properties and Defect Chemistry of Gd-Doped CeO2: A DFT+U Study. Chem. Phys. 2020, 534, 110741. DOI: 10.1016/j.chemphys.2020.110741.</w:t>
      </w:r>
    </w:p>
    <w:p>
      <w:pPr>
        <w:numPr>
          <w:ilvl w:val="0"/>
          <w:numId w:val="1002"/>
        </w:numPr>
      </w:pPr>
      <w:r>
        <w:t xml:space="preserve">Polliotto, V.; Albanese, E.; Livraghi, S.; Pacchioni, G.; Giamello, E. Structural, Electronic and Photochemical Properties of Cerium-Doped Zirconium Titanate. Catal. Today 2020, 340, 49–58. DOI: 10.1016/j.cattod.2018.09.026.</w:t>
      </w:r>
    </w:p>
    <w:p>
      <w:pPr>
        <w:numPr>
          <w:ilvl w:val="0"/>
          <w:numId w:val="1002"/>
        </w:numPr>
      </w:pPr>
      <w:r>
        <w:t xml:space="preserve">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numPr>
          <w:ilvl w:val="0"/>
          <w:numId w:val="1002"/>
        </w:numPr>
      </w:pPr>
      <w:r>
        <w:t xml:space="preserve">Ahmad, A.; Yerlikaya, G.; Ur Rehman, M. Z.; Paksoy, H.; Kardaş, G. Enhanced Photoelectrochemical Water Splitting Using Gadolinium Doped Titanium Dioxide Nanorod Array Photoanodes. Int. J. Hydrogen Energy 2020, 45, 2515–2526. DOI: 10.1016/j.ijhydene.2019.11.117.</w:t>
      </w:r>
    </w:p>
    <w:p>
      <w:pPr>
        <w:numPr>
          <w:ilvl w:val="0"/>
          <w:numId w:val="1002"/>
        </w:numPr>
      </w:pPr>
      <w:r>
        <w:t xml:space="preserve">Chen, W.; Yuan, P.; Zhang, S.; Sun, Q.; Liang, E.; Jia, Y. Electronic Properties of Anatase TiO2 Doped by Lanthanides: A DFT+U Study. Physica B 2012, 407, 1038–1043. DOI: 10.1016/j.physb.2011.12.126.</w:t>
      </w:r>
    </w:p>
    <w:p>
      <w:pPr>
        <w:numPr>
          <w:ilvl w:val="0"/>
          <w:numId w:val="1002"/>
        </w:numPr>
      </w:pPr>
      <w:r>
        <w:t xml:space="preserve">Chen, H.; Yao, L.; Yang, S.; Wang, Y.; Liang, X.; Huang, Y. First-Principles Study on Electronic and Optical Properties in Pr-Doped Anatase TiO2. Adv. Mater. Res. 2014, 924, 260–268. DOI: 10.4028/www.scientific.net/AMR.924.260.</w:t>
      </w:r>
    </w:p>
    <w:p>
      <w:pPr>
        <w:numPr>
          <w:ilvl w:val="0"/>
          <w:numId w:val="1002"/>
        </w:numPr>
      </w:pPr>
      <w:r>
        <w:t xml:space="preserve">Albuquerque, A. R.; Bruix, A.; dos Santos, I. M. G.; Sambrano, J. R.; Illas, F. DFT Study on Ce-Doped Anatase TiO2: Nature of Ce3+ and Ti3+ Centers Triggered by Oxygen Vacancy Formation. J. Phys. Chem. C 2014, 118, 9677–9689. DOI: 10.1021/jp501757f.</w:t>
      </w:r>
    </w:p>
    <w:p>
      <w:pPr>
        <w:numPr>
          <w:ilvl w:val="0"/>
          <w:numId w:val="1002"/>
        </w:numPr>
      </w:pPr>
      <w:r>
        <w:t xml:space="preserve">Bahmanrokh, G.; Cazorla, C.; Mofarah, S. S.; Koshy, P.; Sorrell, C. C. Band Gap Engineering of Ce-Doped Anatase TiO2 through Solid Solubility Mechanisms and New Defect Equilibria Formalism. Nanoscale 2020, 12, 4916–4934. DOI: 10.1039/c9nr08604h.</w:t>
      </w:r>
    </w:p>
    <w:p>
      <w:pPr>
        <w:numPr>
          <w:ilvl w:val="0"/>
          <w:numId w:val="1002"/>
        </w:numPr>
      </w:pPr>
      <w:r>
        <w:t xml:space="preserve">Vural, K. B.; Kaderoğlu, Ç.; Ellialtıoğlu, Ş. Density Functional Theory Investigation of Pr Adsorption on the Anatase TiO2(101) Surface for Photovoltaic Applications. Appl. Surf. Sci. 2023, 612, 156042. DOI: 10.1016/j.apsusc.2022.156042.</w:t>
      </w:r>
    </w:p>
    <w:p>
      <w:pPr>
        <w:numPr>
          <w:ilvl w:val="0"/>
          <w:numId w:val="1002"/>
        </w:numPr>
      </w:pPr>
      <w:r>
        <w:t xml:space="preserve">Shannon, R. D. Revised Effective Ionic Radii and Systematic Studies of Interatomic Distances in Halides and Chalcogenides. Acta Crystallogr. A 1976, 32, 751–767. DOI: 10.1107/S0567739476001551.</w:t>
      </w:r>
    </w:p>
    <w:p>
      <w:pPr>
        <w:numPr>
          <w:ilvl w:val="0"/>
          <w:numId w:val="1002"/>
        </w:numPr>
      </w:pPr>
      <w:r>
        <w:t xml:space="preserve">Li, Z.-X.; He, G.-Q.; Kong, B.; Zeng, T.-X.; Zhang, J. Hybrid Density Functional Studies for the Effect of Oxygen Vacancy on the Visible Light Photocatalytic Activity in M (M = Li, Na, K, Rb, Cs)-Doped α-Bi2O3. J. Phys. Chem. Solids 2020, 144, 109581. DOI: 10.1016/j.jpcs.2020.109581.</w:t>
      </w:r>
    </w:p>
    <w:p>
      <w:pPr>
        <w:numPr>
          <w:ilvl w:val="0"/>
          <w:numId w:val="1002"/>
        </w:numPr>
      </w:pPr>
      <w:r>
        <w:t xml:space="preserve">Kröger, F. A.; Vink, H. J. Relations between the Concentrations of Imperfections in Crystalline Solids. Solid State Phys. 1956, 3, 307–435. DOI: 10.1016/S0081-1947(08)60135-6.</w:t>
      </w:r>
    </w:p>
    <w:p>
      <w:pPr>
        <w:numPr>
          <w:ilvl w:val="0"/>
          <w:numId w:val="1002"/>
        </w:numPr>
      </w:pPr>
      <w:r>
        <w:t xml:space="preserve">Giannozzi, P.; Andreussi, O.; Brumme, T.; Bunau, O.; et al. Advanced Capabilities for Materials Modelling with Quantum ESPRESSO. J. Phys.: Condens. Matter 2017, 29, 465901. DOI: 10.1088/1361-648X/aa8f79.</w:t>
      </w:r>
    </w:p>
    <w:p>
      <w:pPr>
        <w:numPr>
          <w:ilvl w:val="0"/>
          <w:numId w:val="1002"/>
        </w:numPr>
      </w:pPr>
      <w:r>
        <w:t xml:space="preserve">Giannozzi, P.; Baseggio, O.; Bonfà, P.; Brunato, D.; et al. Quantum ESPRESSO toward the Exascale. J. Chem. Phys. 2020, 152, 154105. DOI: 10.1063/5.0005082.</w:t>
      </w:r>
    </w:p>
    <w:p>
      <w:pPr>
        <w:numPr>
          <w:ilvl w:val="0"/>
          <w:numId w:val="1002"/>
        </w:numPr>
      </w:pPr>
      <w:r>
        <w:t xml:space="preserve">Perdew, J. P.; Burke, K.; Ernzerhof, M. Generalized Gradient Approximation Made Simple. Phys. Rev. Lett. 1996, 77, 3865–3868. DOI: 10.1103/PhysRevLett.77.3865.</w:t>
      </w:r>
    </w:p>
    <w:p>
      <w:pPr>
        <w:numPr>
          <w:ilvl w:val="0"/>
          <w:numId w:val="1002"/>
        </w:numPr>
      </w:pPr>
      <w:r>
        <w:t xml:space="preserve">Dal Corso, A. Pseudopotentials Periodic Table: From H to Pu. Comput. Mater. Sci. 2014, 95, 337–350. DOI: 10.1016/j.commatsci.2014.07.043. PSlibrary 1.0.0 PAW set, https://www.quantum-espresso.org/pseudopotentials/ and https://github.com/dalcorso/pslibrary (accessed 2026-10-02).</w:t>
      </w:r>
    </w:p>
    <w:p>
      <w:pPr>
        <w:numPr>
          <w:ilvl w:val="0"/>
          <w:numId w:val="1002"/>
        </w:numPr>
      </w:pPr>
      <w:r>
        <w:t xml:space="preserve">Dudarev, S. L.; Botton, G. A.; Savrasov, S. Y.; Humphreys, C. J.; Sutton, A. P. Electron-Energy-Loss Spectra and the Structural Stability of Nickel Oxide: An LSDA+U Study. Phys. Rev. B 1998, 57, 1505–1509. DOI: 10.1103/PhysRevB.57.1505.</w:t>
      </w:r>
    </w:p>
    <w:p>
      <w:pPr>
        <w:numPr>
          <w:ilvl w:val="0"/>
          <w:numId w:val="1002"/>
        </w:numPr>
      </w:pPr>
      <w:r>
        <w:t xml:space="preserve">Deák, P.; Kullgren, J.; Frauenheim, T. Polarons and Oxygen Vacancies at the Surface of Anatase TiO2. Phys. Status Solidi RRL 2014, 8, 583–586. DOI: 10.1002/pssr.201409139.</w:t>
      </w:r>
    </w:p>
    <w:p>
      <w:pPr>
        <w:numPr>
          <w:ilvl w:val="0"/>
          <w:numId w:val="1002"/>
        </w:numPr>
      </w:pPr>
      <w:r>
        <w:t xml:space="preserve">Morgan, B. J.; Watson, G. W. A DFT+U Description of Oxygen Vacancies at the TiO2 Rutile (110) Surface. Surf. Sci. 2007, 601, 5034–5041. DOI: 10.1016/j.susc.2007.08.025.</w:t>
      </w:r>
    </w:p>
    <w:p>
      <w:pPr>
        <w:numPr>
          <w:ilvl w:val="0"/>
          <w:numId w:val="1002"/>
        </w:numPr>
      </w:pPr>
      <w:r>
        <w:t xml:space="preserve">Anisimov, V. I.; Zaanen, J.; Andersen, O. K. Band Theory and Mott Insulators: Hubbard U Instead of Stoner I. Phys. Rev. B 1991, 44, 943–954. DOI: 10.1103/PhysRevB.44.943.</w:t>
      </w:r>
    </w:p>
    <w:p>
      <w:pPr>
        <w:numPr>
          <w:ilvl w:val="0"/>
          <w:numId w:val="1002"/>
        </w:numPr>
      </w:pPr>
      <w:r>
        <w:t xml:space="preserve">Cococcioni, M.; de Gironcoli, S. Linear Response Approach to the Calculation of the Effective Interaction Parameters in the LDA+U Method. Phys. Rev. B 2005, 71, 035105. DOI: 10.1103/PhysRevB.71.035105.</w:t>
      </w:r>
    </w:p>
    <w:p>
      <w:pPr>
        <w:numPr>
          <w:ilvl w:val="0"/>
          <w:numId w:val="1002"/>
        </w:numPr>
      </w:pPr>
      <w:r>
        <w:t xml:space="preserve">Freysoldt, C.; Grabowski, B.; Hickel, T.; Neugebauer, J.; Kresse, G.; Janotti, A.; Van de Walle, C. G. First-Principles Calculations for Point Defects in Solids. Rev. Mod. Phys. 2014, 86, 253–305. DOI: 10.1103/RevModPhys.86.253.</w:t>
      </w:r>
    </w:p>
    <w:p>
      <w:pPr>
        <w:numPr>
          <w:ilvl w:val="0"/>
          <w:numId w:val="1002"/>
        </w:numPr>
      </w:pPr>
      <w:r>
        <w:t xml:space="preserve">Heyd, J.; Scuseria, G. E.; Ernzerhof, M. Hybrid Functionals Based on a Screened Coulomb Potential. J. Chem. Phys. 2003, 118, 8207–8215. DOI: 10.1063/1.1564060.</w:t>
      </w:r>
    </w:p>
    <w:p>
      <w:pPr>
        <w:numPr>
          <w:ilvl w:val="0"/>
          <w:numId w:val="1002"/>
        </w:numPr>
      </w:pPr>
      <w:r>
        <w:t xml:space="preserve">Krukau, A. V.; Vydrov, O. A.; Izmaylov, A. F.; Scuseria, G. E. Influence of the Exchange Screening Parameter on the Performance of Screened Hybrid Functionals. J. Chem. Phys. 2006, 125, 224106. DOI: 10.1063/1.2404663.</w:t>
      </w:r>
    </w:p>
    <w:p>
      <w:pPr>
        <w:numPr>
          <w:ilvl w:val="0"/>
          <w:numId w:val="1002"/>
        </w:numPr>
      </w:pPr>
      <w:r>
        <w:t xml:space="preserve">Grimme, S.; Antony, J.; Ehrlich, S.; Krieg, H. A Consistent and Accurate Ab Initio Parametrization of Density Functional Dispersion Correction (DFT-D) for the 94 Elements H–Pu. J. Chem. Phys. 2010, 132, 154104. DOI: 10.1063/1.3382344.</w:t>
      </w:r>
    </w:p>
    <w:p>
      <w:pPr>
        <w:numPr>
          <w:ilvl w:val="0"/>
          <w:numId w:val="1002"/>
        </w:numPr>
      </w:pPr>
      <w:r>
        <w:t xml:space="preserve">Grimme, S.; Ehrlich, S.; Goerigk, L. Effect of the Damping Function in Dispersion Corrected Density Functional Theory. J. Comput. Chem. 2011, 32, 1456–1465. DOI: 10.1002/jcc.21759.</w:t>
      </w:r>
    </w:p>
    <w:p>
      <w:pPr>
        <w:numPr>
          <w:ilvl w:val="0"/>
          <w:numId w:val="1002"/>
        </w:numPr>
      </w:pPr>
      <w:r>
        <w:t xml:space="preserve">Torres, A. E.; Rodriguez-Pineda, J.; Zanella, R. Relevance of Dispersion and the Electronic Spin in the DFT+U Approach for the Description of Pristine and Defective TiO2 Anatase. ACS Omega 2021, 6, 23170–23180. DOI: 10.1021/acsomega.1c02818.</w:t>
      </w:r>
    </w:p>
    <w:p>
      <w:pPr>
        <w:numPr>
          <w:ilvl w:val="0"/>
          <w:numId w:val="1002"/>
        </w:numPr>
      </w:pPr>
      <w:r>
        <w:t xml:space="preserve">Henkelman, G.; Arnaldsson, A.; Jónsson, H. A Fast and Robust Algorithm for Bader Decomposition of Charge Density. Comput. Mater. Sci. 2006, 36, 354–360. DOI: 10.1016/j.commatsci.2005.04.010.</w:t>
      </w:r>
    </w:p>
    <w:p>
      <w:pPr>
        <w:numPr>
          <w:ilvl w:val="0"/>
          <w:numId w:val="1002"/>
        </w:numPr>
      </w:pPr>
      <w:r>
        <w:t xml:space="preserve">Tang, W.; Sanville, E.; Henkelman, G. A Grid-Based Bader Analysis Algorithm without Lattice Bias. J. Phys.: Condens. Matter 2009, 21, 084204. DOI: 10.1088/0953-8984/21/8/084204.</w:t>
      </w:r>
    </w:p>
    <w:p>
      <w:pPr>
        <w:numPr>
          <w:ilvl w:val="0"/>
          <w:numId w:val="1002"/>
        </w:numPr>
      </w:pPr>
      <w:r>
        <w:t xml:space="preserve">Boonchun, A.; Reunchan, P.; Umezawa, N. Energetics of Native Defects in Anatase TiO2: A Hybrid Density Functional Study. Phys. Chem. Chem. Phys. 2016, 18, 30040–30046. DOI: 10.1039/C6CP05798E.</w:t>
      </w:r>
    </w:p>
    <w:p>
      <w:pPr>
        <w:numPr>
          <w:ilvl w:val="0"/>
          <w:numId w:val="1002"/>
        </w:numPr>
      </w:pPr>
      <w:r>
        <w:t xml:space="preserve">Wang, Y.; Deng, S.; Liu, B.; Jin, Y. Mechanistic Understanding on the Role of Cu Species over the CuOx/TiO2 Catalyst for CO2 Photoreduction. ACS Omega 2020, 5, 18050–18063. DOI: 10.1021/acsomega.0c01514.</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2026-10-02T13:46:17Z</dcterms:created>
  <dcterms:modified xsi:type="dcterms:W3CDTF">2026-10-02T13:46:17Z</dcterms:modified>
</cp:coreProperties>
</file>

<file path=docProps/custom.xml><?xml version="1.0" encoding="utf-8"?>
<Properties xmlns="http://schemas.openxmlformats.org/officeDocument/2006/custom-properties" xmlns:vt="http://schemas.openxmlformats.org/officeDocument/2006/docPropsVTypes"/>
</file>