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Universiti Malaya</w:t>
      </w:r>
      <w:r>
        <w:t xml:space="preserve"> </w:t>
      </w:r>
      <w:r>
        <w:t xml:space="preserve">UM Power Energy Dedicated Advanced Centre (UMPEDAC)</w:t>
      </w:r>
      <w:r>
        <w:t xml:space="preserve"> </w:t>
      </w:r>
      <w:r>
        <w:t xml:space="preserve">59990 Kuala Lumpur, Malaysia</w:t>
      </w:r>
    </w:p>
    <w:p>
      <w:pPr>
        <w:pStyle w:val="BodyText"/>
      </w:pPr>
      <w:r>
        <w:t xml:space="preserve">20 October 2026</w:t>
      </w:r>
    </w:p>
    <w:p>
      <w:pPr>
        <w:pStyle w:val="BodyText"/>
      </w:pPr>
      <w:r>
        <w:t xml:space="preserve">The Editors</w:t>
      </w:r>
      <w:r>
        <w:t xml:space="preserve"> </w:t>
      </w:r>
      <w:r>
        <w:rPr>
          <w:iCs/>
          <w:i/>
        </w:rPr>
        <w:t xml:space="preserve">Applied Surface Science</w:t>
      </w:r>
    </w:p>
    <w:p>
      <w:pPr>
        <w:pStyle w:val="BodyText"/>
      </w:pPr>
      <w:r>
        <w:t xml:space="preserve">Dear Editors,</w:t>
      </w:r>
    </w:p>
    <w:p>
      <w:pPr>
        <w:pStyle w:val="BodyText"/>
      </w:pPr>
      <w:r>
        <w:t xml:space="preserve">Please consider the enclosed manuscript,</w:t>
      </w:r>
      <w:r>
        <w:t xml:space="preserve"> </w:t>
      </w:r>
      <w:r>
        <w:t xml:space="preserve">“</w:t>
      </w:r>
      <w:r>
        <w:t xml:space="preserve">Oxygen-Vacancy Energetics and Dopant-Induced Holes in Pr- and Rb-Substituted Anatase TiO</w:t>
      </w:r>
      <w:r>
        <w:rPr>
          <w:vertAlign w:val="subscript"/>
        </w:rPr>
        <w:t xml:space="preserve">2</w:t>
      </w:r>
      <w:r>
        <w:t xml:space="preserve">: A DFT+U Comparison</w:t>
      </w:r>
      <w:r>
        <w:t xml:space="preserve">”</w:t>
      </w:r>
      <w:r>
        <w:t xml:space="preserve">, for publication as a full-length article.</w:t>
      </w:r>
    </w:p>
    <w:p>
      <w:pPr>
        <w:pStyle w:val="BodyText"/>
      </w:pPr>
      <w:r>
        <w:t xml:space="preserve">Oxygen vacancies in TiO</w:t>
      </w:r>
      <w:r>
        <w:rPr>
          <w:vertAlign w:val="subscript"/>
        </w:rPr>
        <w:t xml:space="preserve">2</w:t>
      </w:r>
      <w:r>
        <w:t xml:space="preserve"> </w:t>
      </w:r>
      <w:r>
        <w:t xml:space="preserve">electron-transport layers are a recognised source of trap-assisted recombination, and aliovalent substitution is the standard lever for controlling them. Trivalent rare-earth and monovalent alkali dopants introduce different numbers of holes, but published results for the two families come from different hosts, supercells, Hubbard treatments and oxygen references, so they cannot be compared directly. Our manuscript provides the missing common-protocol comparison: Pr</w:t>
      </w:r>
      <w:r>
        <w:rPr>
          <w:vertAlign w:val="superscript"/>
        </w:rPr>
        <w:t xml:space="preserve">3+</w:t>
      </w:r>
      <w:r>
        <w:t xml:space="preserve"> </w:t>
      </w:r>
      <w:r>
        <w:t xml:space="preserve">and Rb</w:t>
      </w:r>
      <w:r>
        <w:rPr>
          <w:vertAlign w:val="superscript"/>
        </w:rPr>
        <w:t xml:space="preserve">+</w:t>
      </w:r>
      <w:r>
        <w:t xml:space="preserve"> </w:t>
      </w:r>
      <w:r>
        <w:t xml:space="preserve">on the Ti site of the same anatase supercell, with the same pseudopotentials, U value and oxygen reference, and with an explicit electron ledger for every cell.</w:t>
      </w:r>
    </w:p>
    <w:p>
      <w:pPr>
        <w:pStyle w:val="BodyText"/>
      </w:pPr>
      <w:r>
        <w:t xml:space="preserve">The main findings are (i) neutral oxygen-vacancy formation energies of +4.75, +1.29 and −4.06 eV for pristine, Pr-substituted and Rb-substituted anatase at the oxygen-rich reference, so that both dopants lower the vacancy cost while only Rb makes it spontaneous, a 5.36 eV contrast that changes by at most 0.04 eV with k-mesh, plane-wave cut-off and dispersion correction; (ii) the ordering matches the formal charge count, one hole per Pr</w:t>
      </w:r>
      <w:r>
        <w:rPr>
          <w:vertAlign w:val="superscript"/>
        </w:rPr>
        <w:t xml:space="preserve">3+</w:t>
      </w:r>
      <w:r>
        <w:t xml:space="preserve"> </w:t>
      </w:r>
      <w:r>
        <w:t xml:space="preserve">and three per Rb</w:t>
      </w:r>
      <w:r>
        <w:rPr>
          <w:vertAlign w:val="superscript"/>
        </w:rPr>
        <w:t xml:space="preserve">+</w:t>
      </w:r>
      <w:r>
        <w:t xml:space="preserve">, with which the spin counts of the Rb cells under an oxygen-site Hubbard term agree, although it is also the order of cation size; (iii) in the Rb cell with a vacancy, the residual hole is an empty O-2p band whose Löwdin spin sits mainly on one oxygen bonded to Rb, and the Rb ion lies 1.27 Å off its ideal site towards the vacancy; and (iv) the Pr cells are non-magnetic only at the production smearing width: with narrower smearing both polarise, lowering the Pr formation energy to +0.99 eV and the contrast to 5.11 eV, and a Hubbard term on the oxygen 2p states localises the Pr-induced hole on two oxygens bonded to Pr, sensitivities that we report rather than suppress. The paper states explicitly what the two-dopant comparison does and does not isolate, and it frames the consequences for dopant screening in oxide electron-transport layers as testable hypotheses.</w:t>
      </w:r>
    </w:p>
    <w:p>
      <w:pPr>
        <w:pStyle w:val="BodyText"/>
      </w:pPr>
      <w:r>
        <w:t xml:space="preserve">We believe the work suits</w:t>
      </w:r>
      <w:r>
        <w:t xml:space="preserve"> </w:t>
      </w:r>
      <w:r>
        <w:rPr>
          <w:iCs/>
          <w:i/>
        </w:rPr>
        <w:t xml:space="preserve">Applied Surface Science</w:t>
      </w:r>
      <w:r>
        <w:t xml:space="preserve"> </w:t>
      </w:r>
      <w:r>
        <w:t xml:space="preserve">because the journal regularly publishes first-principles defect and dopant studies of TiO</w:t>
      </w:r>
      <w:r>
        <w:rPr>
          <w:vertAlign w:val="subscript"/>
        </w:rPr>
        <w:t xml:space="preserve">2</w:t>
      </w:r>
      <w:r>
        <w:t xml:space="preserve"> </w:t>
      </w:r>
      <w:r>
        <w:t xml:space="preserve">that connect bulk defect chemistry to surface and interface function; the manuscript builds directly on several such papers published in the journal, including DFT+U work on Er-doped anatase and on Pr at the anatase (101) surface. The input and output files, pseudopotential datasets, analysis tables and figure scripts are available from the corresponding author on request and will be deposited in a public repository (Zenodo) with a citable DOI on acceptance.</w:t>
      </w:r>
    </w:p>
    <w:p>
      <w:pPr>
        <w:pStyle w:val="BodyText"/>
      </w:pPr>
      <w:r>
        <w:t xml:space="preserve">The manuscript is original, has not been published previously and is not under consideration elsewhere. All authors have approved the submission. We declare no competing interests. A generative-AI tool was used to restructure and edit the text, to check internal consistency and to write plotting scripts from our computed values, as declared in the manuscript.</w:t>
      </w:r>
    </w:p>
    <w:p>
      <w:pPr>
        <w:pStyle w:val="BodyText"/>
      </w:pPr>
      <w:r>
        <w:t xml:space="preserve">Suggested reviewers are listed in the submission system.</w:t>
      </w:r>
    </w:p>
    <w:p>
      <w:pPr>
        <w:pStyle w:val="BodyText"/>
      </w:pPr>
      <w:r>
        <w:t xml:space="preserve">Thank you for your consideration.</w:t>
      </w:r>
    </w:p>
    <w:p>
      <w:pPr>
        <w:pStyle w:val="BodyText"/>
      </w:pPr>
      <w:r>
        <w:t xml:space="preserve">Yours sincerely,</w:t>
      </w:r>
    </w:p>
    <w:p>
      <w:pPr>
        <w:pStyle w:val="BodyText"/>
      </w:pPr>
      <w:r>
        <w:t xml:space="preserve">Azimah Binti Omar (corresponding author)</w:t>
      </w:r>
      <w:r>
        <w:t xml:space="preserve"> </w:t>
      </w:r>
      <w:r>
        <w:t xml:space="preserve">Department of Electrical Engineering, Faculty of Engineering, and UMPEDAC, Universiti Malaya</w:t>
      </w:r>
      <w:r>
        <w:t xml:space="preserve"> </w:t>
      </w:r>
      <w:r>
        <w:t xml:space="preserve">azimahomar@um.edu.my</w:t>
      </w:r>
    </w:p>
    <w:p>
      <w:pPr>
        <w:pStyle w:val="BodyText"/>
      </w:pPr>
      <w:r>
        <w:t xml:space="preserve">on behalf of Mohammad Ghadimimehr and Siti Rohani Binti Sheikh Raihan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2026-10-20T02:56:44Z</dcterms:created>
  <dcterms:modified xsi:type="dcterms:W3CDTF">2026-10-20T02:56:44Z</dcterms:modified>
</cp:coreProperties>
</file>

<file path=docProps/custom.xml><?xml version="1.0" encoding="utf-8"?>
<Properties xmlns="http://schemas.openxmlformats.org/officeDocument/2006/custom-properties" xmlns:vt="http://schemas.openxmlformats.org/officeDocument/2006/docPropsVTypes"/>
</file>