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Pre-submission</w:t>
      </w:r>
      <w:r>
        <w:t xml:space="preserve"> </w:t>
      </w:r>
      <w:r>
        <w:t xml:space="preserve">audit:</w:t>
      </w:r>
      <w:r>
        <w:t xml:space="preserve"> </w:t>
      </w:r>
      <w:r>
        <w:t xml:space="preserve">Pr³⁺:SnO₂</w:t>
      </w:r>
      <w:r>
        <w:t xml:space="preserve"> </w:t>
      </w:r>
      <w:r>
        <w:t xml:space="preserve">/</w:t>
      </w:r>
      <w:r>
        <w:t xml:space="preserve"> </w:t>
      </w:r>
      <w:r>
        <w:t xml:space="preserve">CsPbBr₃</w:t>
      </w:r>
      <w:r>
        <w:t xml:space="preserve"> </w:t>
      </w:r>
      <w:r>
        <w:t xml:space="preserve">indoor–outdoor</w:t>
      </w:r>
      <w:r>
        <w:t xml:space="preserve"> </w:t>
      </w:r>
      <w:r>
        <w:t xml:space="preserve">device-simulation</w:t>
      </w:r>
      <w:r>
        <w:t xml:space="preserve"> </w:t>
      </w:r>
      <w:r>
        <w:t xml:space="preserve">manuscript</w:t>
      </w:r>
      <w:r>
        <w:t xml:space="preserve"> </w:t>
      </w:r>
      <w:r>
        <w:t xml:space="preserve">(Ghadimimehr,</w:t>
      </w:r>
      <w:r>
        <w:t xml:space="preserve"> </w:t>
      </w:r>
      <w:r>
        <w:t xml:space="preserve">Omar,</w:t>
      </w:r>
      <w:r>
        <w:t xml:space="preserve"> </w:t>
      </w:r>
      <w:r>
        <w:t xml:space="preserve">Sheikh</w:t>
      </w:r>
      <w:r>
        <w:t xml:space="preserve"> </w:t>
      </w:r>
      <w:r>
        <w:t xml:space="preserve">Raihan)</w:t>
      </w:r>
    </w:p>
    <w:p>
      <w:pPr>
        <w:pStyle w:val="Subtitle"/>
      </w:pPr>
      <w:r>
        <w:t xml:space="preserve">Handling-editor</w:t>
      </w:r>
      <w:r>
        <w:t xml:space="preserve"> </w:t>
      </w:r>
      <w:r>
        <w:t xml:space="preserve">report</w:t>
      </w:r>
      <w:r>
        <w:t xml:space="preserve"> </w:t>
      </w:r>
      <w:r>
        <w:t xml:space="preserve">with</w:t>
      </w:r>
      <w:r>
        <w:t xml:space="preserve"> </w:t>
      </w:r>
      <w:r>
        <w:t xml:space="preserve">two</w:t>
      </w:r>
      <w:r>
        <w:t xml:space="preserve"> </w:t>
      </w:r>
      <w:r>
        <w:t xml:space="preserve">referee</w:t>
      </w:r>
      <w:r>
        <w:t xml:space="preserve"> </w:t>
      </w:r>
      <w:r>
        <w:t xml:space="preserve">perspectives</w:t>
      </w:r>
      <w:r>
        <w:t xml:space="preserve"> </w:t>
      </w:r>
      <w:r>
        <w:t xml:space="preserve">(device</w:t>
      </w:r>
      <w:r>
        <w:t xml:space="preserve"> </w:t>
      </w:r>
      <w:r>
        <w:t xml:space="preserve">physics</w:t>
      </w:r>
      <w:r>
        <w:t xml:space="preserve"> </w:t>
      </w:r>
      <w:r>
        <w:t xml:space="preserve">/</w:t>
      </w:r>
      <w:r>
        <w:t xml:space="preserve"> </w:t>
      </w:r>
      <w:r>
        <w:t xml:space="preserve">perovskite</w:t>
      </w:r>
      <w:r>
        <w:t xml:space="preserve"> </w:t>
      </w:r>
      <w:r>
        <w:t xml:space="preserve">PV,</w:t>
      </w:r>
      <w:r>
        <w:t xml:space="preserve"> </w:t>
      </w:r>
      <w:r>
        <w:t xml:space="preserve">and</w:t>
      </w:r>
      <w:r>
        <w:t xml:space="preserve"> </w:t>
      </w:r>
      <w:r>
        <w:t xml:space="preserve">numerical</w:t>
      </w:r>
      <w:r>
        <w:t xml:space="preserve"> </w:t>
      </w:r>
      <w:r>
        <w:t xml:space="preserve">modelling)</w:t>
      </w:r>
    </w:p>
    <w:p>
      <w:pPr>
        <w:pStyle w:val="Date"/>
      </w:pPr>
      <w:r>
        <w:t xml:space="preserve">3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What was audited.</w:t>
      </w:r>
      <w:r>
        <w:t xml:space="preserve"> </w:t>
      </w:r>
      <w:r>
        <w:t xml:space="preserve">The Word file</w:t>
      </w:r>
      <w:r>
        <w:t xml:space="preserve"> </w:t>
      </w:r>
      <w:r>
        <w:rPr>
          <w:rStyle w:val="VerbatimChar"/>
        </w:rPr>
        <w:t xml:space="preserve">77d4b4a6-Manuscript_Ghadimimehr.docx.docx</w:t>
      </w:r>
      <w:r>
        <w:t xml:space="preserve"> </w:t>
      </w:r>
      <w:r>
        <w:t xml:space="preserve">(about 8,700 words, 41 references, 9 figures, 5 tables, 21 numbered equations). Line numbers (</w:t>
      </w:r>
      <w:r>
        <w:t xml:space="preserve">“</w:t>
      </w:r>
      <w:r>
        <w:t xml:space="preserve">L123</w:t>
      </w:r>
      <w:r>
        <w:t xml:space="preserve">”</w:t>
      </w:r>
      <w:r>
        <w:t xml:space="preserve">) point to the pandoc extraction</w:t>
      </w:r>
      <w:r>
        <w:t xml:space="preserve"> </w:t>
      </w:r>
      <w:r>
        <w:rPr>
          <w:rStyle w:val="VerbatimChar"/>
        </w:rPr>
        <w:t xml:space="preserve">ms.md</w:t>
      </w:r>
      <w:r>
        <w:t xml:space="preserve">. All 94 embedded WMF/MathType equations were rendered with libwmf and read. All raster figures were inspected. Figure captions held in floating text boxes, which pandoc drops, were read from</w:t>
      </w:r>
      <w:r>
        <w:t xml:space="preserve"> </w:t>
      </w:r>
      <w:r>
        <w:rPr>
          <w:rStyle w:val="VerbatimChar"/>
        </w:rPr>
        <w:t xml:space="preserve">word/document.xml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numbers were checked.</w:t>
      </w:r>
      <w:r>
        <w:t xml:space="preserve"> </w:t>
      </w:r>
      <w:r>
        <w:t xml:space="preserve">Every derived number that could be recomputed is in</w:t>
      </w:r>
      <w:r>
        <w:t xml:space="preserve"> </w:t>
      </w:r>
      <w:r>
        <w:rPr>
          <w:rStyle w:val="VerbatimChar"/>
        </w:rPr>
        <w:t xml:space="preserve">verify_numbers.py</w:t>
      </w:r>
      <w:r>
        <w:t xml:space="preserve">, with its output saved in</w:t>
      </w:r>
      <w:r>
        <w:t xml:space="preserve"> </w:t>
      </w:r>
      <w:r>
        <w:rPr>
          <w:rStyle w:val="VerbatimChar"/>
        </w:rPr>
        <w:t xml:space="preserve">verify_numbers_output.txt</w:t>
      </w:r>
      <w:r>
        <w:t xml:space="preserve">, both in this folder. The script uses only values printed in the manuscript plus three verifiable external sources:</w:t>
      </w:r>
    </w:p>
    <w:p>
      <w:pPr>
        <w:numPr>
          <w:ilvl w:val="0"/>
          <w:numId w:val="1001"/>
        </w:numPr>
        <w:pStyle w:val="Compact"/>
      </w:pPr>
      <w:r>
        <w:t xml:space="preserve">the ASTM G173 AM1.5G spectrum, as bundled in pvlib;</w:t>
      </w:r>
    </w:p>
    <w:p>
      <w:pPr>
        <w:numPr>
          <w:ilvl w:val="0"/>
          <w:numId w:val="1001"/>
        </w:numPr>
        <w:pStyle w:val="Compact"/>
      </w:pPr>
      <w:r>
        <w:t xml:space="preserve">the CIE 1924 V(λ) curve and the CIE 015:2018 LED-B, FL and HP illuminants, as bundled in colour-science;</w:t>
      </w:r>
    </w:p>
    <w:p>
      <w:pPr>
        <w:numPr>
          <w:ilvl w:val="0"/>
          <w:numId w:val="1001"/>
        </w:numPr>
        <w:pStyle w:val="Compact"/>
      </w:pPr>
      <w:r>
        <w:t xml:space="preserve">Planck’s law.</w:t>
      </w:r>
    </w:p>
    <w:p>
      <w:pPr>
        <w:pStyle w:val="FirstParagraph"/>
      </w:pPr>
      <w:r>
        <w:t xml:space="preserve">No citations or numbers were invented. Where a source is needed but could not be verified here, the text says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. Note that Crossref and publisher sites were blocked by the network proxy, so DOIs could not be resolved automatically.</w:t>
      </w:r>
    </w:p>
    <w:p>
      <w:r>
        <w:pict>
          <v:rect style="width:0;height:1.5pt" o:hralign="center" o:hrstd="t" o:hr="t"/>
        </w:pict>
      </w:r>
    </w:p>
    <w:bookmarkStart w:id="20" w:name="verdict"/>
    <w:p>
      <w:pPr>
        <w:pStyle w:val="Heading1"/>
      </w:pPr>
      <w:r>
        <w:t xml:space="preserve">0. Verdict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Desk-reject risk at Solar RRL / SOLMAT / Progress in PV / Nano Energy / ACS AEM, as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high.</w:t>
            </w:r>
            <w:r>
              <w:t xml:space="preserve"> </w:t>
            </w:r>
            <w:r>
              <w:t xml:space="preserve">Three things on their own would justify editorial rejection: the title promises</w:t>
            </w:r>
            <w:r>
              <w:t xml:space="preserve"> </w:t>
            </w:r>
            <w:r>
              <w:t xml:space="preserve">“</w:t>
            </w:r>
            <w:r>
              <w:t xml:space="preserve">Machine Learning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Density Functional Theory</w:t>
            </w:r>
            <w:r>
              <w:t xml:space="preserve">”</w:t>
            </w:r>
            <w:r>
              <w:t xml:space="preserve"> </w:t>
            </w:r>
            <w:r>
              <w:t xml:space="preserve">that the paper does not contain; the methods claim a self-consistent Poisson/drift-diffusion solution that the results do not use; and the central chemistry (Pr³⁺ on Sn⁴⁺ as an electron donor that removes O-vacancies) is the opposite of standard defect chemistry and of the authors’ own DFT companion.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 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sound in its current form.</w:t>
            </w:r>
            <w:r>
              <w:t xml:space="preserve"> </w:t>
            </w:r>
            <w:r>
              <w:t xml:space="preserve">All 12 device results in Table 4 come out of a lumped single-diode equation (Eq. 14), reproduced here to rounding. The inputs J₀, R_sh and EQE are assumed. The headline 100× R_sh and 19.1× indoor PCE gain are</w:t>
            </w:r>
            <w:r>
              <w:t xml:space="preserve"> </w:t>
            </w:r>
            <w:r>
              <w:rPr>
                <w:bCs/>
                <w:b/>
              </w:rPr>
              <w:t xml:space="preserve">imposed</w:t>
            </w:r>
            <w:r>
              <w:t xml:space="preserve"> </w:t>
            </w:r>
            <w:r>
              <w:t xml:space="preserve">by the assumed scaling R_sh ∝ 1/N_it (Eq. 1). The impedance (EIS) section is described as</w:t>
            </w:r>
            <w:r>
              <w:t xml:space="preserve"> </w:t>
            </w:r>
            <w:r>
              <w:t xml:space="preserve">“</w:t>
            </w:r>
            <w:r>
              <w:t xml:space="preserve">experimental</w:t>
            </w:r>
            <w:r>
              <w:t xml:space="preserve">”</w:t>
            </w:r>
            <w:r>
              <w:t xml:space="preserve">, yet its R_rec values disagree with its own Eq. 21 by about 11 orders of magnitude.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Moderate, if reframed honestly. A multi-spectrum (LSPDD) analysis that quantifies</w:t>
            </w:r>
            <w:r>
              <w:t xml:space="preserve"> </w:t>
            </w:r>
            <w:r>
              <w:rPr>
                <w:bCs/>
                <w:b/>
              </w:rPr>
              <w:t xml:space="preserve">how much shunt resistance a wide-gap CsPbBr₃ cell needs indoors</w:t>
            </w:r>
            <w:r>
              <w:t xml:space="preserve"> </w:t>
            </w:r>
            <w:r>
              <w:t xml:space="preserve">is useful.</w:t>
            </w:r>
            <w:r>
              <w:t xml:space="preserve"> </w:t>
            </w:r>
            <w:r>
              <w:t xml:space="preserve">“</w:t>
            </w:r>
            <w:r>
              <w:t xml:space="preserve">Discovery</w:t>
            </w:r>
            <w:r>
              <w:t xml:space="preserve">”</w:t>
            </w:r>
            <w:r>
              <w:t xml:space="preserve"> </w:t>
            </w:r>
            <w:r>
              <w:t xml:space="preserve">of a Pr-doped ETL is not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 submit yet.</w:t>
            </w:r>
            <w:r>
              <w:t xml:space="preserve"> </w:t>
            </w:r>
            <w:r>
              <w:t xml:space="preserve">This is equivalent to</w:t>
            </w:r>
            <w:r>
              <w:t xml:space="preserve"> </w:t>
            </w:r>
            <w:r>
              <w:t xml:space="preserve">“</w:t>
            </w:r>
            <w:r>
              <w:t xml:space="preserve">reject and resubmit</w:t>
            </w:r>
            <w:r>
              <w:t xml:space="preserve">”</w:t>
            </w:r>
            <w:r>
              <w:t xml:space="preserve">. Either (A) reframe as a transparent equivalent-circuit and sensitivity study, which can be done mostly in text plus small new calculations, or (B) add a real drift-diffusion validation (e.g., SCAPS-1D), a sensitivity analysis on the N_it→R_sh mapping, and corrected defect chemistry before targeting a Q1 venue. Route B is needed for Solar RRL or SOLMAT. Route A is realistic for</w:t>
            </w:r>
            <w:r>
              <w:t xml:space="preserve"> </w:t>
            </w:r>
            <w:r>
              <w:rPr>
                <w:iCs/>
                <w:i/>
              </w:rPr>
              <w:t xml:space="preserve">Solar Energy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4" w:name="fatal-and-major-issues"/>
    <w:p>
      <w:pPr>
        <w:pStyle w:val="Heading1"/>
      </w:pPr>
      <w:r>
        <w:t xml:space="preserve">1. Fatal and major issues</w:t>
      </w:r>
    </w:p>
    <w:p>
      <w:pPr>
        <w:pStyle w:val="FirstParagraph"/>
      </w:pPr>
      <w:r>
        <w:t xml:space="preserve">Each item gives the location, a quote, the problem, the evidence, and the fix.</w:t>
      </w:r>
    </w:p>
    <w:bookmarkStart w:id="21" w:name="Xb2f14fffb0be1272141c2004ba060d126c9b358"/>
    <w:p>
      <w:pPr>
        <w:pStyle w:val="Heading2"/>
      </w:pPr>
      <w:r>
        <w:t xml:space="preserve">F1. Title, abstract and claims do not match the content (fatal for editorial screening)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L1–8 (two alternative titles), L36–41 (abstract), L60–61 (keywords).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Quotes:</w:t>
      </w:r>
    </w:p>
    <w:p>
      <w:pPr>
        <w:numPr>
          <w:ilvl w:val="1"/>
          <w:numId w:val="1003"/>
        </w:numPr>
        <w:pStyle w:val="Compact"/>
      </w:pPr>
      <w:r>
        <w:t xml:space="preserve">Title 1:</w:t>
      </w:r>
      <w:r>
        <w:t xml:space="preserve"> </w:t>
      </w:r>
      <w:r>
        <w:t xml:space="preserve">“</w:t>
      </w:r>
      <w:r>
        <w:t xml:space="preserve">Machine Learning‑Accelerated Discovery of Praseodymium‑Doped Electron Transport Layers to Overcome Shunt Leakage in</w:t>
      </w:r>
      <w:r>
        <w:t xml:space="preserve"> </w:t>
      </w:r>
      <w:r>
        <w:rPr>
          <w:bCs/>
          <w:b/>
        </w:rPr>
        <w:t xml:space="preserve">Rigid</w:t>
      </w:r>
      <w:r>
        <w:t xml:space="preserve"> </w:t>
      </w:r>
      <w:r>
        <w:t xml:space="preserve">Solar Cells …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Title 2:</w:t>
      </w:r>
      <w:r>
        <w:t xml:space="preserve"> </w:t>
      </w:r>
      <w:r>
        <w:t xml:space="preserve">“</w:t>
      </w:r>
      <w:r>
        <w:t xml:space="preserve">Machine Learning‑Enhanced</w:t>
      </w:r>
      <w:r>
        <w:t xml:space="preserve"> </w:t>
      </w:r>
      <w:r>
        <w:rPr>
          <w:bCs/>
          <w:b/>
        </w:rPr>
        <w:t xml:space="preserve">Density Functional Theory</w:t>
      </w:r>
      <w:r>
        <w:t xml:space="preserve"> </w:t>
      </w:r>
      <w:r>
        <w:t xml:space="preserve">for Praseodymium‑Doped Electron Transport Layers …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 machine learning anywhere.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 </w:t>
      </w:r>
      <w:r>
        <w:t xml:space="preserve">occurs only in the two titles; there is no model, dataset, training, regression or surrogate.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 DFT in this paper.</w:t>
      </w:r>
      <w:r>
        <w:t xml:space="preserve"> </w:t>
      </w:r>
      <w:r>
        <w:t xml:space="preserve">“</w:t>
      </w:r>
      <w:r>
        <w:t xml:space="preserve">DFT</w:t>
      </w:r>
      <w:r>
        <w:t xml:space="preserve">”</w:t>
      </w:r>
      <w:r>
        <w:t xml:space="preserve"> </w:t>
      </w:r>
      <w:r>
        <w:t xml:space="preserve">appears only inside the title of ref. [27], and</w:t>
      </w:r>
      <w:r>
        <w:t xml:space="preserve"> </w:t>
      </w:r>
      <w:r>
        <w:t xml:space="preserve">“</w:t>
      </w:r>
      <w:r>
        <w:t xml:space="preserve">density functional theory</w:t>
      </w:r>
      <w:r>
        <w:t xml:space="preserve">”</w:t>
      </w:r>
      <w:r>
        <w:t xml:space="preserve"> </w:t>
      </w:r>
      <w:r>
        <w:t xml:space="preserve">only when citing others ([9], [11]). The DFT companion (anatase TiO₂) is never cited.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Rigid vs flexible.</w:t>
      </w:r>
      <w:r>
        <w:t xml:space="preserve"> </w:t>
      </w:r>
      <w:r>
        <w:t xml:space="preserve">Title 1 says</w:t>
      </w:r>
      <w:r>
        <w:t xml:space="preserve"> </w:t>
      </w:r>
      <w:r>
        <w:t xml:space="preserve">“</w:t>
      </w:r>
      <w:r>
        <w:t xml:space="preserve">Rigid</w:t>
      </w:r>
      <w:r>
        <w:t xml:space="preserve">”</w:t>
      </w:r>
      <w:r>
        <w:t xml:space="preserve">, but the body says</w:t>
      </w:r>
      <w:r>
        <w:t xml:space="preserve"> </w:t>
      </w:r>
      <w:r>
        <w:t xml:space="preserve">“</w:t>
      </w:r>
      <w:r>
        <w:t xml:space="preserve">flexible</w:t>
      </w:r>
      <w:r>
        <w:t xml:space="preserve">”</w:t>
      </w:r>
      <w:r>
        <w:t xml:space="preserve"> </w:t>
      </w:r>
      <w:r>
        <w:t xml:space="preserve">16 times (ITO-PET, Figure 1b bending).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 mechanical analysis.</w:t>
      </w:r>
      <w:r>
        <w:t xml:space="preserve"> </w:t>
      </w:r>
      <w:r>
        <w:t xml:space="preserve">“</w:t>
      </w:r>
      <w:r>
        <w:t xml:space="preserve">Flexible</w:t>
      </w:r>
      <w:r>
        <w:t xml:space="preserve">”</w:t>
      </w:r>
      <w:r>
        <w:t xml:space="preserve"> </w:t>
      </w:r>
      <w:r>
        <w:t xml:space="preserve">is nominal: there is no bending-radius, strain or cycling analysis.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Discovery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not shown.</w:t>
      </w:r>
      <w:r>
        <w:t xml:space="preserve"> </w:t>
      </w:r>
      <w:r>
        <w:t xml:space="preserve">One assumed parameter set is evaluated; nothing is screened or discovered.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Two titles.</w:t>
      </w:r>
      <w:r>
        <w:t xml:space="preserve"> </w:t>
      </w:r>
      <w:r>
        <w:t xml:space="preserve">Two alternative titles in the submitted file signals an unfinished manuscript.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Pick one title that describes what is actually done. Suggested titles, chosen so they do not claim Pr chemistry:</w:t>
      </w:r>
    </w:p>
    <w:p>
      <w:pPr>
        <w:numPr>
          <w:ilvl w:val="1"/>
          <w:numId w:val="1005"/>
        </w:numPr>
        <w:pStyle w:val="Compact"/>
      </w:pPr>
      <w:r>
        <w:t xml:space="preserve">For the current content: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Shunt Resistance Governs the Indoor Efficiency of Wide-Gap CsPbBr₃ Solar Cells: A Multi-Spectrum Equivalent-Circuit Analysis of Interface-Passivated SnO₂ Electron-Transport Layers</w:t>
      </w:r>
      <w:r>
        <w:rPr>
          <w:iCs/>
          <w:i/>
        </w:rP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If a drift-diffusion validation is added (route B):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Interface-Trap and Shunt Engineering of SnO₂/CsPbBr₃ Solar Cells for Indoor Light Harvesting: Drift–Diffusion and Equivalent-Circuit Analysis under LED, CFL, Metal-Halide and Thermal Sources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Remove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DFT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unless the corresponding work is actually added. Delete</w:t>
      </w:r>
      <w:r>
        <w:t xml:space="preserve"> </w:t>
      </w:r>
      <w:r>
        <w:t xml:space="preserve">“</w:t>
      </w:r>
      <w:r>
        <w:t xml:space="preserve">Rigid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Replace the abstract sentence at L36–41 with: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Using a single-diode equivalent-circuit model parameterised from literature values, we quantify how the interface-trap density (N_it) at the SnO₂/CsPbBr₃ interface, represented through the dark saturation current density J₀ and an assumed shunt-resistance scaling R_sh ∝ N_it^−β, controls performance under AM1.5G and five 1000-lx indoor spectra taken from the LSPDD database.</w:t>
      </w:r>
      <w:r>
        <w:rPr>
          <w:iCs/>
          <w:i/>
        </w:rPr>
        <w:t xml:space="preserve">”</w:t>
      </w:r>
      <w:r>
        <w:t xml:space="preserve"> </w:t>
      </w:r>
      <w:r>
        <w:t xml:space="preserve">Then move the Fermi–Dirac and generalised-Einstein material to the SI, or delete it (see F2).</w:t>
      </w:r>
    </w:p>
    <w:bookmarkEnd w:id="21"/>
    <w:bookmarkStart w:id="22" w:name="X79dbf74a9ed7fc4cbc11d9656041dff16cda840"/>
    <w:p>
      <w:pPr>
        <w:pStyle w:val="Heading2"/>
      </w:pPr>
      <w:r>
        <w:t xml:space="preserve">F2.</w:t>
      </w:r>
      <w:r>
        <w:t xml:space="preserve"> </w:t>
      </w:r>
      <w:r>
        <w:t xml:space="preserve">“</w:t>
      </w:r>
      <w:r>
        <w:t xml:space="preserve">Self-consistent Poisson/drift-diffusion</w:t>
      </w:r>
      <w:r>
        <w:t xml:space="preserve">”</w:t>
      </w:r>
      <w:r>
        <w:t xml:space="preserve"> </w:t>
      </w:r>
      <w:r>
        <w:t xml:space="preserve">is claimed, but every result comes from a lumped single-diode model (fatal for the modelling referee)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Location:</w:t>
      </w:r>
      <w:r>
        <w:t xml:space="preserve"> </w:t>
      </w:r>
      <w:r>
        <w:t xml:space="preserve">L36–41, L156–157, L366–400, L595 (</w:t>
      </w:r>
      <w:r>
        <w:t xml:space="preserve">“</w:t>
      </w:r>
      <w:r>
        <w:t xml:space="preserve">In the self-consistent device model …</w:t>
      </w:r>
      <w:r>
        <w:t xml:space="preserve">”</w:t>
      </w:r>
      <w:r>
        <w:t xml:space="preserve">), L1060.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Quotes: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We model the device physics using a self-consistent framework of coupled Poisson and drift-diffusion equations</w:t>
      </w:r>
      <w:r>
        <w:t xml:space="preserve">”</w:t>
      </w:r>
      <w:r>
        <w:t xml:space="preserve"> </w:t>
      </w:r>
      <w:r>
        <w:t xml:space="preserve">(L366–367).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The relations (1) to (5) … establish the governing system solved self-consistently in this work</w:t>
      </w:r>
      <w:r>
        <w:t xml:space="preserve">”</w:t>
      </w:r>
      <w:r>
        <w:t xml:space="preserve"> </w:t>
      </w:r>
      <w:r>
        <w:t xml:space="preserve">(L398–400).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Evidence from the script, section C:</w:t>
      </w:r>
      <w:r>
        <w:t xml:space="preserve"> </w:t>
      </w:r>
      <w:r>
        <w:t xml:space="preserve">With J_sc = EQE × J_sc,max (EQE fixed at 0.85 or 0.704), J₀ and R_sh from Table 2, n = 1.5 and R_s = 10 Ω cm², the single-diode Eq. 14 reproduces</w:t>
      </w:r>
      <w:r>
        <w:t xml:space="preserve"> </w:t>
      </w:r>
      <w:r>
        <w:rPr>
          <w:bCs/>
          <w:b/>
        </w:rPr>
        <w:t xml:space="preserve">all 12 rows of Table 4</w:t>
      </w:r>
      <w:r>
        <w:t xml:space="preserve"> </w:t>
      </w:r>
      <w:r>
        <w:t xml:space="preserve">(V_oc, FF, PCE) to within rounding: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V_oc calc.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V_oc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 calc.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 calc.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Doped,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Control,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0.713 %</w:t>
            </w:r>
          </w:p>
        </w:tc>
      </w:tr>
    </w:tbl>
    <w:p>
      <w:pPr>
        <w:numPr>
          <w:ilvl w:val="0"/>
          <w:numId w:val="1000"/>
        </w:numPr>
      </w:pPr>
      <w:r>
        <w:t xml:space="preserve">The control indoor V_oc values are exactly J_sc × R_sh (0.232, 0.414, 0.157, 0.146 V), i.e. a pure resistor, which is why FF = 0.250.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Nothing beyond the circuit enters the results:</w:t>
      </w:r>
    </w:p>
    <w:p>
      <w:pPr>
        <w:numPr>
          <w:ilvl w:val="1"/>
          <w:numId w:val="1008"/>
        </w:numPr>
        <w:pStyle w:val="Compact"/>
      </w:pPr>
      <w:r>
        <w:t xml:space="preserve">No band diagram, carrier profile or Poisson solution is shown.</w:t>
      </w:r>
    </w:p>
    <w:p>
      <w:pPr>
        <w:numPr>
          <w:ilvl w:val="1"/>
          <w:numId w:val="1008"/>
        </w:numPr>
        <w:pStyle w:val="Compact"/>
      </w:pPr>
      <w:r>
        <w:t xml:space="preserve">The quantities η = 3.03, D_n = 2.44 μ_n k_BT/q, L_n × 1.56, S_n and the Tauc α(λ) have</w:t>
      </w:r>
      <w:r>
        <w:t xml:space="preserve"> </w:t>
      </w:r>
      <w:r>
        <w:rPr>
          <w:bCs/>
          <w:b/>
        </w:rPr>
        <w:t xml:space="preserve">no effect</w:t>
      </w:r>
      <w:r>
        <w:t xml:space="preserve"> </w:t>
      </w:r>
      <w:r>
        <w:t xml:space="preserve">on any reported number.</w:t>
      </w:r>
    </w:p>
    <w:p>
      <w:pPr>
        <w:numPr>
          <w:ilvl w:val="1"/>
          <w:numId w:val="1008"/>
        </w:numPr>
        <w:pStyle w:val="Compact"/>
      </w:pPr>
      <w:r>
        <w:t xml:space="preserve">Eq. 12, J_sc = qG(L_n+L_p), is not applicable. With the paper’s own τ_SRH = 1/(σ v_th N_t) = 100 ns, L_n = 3.6 µm and L_p = 1.6 µm, both much larger than the 500-nm thickness. Eq. 12 would then give 93 mA cm⁻², about 10× the absorbable limit (script section N).</w:t>
      </w:r>
    </w:p>
    <w:p>
      <w:pPr>
        <w:numPr>
          <w:ilvl w:val="1"/>
          <w:numId w:val="1008"/>
        </w:numPr>
        <w:pStyle w:val="Compact"/>
      </w:pPr>
      <w:r>
        <w:t xml:space="preserve">The hole continuity equation (Eq. 6) has the wrong sign (see F6), which suggests the drift-diffusion system was never implemented.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Relations (1) to (5)</w:t>
      </w:r>
      <w:r>
        <w:t xml:space="preserve">”</w:t>
      </w:r>
      <w:r>
        <w:t xml:space="preserve"> </w:t>
      </w:r>
      <w:r>
        <w:t xml:space="preserve">includes Eq. 1, the R_sh scaling, which is not a transport equation.</w:t>
      </w:r>
    </w:p>
    <w:p>
      <w:pPr>
        <w:numPr>
          <w:ilvl w:val="1"/>
          <w:numId w:val="1008"/>
        </w:numPr>
        <w:pStyle w:val="Compact"/>
      </w:pPr>
      <w:r>
        <w:t xml:space="preserve">No mesh, boundary conditions, interface model, discretisation (e.g., Scharfetter–Gummel), convergence criterion or code is described. The only implementation detail is</w:t>
      </w:r>
      <w:r>
        <w:t xml:space="preserve"> </w:t>
      </w:r>
      <w:r>
        <w:t xml:space="preserve">“</w:t>
      </w:r>
      <w:r>
        <w:t xml:space="preserve">MATLAB software (Fermi-Dirac distribution)</w:t>
      </w:r>
      <w:r>
        <w:t xml:space="preserve">”</w:t>
      </w:r>
      <w:r>
        <w:t xml:space="preserve"> </w:t>
      </w:r>
      <w:r>
        <w:t xml:space="preserve">(L156–157).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Fix, choosing one of: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(a) Honest reframing.</w:t>
      </w:r>
      <w:r>
        <w:t xml:space="preserve"> </w:t>
      </w:r>
      <w:r>
        <w:t xml:space="preserve">State that the device is described by Eq. 14 with literature-based parameters. Delete or move §2.2–2.5 (Poisson/DD, Fermi–Dirac, generalised Einstein, Eq. 12) to the SI as context. Rename</w:t>
      </w:r>
      <w:r>
        <w:t xml:space="preserve"> </w:t>
      </w:r>
      <w:r>
        <w:t xml:space="preserve">“</w:t>
      </w:r>
      <w:r>
        <w:t xml:space="preserve">self-consistent numerical investigation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equivalent-circuit analysis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(b) Do it properly.</w:t>
      </w:r>
      <w:r>
        <w:t xml:space="preserve"> </w:t>
      </w:r>
      <w:r>
        <w:t xml:space="preserve">Run SCAPS-1D, Setfos, IonMonger or a documented MATLAB Scharfetter–Gummel solver with Table 1, including an explicit interface defect layer with N_it, its energy distribution and capture cross-sections. Report the J–V output, then</w:t>
      </w:r>
      <w:r>
        <w:t xml:space="preserve"> </w:t>
      </w:r>
      <w:r>
        <w:rPr>
          <w:bCs/>
          <w:b/>
        </w:rPr>
        <w:t xml:space="preserve">fit</w:t>
      </w:r>
      <w:r>
        <w:t xml:space="preserve"> </w:t>
      </w:r>
      <w:r>
        <w:t xml:space="preserve">Eq. 14 to the drift-diffusion J–V to extract J₀, n and R_sh. Only then is the single-diode analysis</w:t>
      </w:r>
      <w:r>
        <w:t xml:space="preserve"> </w:t>
      </w:r>
      <w:r>
        <w:t xml:space="preserve">“</w:t>
      </w:r>
      <w:r>
        <w:t xml:space="preserve">derived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In both cases add a</w:t>
      </w:r>
      <w:r>
        <w:t xml:space="preserve"> </w:t>
      </w:r>
      <w:r>
        <w:t xml:space="preserve">“</w:t>
      </w:r>
      <w:r>
        <w:t xml:space="preserve">Model implementation and reproducibility</w:t>
      </w:r>
      <w:r>
        <w:t xml:space="preserve">”</w:t>
      </w:r>
      <w:r>
        <w:t xml:space="preserve"> </w:t>
      </w:r>
      <w:r>
        <w:t xml:space="preserve">subsection and release the code and data.</w:t>
      </w:r>
    </w:p>
    <w:bookmarkEnd w:id="22"/>
    <w:bookmarkStart w:id="23" w:name="X8ec8202f2cfff45f68cd0e45342fecaf7d172f0"/>
    <w:p>
      <w:pPr>
        <w:pStyle w:val="Heading2"/>
      </w:pPr>
      <w:r>
        <w:t xml:space="preserve">F3. The headline result is circular: R_sh ∝ 1/N_it is assumed, so the 100× R_sh and the indoor gain are inputs, not findings (fatal)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Location:</w:t>
      </w:r>
      <w:r>
        <w:t xml:space="preserve"> </w:t>
      </w:r>
      <w:r>
        <w:t xml:space="preserve">Eq. 1 (L186–190); Abstract L44–50; L158–160; L681–695; Conclusion L1071–1074 and L1099–1100.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Quote:</w:t>
      </w:r>
      <w:r>
        <w:t xml:space="preserve"> </w:t>
      </w:r>
      <w:r>
        <w:t xml:space="preserve">“</w:t>
      </w:r>
      <w:r>
        <w:t xml:space="preserve">The shunt resistance scales inversely with N_it: R_sh^(doped) = R_sh^(control) × N_it</w:t>
      </w:r>
      <w:r>
        <w:rPr>
          <w:vertAlign w:val="superscript"/>
        </w:rPr>
        <w:t xml:space="preserve">(control)/N_it</w:t>
      </w:r>
      <w:r>
        <w:t xml:space="preserve">(doped)</w:t>
      </w:r>
      <w:r>
        <w:t xml:space="preserve">”</w:t>
      </w:r>
      <w:r>
        <w:t xml:space="preserve"> </w:t>
      </w:r>
      <w:r>
        <w:t xml:space="preserve">(Eq. 1, as rendered).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Problem 1 — the result is an input.</w:t>
      </w:r>
      <w:r>
        <w:t xml:space="preserve"> </w:t>
      </w:r>
      <w:r>
        <w:t xml:space="preserve">Choosing N_it = 10¹³ → 10¹¹ cm⁻² sets R_sh = 6.05×10³ → 6.05×10⁵ Ω cm² by construction. Neither 6.05×10³ Ω cm² nor the linear scaling is derived or cited. The abstract and conclusion (</w:t>
      </w:r>
      <w:r>
        <w:t xml:space="preserve">“</w:t>
      </w:r>
      <w:r>
        <w:t xml:space="preserve">a two-order-of-magnitude recovery of both shunt and recombination resistances … quantitatively confirm</w:t>
      </w:r>
      <w:r>
        <w:t xml:space="preserve">”</w:t>
      </w:r>
      <w:r>
        <w:t xml:space="preserve">) present an assumption as a result.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Problem 2 — the physics does not support it.</w:t>
      </w:r>
    </w:p>
    <w:p>
      <w:pPr>
        <w:numPr>
          <w:ilvl w:val="1"/>
          <w:numId w:val="1011"/>
        </w:numPr>
        <w:pStyle w:val="Compact"/>
      </w:pPr>
      <w:r>
        <w:t xml:space="preserve">Interface traps produce a</w:t>
      </w:r>
      <w:r>
        <w:t xml:space="preserve"> </w:t>
      </w:r>
      <w:r>
        <w:rPr>
          <w:bCs/>
          <w:b/>
        </w:rPr>
        <w:t xml:space="preserve">non-ohmic</w:t>
      </w:r>
      <w:r>
        <w:t xml:space="preserve"> </w:t>
      </w:r>
      <w:r>
        <w:t xml:space="preserve">recombination current. That current enters J₀ and n (the exponential diode term).</w:t>
      </w:r>
    </w:p>
    <w:p>
      <w:pPr>
        <w:numPr>
          <w:ilvl w:val="1"/>
          <w:numId w:val="1011"/>
        </w:numPr>
        <w:pStyle w:val="Compact"/>
      </w:pPr>
      <w:r>
        <w:t xml:space="preserve">An ohmic shunt in perovskite cells is normally attributed to pinholes, incomplete coverage, direct ETL/HTL contact, edge leakage or ion-related paths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A linear R_sh ∝ 1/N_it law has no stated physical basis.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Problem 3 — J₀ and EQE are not derived either.</w:t>
      </w:r>
    </w:p>
    <w:p>
      <w:pPr>
        <w:numPr>
          <w:ilvl w:val="1"/>
          <w:numId w:val="1012"/>
        </w:numPr>
        <w:pStyle w:val="Compact"/>
      </w:pPr>
      <w:r>
        <w:t xml:space="preserve">J₀ = 7.939×10⁻¹⁶ and 1.430×10⁻¹⁷ A cm⁻² come with no derivation. The Figure 6 caption (text box) admits</w:t>
      </w:r>
      <w:r>
        <w:t xml:space="preserve"> </w:t>
      </w:r>
      <w:r>
        <w:t xml:space="preserve">“</w:t>
      </w:r>
      <w:r>
        <w:t xml:space="preserve">J₀ fixed from AM1.5G fit</w:t>
      </w:r>
      <w:r>
        <w:t xml:space="preserve">”</w:t>
      </w:r>
      <w:r>
        <w:t xml:space="preserve">, yet there are no experimental data to fit.</w:t>
      </w:r>
    </w:p>
    <w:p>
      <w:pPr>
        <w:numPr>
          <w:ilvl w:val="1"/>
          <w:numId w:val="1012"/>
        </w:numPr>
        <w:pStyle w:val="Compact"/>
      </w:pPr>
      <w:r>
        <w:t xml:space="preserve">With Table 1 values, n_i(CsPbBr₃) ≈ 0.1 cm⁻³. Order-of-magnitude estimates are J₀(n = 2, SRH) ≈ 4×10⁻¹⁸ A cm⁻² and J₀(n = 1, interface, S = 10⁵ cm s⁻¹) ≈ 10⁻³² A cm⁻² (script section O). So the 55.5× J₀ ratio cannot be obtained from N_it or S_n.</w:t>
      </w:r>
    </w:p>
    <w:p>
      <w:pPr>
        <w:numPr>
          <w:ilvl w:val="1"/>
          <w:numId w:val="1012"/>
        </w:numPr>
        <w:pStyle w:val="Compact"/>
      </w:pPr>
      <w:r>
        <w:t xml:space="preserve">EQE = 0.85 vs 0.704 is also an input. It alone supplies the</w:t>
      </w:r>
      <w:r>
        <w:t xml:space="preserve"> </w:t>
      </w:r>
      <w:r>
        <w:t xml:space="preserve">“</w:t>
      </w:r>
      <w:r>
        <w:t xml:space="preserve">21 % J_sc increase</w:t>
      </w:r>
      <w:r>
        <w:t xml:space="preserve">”</w:t>
      </w:r>
      <w:r>
        <w:t xml:space="preserve"> </w:t>
      </w:r>
      <w:r>
        <w:t xml:space="preserve">and about 2.5 PCE points of the LED result.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Evidence from the script, section C3 (1000-lx LED, full factorial; c = control value, d = doped value):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V_oc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0.71</w:t>
            </w:r>
            <w:r>
              <w:t xml:space="preserve"> </w:t>
            </w:r>
            <w:r>
              <w:t xml:space="preserve">(J₀ alone does nothing while shunted)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9.42</w:t>
            </w:r>
            <w:r>
              <w:t xml:space="preserve"> </w:t>
            </w:r>
            <w:r>
              <w:t xml:space="preserve">(R_sh alone)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13.61</w:t>
            </w:r>
          </w:p>
        </w:tc>
      </w:tr>
    </w:tbl>
    <w:p>
      <w:pPr>
        <w:numPr>
          <w:ilvl w:val="0"/>
          <w:numId w:val="1010"/>
        </w:numPr>
      </w:pPr>
      <w:r>
        <w:rPr>
          <w:bCs/>
          <w:b/>
        </w:rPr>
        <w:t xml:space="preserve">Sensitivity to the assumed exponent.</w:t>
      </w:r>
      <w:r>
        <w:t xml:space="preserve"> </w:t>
      </w:r>
      <w:r>
        <w:t xml:space="preserve">If R_sh ∝ N_it^−β with the other doped values fixed, the LED PCE 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PCE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over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19.1×</w:t>
            </w:r>
          </w:p>
        </w:tc>
      </w:tr>
    </w:tbl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19.1-fold</w:t>
      </w:r>
      <w:r>
        <w:t xml:space="preserve">”</w:t>
      </w:r>
      <w:r>
        <w:t xml:space="preserve"> </w:t>
      </w:r>
      <w:r>
        <w:t xml:space="preserve">headline is therefore a direct readout of β = 1.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Fix:</w:t>
      </w:r>
    </w:p>
    <w:p>
      <w:pPr>
        <w:numPr>
          <w:ilvl w:val="1"/>
          <w:numId w:val="1013"/>
        </w:numPr>
        <w:pStyle w:val="Compact"/>
      </w:pPr>
      <w:r>
        <w:t xml:space="preserve">Treat R_sh as an</w:t>
      </w:r>
      <w:r>
        <w:t xml:space="preserve"> </w:t>
      </w:r>
      <w:r>
        <w:rPr>
          <w:bCs/>
          <w:b/>
        </w:rPr>
        <w:t xml:space="preserve">independent design variable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Present PCE(R_sh, J₀) maps for each spectrum.</w:t>
      </w:r>
    </w:p>
    <w:p>
      <w:pPr>
        <w:numPr>
          <w:ilvl w:val="1"/>
          <w:numId w:val="1013"/>
        </w:numPr>
        <w:pStyle w:val="Compact"/>
      </w:pPr>
      <w:r>
        <w:t xml:space="preserve">State the minimum R_sh needed to reach, say, 90 % of the R_sh→∞ PCE under each source. This is a defensible design rule that does not depend on Pr chemistry.</w:t>
      </w:r>
    </w:p>
    <w:p>
      <w:pPr>
        <w:numPr>
          <w:ilvl w:val="1"/>
          <w:numId w:val="1013"/>
        </w:numPr>
        <w:pStyle w:val="Compact"/>
      </w:pPr>
      <w:r>
        <w:t xml:space="preserve">If a link to N_it is kept, present it as a scenario (β = 0, 0.5, 1) and cite any evidence for it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Suggested replacement for L158–160: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Within the equivalent-circuit model, the indoor PCE is controlled primarily by R_sh: with R_sh = 6.05×10³ Ω cm² the cell behaves as a resistor (FF = 0.25) regardless of J₀, whereas raising R_sh to ≥ 6×10⁴ Ω cm² recovers most of the attainable PCE. Whether interface-trap passivation raises R_sh, and by how much, is an open experimental question; we therefore report results for R_sh ∝ N_it^−β with β = 0–1.</w:t>
      </w:r>
      <w:r>
        <w:rPr>
          <w:iCs/>
          <w:i/>
        </w:rPr>
        <w:t xml:space="preserve">”</w:t>
      </w:r>
    </w:p>
    <w:bookmarkEnd w:id="23"/>
    <w:bookmarkStart w:id="24" w:name="Xb6c538617c6717dfbb8804a031babd3e13d5ee8"/>
    <w:p>
      <w:pPr>
        <w:pStyle w:val="Heading2"/>
      </w:pPr>
      <w:r>
        <w:t xml:space="preserve">F4. Defect chemistry is reversed: Pr³⁺ on Sn⁴⁺ is an acceptor, not an electron donor and vacancy passivator (fatal)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L153–155; L178–186; L355–358; L404–410; Figure 2 caption (text box); Conclusion L1066–1069.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Quotes: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Substituting Pr³⁺ at Sn⁴⁺ sites supply an</w:t>
      </w:r>
      <w:r>
        <w:t xml:space="preserve"> </w:t>
      </w:r>
      <w:r>
        <w:rPr>
          <w:bCs/>
          <w:b/>
        </w:rPr>
        <w:t xml:space="preserve">excess electron</w:t>
      </w:r>
      <w:r>
        <w:t xml:space="preserve"> </w:t>
      </w:r>
      <w:r>
        <w:t xml:space="preserve">that compensates oxygen vacancy V(O) deep traps</w:t>
      </w:r>
      <w:r>
        <w:t xml:space="preserve">”</w:t>
      </w:r>
      <w:r>
        <w:t xml:space="preserve"> </w:t>
      </w:r>
      <w:r>
        <w:t xml:space="preserve">(L355–357).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Heavy Pr³⁺ doping of the SnO₂ ETL sets sets the</w:t>
      </w:r>
      <w:r>
        <w:t xml:space="preserve"> </w:t>
      </w:r>
      <w:r>
        <w:rPr>
          <w:bCs/>
          <w:b/>
        </w:rPr>
        <w:t xml:space="preserve">donor</w:t>
      </w:r>
      <w:r>
        <w:t xml:space="preserve"> </w:t>
      </w:r>
      <w:r>
        <w:t xml:space="preserve">concentration to N_D = 1.0 × 10¹⁹ cm⁻³</w:t>
      </w:r>
      <w:r>
        <w:t xml:space="preserve">”</w:t>
      </w:r>
      <w:r>
        <w:t xml:space="preserve"> </w:t>
      </w:r>
      <w:r>
        <w:t xml:space="preserve">(L404–405).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Problem 1 — wrong sign of doping.</w:t>
      </w:r>
      <w:r>
        <w:t xml:space="preserve"> </w:t>
      </w:r>
      <w:r>
        <w:t xml:space="preserve">A trivalent cation on a tetravalent site is a negatively charged substitutional defect (Pr′_Sn in Kröger–Vink notation). It</w:t>
      </w:r>
      <w:r>
        <w:t xml:space="preserve"> </w:t>
      </w:r>
      <w:r>
        <w:rPr>
          <w:bCs/>
          <w:b/>
        </w:rPr>
        <w:t xml:space="preserve">removes</w:t>
      </w:r>
      <w:r>
        <w:t xml:space="preserve"> </w:t>
      </w:r>
      <w:r>
        <w:t xml:space="preserve">an electron, i.e. it is an acceptor. Charge balance is achieved by holes or by oxygen vacancies (2 Pr′_Sn + V_O••). So Pr³⁺ substitution, by itself:</w:t>
      </w:r>
    </w:p>
    <w:p>
      <w:pPr>
        <w:numPr>
          <w:ilvl w:val="1"/>
          <w:numId w:val="1016"/>
        </w:numPr>
        <w:pStyle w:val="Compact"/>
      </w:pPr>
      <w:r>
        <w:t xml:space="preserve">cannot supply donors, so it cannot justify N_D = 10¹⁹ cm⁻³ and a degenerate Fermi level 78 meV inside the conduction band;</w:t>
      </w:r>
    </w:p>
    <w:p>
      <w:pPr>
        <w:numPr>
          <w:ilvl w:val="1"/>
          <w:numId w:val="1016"/>
        </w:numPr>
        <w:pStyle w:val="Compact"/>
      </w:pPr>
      <w:r>
        <w:t xml:space="preserve">tends to</w:t>
      </w:r>
      <w:r>
        <w:t xml:space="preserve"> </w:t>
      </w:r>
      <w:r>
        <w:rPr>
          <w:bCs/>
          <w:b/>
        </w:rPr>
        <w:t xml:space="preserve">increase</w:t>
      </w:r>
      <w:r>
        <w:t xml:space="preserve">, not decrease, the oxygen-vacancy concentration.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Problem 2 — the manuscript contradicts itself.</w:t>
      </w:r>
      <w:r>
        <w:t xml:space="preserve"> </w:t>
      </w:r>
      <w:r>
        <w:t xml:space="preserve">L146–148 states:</w:t>
      </w:r>
      <w:r>
        <w:t xml:space="preserve"> </w:t>
      </w:r>
      <w:r>
        <w:t xml:space="preserve">“</w:t>
      </w:r>
      <w:r>
        <w:t xml:space="preserve">trivalent ions induce oxygen vacancies to maintain charge neutrality; however, pentavalent codoping (Nb⁵⁺, V⁵⁺) suppresses these defects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Problem 3 — size mismatch.</w:t>
      </w:r>
      <w:r>
        <w:t xml:space="preserve"> </w:t>
      </w:r>
      <w:r>
        <w:t xml:space="preserve">The ionic radii differ strongly (Pr³⁺ much larger than Sn⁴⁺ in six-fold coordination; see R. D. Shannon,</w:t>
      </w:r>
      <w:r>
        <w:t xml:space="preserve"> </w:t>
      </w:r>
      <w:r>
        <w:rPr>
          <w:iCs/>
          <w:i/>
        </w:rPr>
        <w:t xml:space="preserve">Acta Crystallogr. A</w:t>
      </w:r>
      <w:r>
        <w:t xml:space="preserve"> </w:t>
      </w:r>
      <w:r>
        <w:rPr>
          <w:bCs/>
          <w:b/>
        </w:rPr>
        <w:t xml:space="preserve">32</w:t>
      </w:r>
      <w:r>
        <w:t xml:space="preserve">, 751 (1976)). This makes lattice substitution at 10¹⁹ cm⁻³ questionable; surface or grain-boundary segregation is more likely.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Problem 4 — the DFT companion says the opposite.</w:t>
      </w:r>
      <w:r>
        <w:t xml:space="preserve"> </w:t>
      </w:r>
      <w:r>
        <w:t xml:space="preserve">It reports (v4 abstract):</w:t>
      </w:r>
    </w:p>
    <w:p>
      <w:pPr>
        <w:numPr>
          <w:ilvl w:val="1"/>
          <w:numId w:val="1017"/>
        </w:numPr>
        <w:pStyle w:val="Compact"/>
      </w:pPr>
      <w:r>
        <w:t xml:space="preserve">neutral V_O formation energy falls from</w:t>
      </w:r>
      <w:r>
        <w:t xml:space="preserve"> </w:t>
      </w:r>
      <w:r>
        <w:rPr>
          <w:bCs/>
          <w:b/>
        </w:rPr>
        <w:t xml:space="preserve">+4.74 eV</w:t>
      </w:r>
      <w:r>
        <w:t xml:space="preserve"> </w:t>
      </w:r>
      <w:r>
        <w:t xml:space="preserve">(pristine anatase) to</w:t>
      </w:r>
      <w:r>
        <w:t xml:space="preserve"> </w:t>
      </w:r>
      <w:r>
        <w:rPr>
          <w:bCs/>
          <w:b/>
        </w:rPr>
        <w:t xml:space="preserve">+1.29 eV</w:t>
      </w:r>
      <w:r>
        <w:t xml:space="preserve"> </w:t>
      </w:r>
      <w:r>
        <w:t xml:space="preserve">with Pr, so Pr makes vacancies</w:t>
      </w:r>
      <w:r>
        <w:t xml:space="preserve"> </w:t>
      </w:r>
      <w:r>
        <w:rPr>
          <w:iCs/>
          <w:i/>
        </w:rPr>
        <w:t xml:space="preserve">easier</w:t>
      </w:r>
      <w:r>
        <w:t xml:space="preserve"> </w:t>
      </w:r>
      <w:r>
        <w:t xml:space="preserve">to form;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one hole per Pr³⁺</w:t>
      </w:r>
      <w:r>
        <w:t xml:space="preserve">”</w:t>
      </w:r>
      <w:r>
        <w:t xml:space="preserve">;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one vacancy over-compensates Pr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Fix:</w:t>
      </w:r>
    </w:p>
    <w:p>
      <w:pPr>
        <w:numPr>
          <w:ilvl w:val="1"/>
          <w:numId w:val="1018"/>
        </w:numPr>
        <w:pStyle w:val="Compact"/>
      </w:pPr>
      <w:r>
        <w:t xml:space="preserve">Attribute the n-type doping (N_D = 10¹⁹ cm⁻³) to native donors (V_O, Sn_i) or to a deliberate donor, with citation,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Pr³⁺.</w:t>
      </w:r>
    </w:p>
    <w:p>
      <w:pPr>
        <w:numPr>
          <w:ilvl w:val="1"/>
          <w:numId w:val="1018"/>
        </w:numPr>
        <w:pStyle w:val="Compact"/>
      </w:pPr>
      <w:r>
        <w:t xml:space="preserve">Present any Pr benefit as a</w:t>
      </w:r>
      <w:r>
        <w:t xml:space="preserve"> </w:t>
      </w:r>
      <w:r>
        <w:rPr>
          <w:iCs/>
          <w:i/>
        </w:rPr>
        <w:t xml:space="preserve">hypothesis</w:t>
      </w:r>
      <w:r>
        <w:t xml:space="preserve">, e.g. surface or grain-boundary passivation of under-coordinated sites, or Pr–O–Sn bonding that lowers the electrically active D_it. Cite experimental evidence for rare-earth-modified SnO₂ ETLs if it exists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t xml:space="preserve">Run N_D as a sensitivity parameter (10¹⁷–10¹⁹ cm⁻³).</w:t>
      </w:r>
    </w:p>
    <w:p>
      <w:pPr>
        <w:numPr>
          <w:ilvl w:val="1"/>
          <w:numId w:val="1018"/>
        </w:numPr>
        <w:pStyle w:val="Compact"/>
      </w:pPr>
      <w:r>
        <w:t xml:space="preserve">Suggested replacement for L355–360: *“Substitutional Pr³⁺ on Sn⁴⁺ sites is formally an acceptor (Pr′_Sn) and, by charge neutrality, tends to be compensated by oxygen vacancies. Any reduction of the electrically active interface-trap density by Pr incorporation must therefore arise from surface or grain-boundary passivation rather than from lattice electron donation. In this work we do not model the microscopic mechanism; we treat the interface-trap density N_it (10¹³ vs 10¹¹ cm⁻²) as an input and examine its device-level consequences.”*</w:t>
      </w:r>
    </w:p>
    <w:bookmarkEnd w:id="24"/>
    <w:bookmarkStart w:id="25" w:name="X8ea022810f2b9b70241af73f98587817d53b81a"/>
    <w:p>
      <w:pPr>
        <w:pStyle w:val="Heading2"/>
      </w:pPr>
      <w:r>
        <w:t xml:space="preserve">F5. The EIS section presents simulated parameters as experimental, contradicts its own Eq. 21, and its</w:t>
      </w:r>
      <w:r>
        <w:t xml:space="preserve"> </w:t>
      </w:r>
      <w:r>
        <w:t xml:space="preserve">“</w:t>
      </w:r>
      <w:r>
        <w:t xml:space="preserve">independent confirmation</w:t>
      </w:r>
      <w:r>
        <w:t xml:space="preserve">”</w:t>
      </w:r>
      <w:r>
        <w:t xml:space="preserve"> </w:t>
      </w:r>
      <w:r>
        <w:t xml:space="preserve">is circular (fatal)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L39–40 (</w:t>
      </w:r>
      <w:r>
        <w:t xml:space="preserve">“</w:t>
      </w:r>
      <w:r>
        <w:t xml:space="preserve">EIS-derived interface parameters</w:t>
      </w:r>
      <w:r>
        <w:t xml:space="preserve">”</w:t>
      </w:r>
      <w:r>
        <w:t xml:space="preserve">); L750 (</w:t>
      </w:r>
      <w:r>
        <w:t xml:space="preserve">“</w:t>
      </w:r>
      <w:r>
        <w:t xml:space="preserve">TRPL and EIS measurements validate</w:t>
      </w:r>
      <w:r>
        <w:t xml:space="preserve">”</w:t>
      </w:r>
      <w:r>
        <w:t xml:space="preserve">); L880 and Fig. 6 caption (</w:t>
      </w:r>
      <w:r>
        <w:t xml:space="preserve">“</w:t>
      </w:r>
      <w:r>
        <w:t xml:space="preserve">experimental shunt-resistance values</w:t>
      </w:r>
      <w:r>
        <w:t xml:space="preserve">”</w:t>
      </w:r>
      <w:r>
        <w:t xml:space="preserve">); L893–896; L950–1053; Table 5; L1065; L1097 (</w:t>
      </w:r>
      <w:r>
        <w:t xml:space="preserve">“</w:t>
      </w:r>
      <w:r>
        <w:t xml:space="preserve">experimentally informed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Quotes: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The</w:t>
      </w:r>
      <w:r>
        <w:t xml:space="preserve"> </w:t>
      </w:r>
      <w:r>
        <w:rPr>
          <w:bCs/>
          <w:b/>
        </w:rPr>
        <w:t xml:space="preserve">experimental spectra</w:t>
      </w:r>
      <w:r>
        <w:t xml:space="preserve"> </w:t>
      </w:r>
      <w:r>
        <w:t xml:space="preserve">were modeled using a two-arc equivalent circuit</w:t>
      </w:r>
      <w:r>
        <w:t xml:space="preserve">”</w:t>
      </w:r>
      <w:r>
        <w:t xml:space="preserve"> </w:t>
      </w:r>
      <w:r>
        <w:t xml:space="preserve">(L950–951).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This mutual consistency across</w:t>
      </w:r>
      <w:r>
        <w:t xml:space="preserve"> </w:t>
      </w:r>
      <w:r>
        <w:rPr>
          <w:bCs/>
          <w:b/>
        </w:rPr>
        <w:t xml:space="preserve">independent characterization techniques</w:t>
      </w:r>
      <w:r>
        <w:t xml:space="preserve"> </w:t>
      </w:r>
      <w:r>
        <w:t xml:space="preserve">confirms …</w:t>
      </w:r>
      <w:r>
        <w:t xml:space="preserve">”</w:t>
      </w:r>
      <w:r>
        <w:t xml:space="preserve"> </w:t>
      </w:r>
      <w:r>
        <w:t xml:space="preserve">(L1012–1013).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1 — no experiments.</w:t>
      </w:r>
      <w:r>
        <w:t xml:space="preserve"> </w:t>
      </w:r>
      <w:r>
        <w:t xml:space="preserve">The manuscript contains no measured devices, films or impedance data. Every EIS number is generated from assumed values.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2 — Table 5 disagrees with Eq. 21 by about 10¹¹.</w:t>
      </w:r>
      <w:r>
        <w:t xml:space="preserve"> </w:t>
      </w:r>
      <w:r>
        <w:t xml:space="preserve">Eq. 21 at V_dc = 0 in the dark gives R_rec = nV_T/J₀ =</w:t>
      </w:r>
      <w:r>
        <w:t xml:space="preserve"> </w:t>
      </w:r>
      <w:r>
        <w:rPr>
          <w:bCs/>
          <w:b/>
        </w:rPr>
        <w:t xml:space="preserve">4.88×10¹³</w:t>
      </w:r>
      <w:r>
        <w:t xml:space="preserve"> </w:t>
      </w:r>
      <w:r>
        <w:t xml:space="preserve">(control) and</w:t>
      </w:r>
      <w:r>
        <w:t xml:space="preserve"> </w:t>
      </w:r>
      <w:r>
        <w:rPr>
          <w:bCs/>
          <w:b/>
        </w:rPr>
        <w:t xml:space="preserve">2.71×10¹⁵ Ω cm²</w:t>
      </w:r>
      <w:r>
        <w:t xml:space="preserve"> </w:t>
      </w:r>
      <w:r>
        <w:t xml:space="preserve">(doped). Table 5 lists 308 and 17,109 Ω cm².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3 — the low-frequency arc is wrong.</w:t>
      </w:r>
      <w:r>
        <w:t xml:space="preserve"> </w:t>
      </w:r>
      <w:r>
        <w:t xml:space="preserve">In the dark at 0 V, R_sh is in parallel with R_rec, so the low-frequency resistance equals R_sh. That gives 6.05×10³ and 6.05×10⁵ Ω cm², a ratio of</w:t>
      </w:r>
      <w:r>
        <w:t xml:space="preserve"> </w:t>
      </w:r>
      <w:r>
        <w:rPr>
          <w:bCs/>
          <w:b/>
        </w:rPr>
        <w:t xml:space="preserve">100</w:t>
      </w:r>
      <w:r>
        <w:t xml:space="preserve">, not 55.5.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4 —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55.5× match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tautology.</w:t>
      </w:r>
      <w:r>
        <w:t xml:space="preserve"> </w:t>
      </w:r>
      <w:r>
        <w:t xml:space="preserve">R_rec is</w:t>
      </w:r>
      <w:r>
        <w:t xml:space="preserve"> </w:t>
      </w:r>
      <w:r>
        <w:rPr>
          <w:iCs/>
          <w:i/>
        </w:rPr>
        <w:t xml:space="preserve">defined</w:t>
      </w:r>
      <w:r>
        <w:t xml:space="preserve"> </w:t>
      </w:r>
      <w:r>
        <w:t xml:space="preserve">through 1/J₀, so it must reproduce the J₀ ratio exactly.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5 — wrong layer for C₁.</w:t>
      </w:r>
      <w:r>
        <w:t xml:space="preserve"> </w:t>
      </w:r>
      <w:r>
        <w:t xml:space="preserve">C₁ = ε₀ε_r/d is assigned to the 50-nm ETL (174.6 nF cm⁻²). A degenerately doped ETL (N_D = 10¹⁹) is a conductor, not a dielectric. The geometric capacitance should come from the absorber: ε₀ × 6.5 / 500 nm = 11.5 nF cm⁻².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6 — the trap/capacitance link fails.</w:t>
      </w:r>
      <w:r>
        <w:t xml:space="preserve"> </w:t>
      </w:r>
      <w:r>
        <w:t xml:space="preserve">C_μ falls 7.5× while N_it falls 100×, yet the text calls this</w:t>
      </w:r>
      <w:r>
        <w:t xml:space="preserve"> </w:t>
      </w:r>
      <w:r>
        <w:t xml:space="preserve">“</w:t>
      </w:r>
      <w:r>
        <w:t xml:space="preserve">consistent with the N_it reduction</w:t>
      </w:r>
      <w:r>
        <w:t xml:space="preserve">”</w:t>
      </w:r>
      <w:r>
        <w:t xml:space="preserve"> </w:t>
      </w:r>
      <w:r>
        <w:t xml:space="preserve">(L1045–1046).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7 — the Bode claim cannot be read from the plot.</w:t>
      </w:r>
      <w:r>
        <w:t xml:space="preserve"> </w:t>
      </w:r>
      <w:r>
        <w:t xml:space="preserve">Recomputed from Eq. 20 with Table 5 values:</w:t>
      </w:r>
    </w:p>
    <w:p>
      <w:pPr>
        <w:numPr>
          <w:ilvl w:val="1"/>
          <w:numId w:val="1021"/>
        </w:numPr>
        <w:pStyle w:val="Compact"/>
      </w:pPr>
      <w:r>
        <w:t xml:space="preserve">−Z″ peaks are at 3.4 kHz (control) and 396 Hz (doped);</w:t>
      </w:r>
    </w:p>
    <w:p>
      <w:pPr>
        <w:numPr>
          <w:ilvl w:val="1"/>
          <w:numId w:val="1021"/>
        </w:numPr>
        <w:pStyle w:val="Compact"/>
      </w:pPr>
      <w:r>
        <w:t xml:space="preserve">Bode-</w:t>
      </w:r>
      <w:r>
        <w:rPr>
          <w:iCs/>
          <w:i/>
        </w:rPr>
        <w:t xml:space="preserve">phase</w:t>
      </w:r>
      <w:r>
        <w:t xml:space="preserve"> </w:t>
      </w:r>
      <w:r>
        <w:t xml:space="preserve">maxima are at 33.5 kHz and 9.6 kHz;</w:t>
      </w:r>
    </w:p>
    <w:p>
      <w:pPr>
        <w:numPr>
          <w:ilvl w:val="1"/>
          <w:numId w:val="1021"/>
        </w:numPr>
        <w:pStyle w:val="Compact"/>
      </w:pPr>
      <w:r>
        <w:t xml:space="preserve">so f₁/f₂ = 92 cannot be read from the phase plot, contrary to L1049–1050.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8 — figure vs text.</w:t>
      </w:r>
      <w:r>
        <w:t xml:space="preserve"> </w:t>
      </w:r>
      <w:r>
        <w:t xml:space="preserve">The doped Nyquist plot (Fig. 9a) shows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arc, contradicting</w:t>
      </w:r>
      <w:r>
        <w:t xml:space="preserve"> </w:t>
      </w:r>
      <w:r>
        <w:t xml:space="preserve">“</w:t>
      </w:r>
      <w:r>
        <w:t xml:space="preserve">clearly resolved semicircles</w:t>
      </w:r>
      <w:r>
        <w:t xml:space="preserve">”</w:t>
      </w:r>
      <w:r>
        <w:t xml:space="preserve"> </w:t>
      </w:r>
      <w:r>
        <w:t xml:space="preserve">(L1027–1028).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Problem 9 — misused references.</w:t>
      </w:r>
      <w:r>
        <w:t xml:space="preserve"> </w:t>
      </w:r>
      <w:r>
        <w:t xml:space="preserve">Refs. [31]–[33], cited as TRPL/EIS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this Pr³⁺-based passivation strategy</w:t>
      </w:r>
      <w:r>
        <w:t xml:space="preserve">”</w:t>
      </w:r>
      <w:r>
        <w:t xml:space="preserve"> </w:t>
      </w:r>
      <w:r>
        <w:t xml:space="preserve">(L747–750), concern Pd-doped and Pr-doped Cs₂AgBiBr₆</w:t>
      </w:r>
      <w:r>
        <w:t xml:space="preserve"> </w:t>
      </w:r>
      <w:r>
        <w:rPr>
          <w:iCs/>
          <w:i/>
        </w:rPr>
        <w:t xml:space="preserve">absorbers</w:t>
      </w:r>
      <w:r>
        <w:t xml:space="preserve"> </w:t>
      </w:r>
      <w:r>
        <w:t xml:space="preserve">and a SCAPS study. None concerns Pr:SnO₂ ETLs.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Fix:</w:t>
      </w:r>
    </w:p>
    <w:p>
      <w:pPr>
        <w:numPr>
          <w:ilvl w:val="1"/>
          <w:numId w:val="1022"/>
        </w:numPr>
        <w:pStyle w:val="Compact"/>
      </w:pPr>
      <w:r>
        <w:t xml:space="preserve">Delete the EIS section,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retitle it</w:t>
      </w:r>
      <w:r>
        <w:t xml:space="preserve"> </w:t>
      </w:r>
      <w:r>
        <w:t xml:space="preserve">“</w:t>
      </w:r>
      <w:r>
        <w:t xml:space="preserve">Simulated impedance response of the equivalent circuit (predictions for future experiments)</w:t>
      </w:r>
      <w:r>
        <w:t xml:space="preserve">”</w:t>
      </w:r>
      <w: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Compute R_rec from Eq. 21 under illumination at the operating bias (e.g., at V_oc), including R_sh in parallel and stating the bias.</w:t>
      </w:r>
    </w:p>
    <w:p>
      <w:pPr>
        <w:numPr>
          <w:ilvl w:val="1"/>
          <w:numId w:val="1022"/>
        </w:numPr>
        <w:pStyle w:val="Compact"/>
      </w:pPr>
      <w:r>
        <w:t xml:space="preserve">Use the absorber geometric capacitance.</w:t>
      </w:r>
    </w:p>
    <w:p>
      <w:pPr>
        <w:numPr>
          <w:ilvl w:val="1"/>
          <w:numId w:val="1022"/>
        </w:numPr>
        <w:pStyle w:val="Compact"/>
      </w:pPr>
      <w:r>
        <w:t xml:space="preserve">Remove</w:t>
      </w:r>
      <w:r>
        <w:t xml:space="preserve"> </w:t>
      </w:r>
      <w:r>
        <w:t xml:space="preserve">“</w:t>
      </w:r>
      <w:r>
        <w:t xml:space="preserve">experimental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measured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extracted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validate</w:t>
      </w:r>
      <w:r>
        <w:t xml:space="preserve">”</w:t>
      </w:r>
      <w: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Remove the claims attributed to [31]–[33].</w:t>
      </w:r>
    </w:p>
    <w:p>
      <w:pPr>
        <w:numPr>
          <w:ilvl w:val="1"/>
          <w:numId w:val="1022"/>
        </w:numPr>
        <w:pStyle w:val="Compact"/>
      </w:pPr>
      <w:r>
        <w:t xml:space="preserve">Suggested replacement for L950–952: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 provide testable predictions, we computed the small-signal impedance of a two-RC equivalent circuit whose low-frequency branch is linked to the diode parameters through Eq. (21), evaluated at V_oc under 1000-lx LED illumination.</w:t>
      </w:r>
      <w:r>
        <w:rPr>
          <w:iCs/>
          <w:i/>
        </w:rPr>
        <w:t xml:space="preserve">”</w:t>
      </w:r>
    </w:p>
    <w:bookmarkEnd w:id="25"/>
    <w:bookmarkStart w:id="26" w:name="Xfc047b4fe5494457006f563199c3bf1ecb2f82b"/>
    <w:p>
      <w:pPr>
        <w:pStyle w:val="Heading2"/>
      </w:pPr>
      <w:r>
        <w:t xml:space="preserve">F6. Equation errors (major; fixable in text)</w:t>
      </w:r>
    </w:p>
    <w:p>
      <w:pPr>
        <w:pStyle w:val="FirstParagraph"/>
      </w:pPr>
      <w:r>
        <w:t xml:space="preserve">All equations were read from the rendered WMF images.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form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(1/q) ∂J_p/∂x = U_p − G_p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error for 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−(1/q) ∂J_p/∂x = U_p − G_p (or (1/q) ∂J_p/∂x = G_p − U_p)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 = N_C·F_1/2(η) ⇒</w:t>
            </w:r>
            <w:r>
              <w:t xml:space="preserve"> </w:t>
            </w:r>
            <w:r>
              <w:rPr>
                <w:bCs/>
                <w:b/>
              </w:rPr>
              <w:t xml:space="preserve">F_1/2(η) = N_C/n</w:t>
            </w:r>
            <w:r>
              <w:t xml:space="preserve"> </w:t>
            </w:r>
            <w:r>
              <w:t xml:space="preserve">→ η = 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inverted. As printed, F_1/2 = 0.22 gives η = −1.44 (non-degenerate). η = 3.03 only follows from F_1/2 = n/N_C = 4.545.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N_D = N_C F_1/2(η) ⇒ F_1/2(η) = N_D/N_C = 4.545 ⇒ η = 3.03, E_F − E_C = ηk_BT = +78.3 meV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(7)/(8)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F_1/2 defined with 2/√π; F_−1/2 never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4.543/1.864 = 2.44 is correct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if both use the 1/Γ(j+1) normalisation. With unnormalised integrals the ratio is 1.22.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F_j(η) = [1/Γ(j+1)] ∫₀^∞ ξ</w:t>
            </w:r>
            <w:r>
              <w:rPr>
                <w:vertAlign w:val="superscript"/>
              </w:rPr>
              <w:t xml:space="preserve">j/(1+e</w:t>
            </w:r>
            <w:r>
              <w:t xml:space="preserve">(ξ−η)) dξ for both j = 1/2 and j = −1/2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after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diffusion length … exceeds the Boltzmann prediction by a factor of 2.44</w:t>
            </w:r>
            <w:r>
              <w:t xml:space="preserve">”</w:t>
            </w:r>
            <w:r>
              <w:t xml:space="preserve"> </w:t>
            </w:r>
            <w:r>
              <w:t xml:space="preserve">(L424–425)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Eq. 9, which gives √2.44 = 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diffusion coefficient exceeds … by 2.44, and the diffusion length by √2.44 = 1.56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L_n/L_non-deg = √(F_1/2/F_−1/2) = 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correct. Placed inside a heading (L428). Applies to ETL electrons (majority carriers), so</w:t>
            </w:r>
            <w:r>
              <w:t xml:space="preserve"> </w:t>
            </w:r>
            <w:r>
              <w:t xml:space="preserve">“</w:t>
            </w:r>
            <w:r>
              <w:t xml:space="preserve">minority-carrier diffusion length</w:t>
            </w:r>
            <w:r>
              <w:t xml:space="preserve">”</w:t>
            </w:r>
            <w:r>
              <w:t xml:space="preserve"> </w:t>
            </w:r>
            <w:r>
              <w:t xml:space="preserve">(L1032) is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in body text; refer to the ETL majority-carrier diffusivity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after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η_p = (E_V − E_F)/k_BT</w:t>
            </w:r>
            <w:r>
              <w:t xml:space="preserve"> </w:t>
            </w:r>
            <w:r>
              <w:rPr>
                <w:bCs/>
                <w:b/>
              </w:rPr>
              <w:t xml:space="preserve">&gt; 0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non-degenerate</w:t>
            </w:r>
            <w:r>
              <w:t xml:space="preserve">”</w:t>
            </w:r>
            <w:r>
              <w:t xml:space="preserve"> </w:t>
            </w:r>
            <w:r>
              <w:t xml:space="preserve">(L433)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wrong: with this definition a non-degenerate p-type layer has η_p ≪ 0. Here (E_F − E_V)/k_BT = 6.74 (CsPbBr₃) and 4.61 (Co₃O₄).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(E_F − E_V)/k_BT ≥ 3, i.e. η_p = (E_V − E_F)/k_BT ≤ −3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A_Tauc (hν − E_g)^1/2/hν with</w:t>
            </w:r>
            <w:r>
              <w:t xml:space="preserve"> </w:t>
            </w:r>
            <w:r>
              <w:rPr>
                <w:bCs/>
                <w:b/>
              </w:rPr>
              <w:t xml:space="preserve">A_Tauc = 6.7×10¹¹ cm⁻¹ eV^1/2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α(470 nm) = 1.48×10¹¹ cm⁻¹, against 1.8×10⁵ cm⁻¹ in Table 1 and L458. Matching 1.8×10⁵ needs A ≈ 8.2×10⁵. Also derived from [21], an MAPbI₃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A_Tauc and cite a CsPbBr₃ absorption source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J_sc = qG(L_n + L_p)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Long-base p–n approximation. Not valid for a 500-nm p-i-n absorber with L ≫ d (gives 93 mA cm⁻²). Not used anyway, since J_sc = EQE·J_sc,max.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or replace with J_sc = q∫₀^d G(x) η_c(x) 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 with zero-width characters (L516)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equation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relations (1) to (5)</w:t>
            </w:r>
            <w:r>
              <w:t xml:space="preserve">”</w:t>
            </w:r>
            <w:r>
              <w:t xml:space="preserve"> </w:t>
            </w:r>
            <w:r>
              <w:t xml:space="preserve">(L398);</w:t>
            </w:r>
            <w:r>
              <w:t xml:space="preserve"> </w:t>
            </w:r>
            <w:r>
              <w:t xml:space="preserve">“</w:t>
            </w:r>
            <w:r>
              <w:t xml:space="preserve">Eq. (6)</w:t>
            </w:r>
            <w:r>
              <w:t xml:space="preserve">”</w:t>
            </w:r>
            <w:r>
              <w:t xml:space="preserve"> </w:t>
            </w:r>
            <w:r>
              <w:t xml:space="preserve">for the Fermi integral (L415);</w:t>
            </w:r>
            <w:r>
              <w:t xml:space="preserve"> </w:t>
            </w:r>
            <w:r>
              <w:t xml:space="preserve">“</w:t>
            </w:r>
            <w:r>
              <w:t xml:space="preserve">Equation (13) reveals</w:t>
            </w:r>
            <w:r>
              <w:t xml:space="preserve">”</w:t>
            </w:r>
            <w:r>
              <w:t xml:space="preserve"> </w:t>
            </w:r>
            <w:r>
              <w:t xml:space="preserve">(L547);</w:t>
            </w:r>
            <w:r>
              <w:t xml:space="preserve"> </w:t>
            </w:r>
            <w:r>
              <w:t xml:space="preserve">“</w:t>
            </w:r>
            <w:r>
              <w:t xml:space="preserve">full Eq. (11)</w:t>
            </w:r>
            <w:r>
              <w:t xml:space="preserve">”</w:t>
            </w:r>
            <w:r>
              <w:t xml:space="preserve"> </w:t>
            </w:r>
            <w:r>
              <w:t xml:space="preserve">(L553);</w:t>
            </w:r>
            <w:r>
              <w:t xml:space="preserve"> </w:t>
            </w:r>
            <w:r>
              <w:t xml:space="preserve">“</w:t>
            </w:r>
            <w:r>
              <w:t xml:space="preserve">Equation (19)</w:t>
            </w:r>
            <w:r>
              <w:t xml:space="preserve">”</w:t>
            </w:r>
            <w:r>
              <w:t xml:space="preserve"> </w:t>
            </w:r>
            <w:r>
              <w:t xml:space="preserve">for J_sc,max (L614)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(2)–(6); (7); (15); (14); (18)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R_rec = (∂J/∂V)⁻¹ ≈ nV_T/[J₀ exp(V_dc/nV_T)]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fine but ignores R_sh in parallel; Table 5 inconsistent with it (F5)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R_sh in parallel; recompute Table 5</w:t>
            </w:r>
          </w:p>
        </w:tc>
      </w:tr>
    </w:tbl>
    <w:bookmarkEnd w:id="26"/>
    <w:bookmarkStart w:id="27" w:name="Xfb528928a6ad4aaf773496dde8d85ab21280c82"/>
    <w:p>
      <w:pPr>
        <w:pStyle w:val="Heading2"/>
      </w:pPr>
      <w:r>
        <w:t xml:space="preserve">M7. Band alignment and carrier-collection physics is wrong in the text and schematic (major)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L352–355; Figure 2; abstract L37–38.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Quote:</w:t>
      </w:r>
      <w:r>
        <w:t xml:space="preserve"> </w:t>
      </w:r>
      <w:r>
        <w:t xml:space="preserve">“</w:t>
      </w:r>
      <w:r>
        <w:t xml:space="preserve">CBM (≈ −4.5 eV) gives a</w:t>
      </w:r>
      <w:r>
        <w:t xml:space="preserve"> </w:t>
      </w:r>
      <w:r>
        <w:rPr>
          <w:bCs/>
          <w:b/>
        </w:rPr>
        <w:t xml:space="preserve">+1.15 eV spike-type offset</w:t>
      </w:r>
      <w:r>
        <w:t xml:space="preserve"> </w:t>
      </w:r>
      <w:r>
        <w:t xml:space="preserve">with CsPbBr₃ (CBM ≈ −3.3 eV) … and</w:t>
      </w:r>
      <w:r>
        <w:t xml:space="preserve"> </w:t>
      </w:r>
      <w:r>
        <w:rPr>
          <w:bCs/>
          <w:b/>
        </w:rPr>
        <w:t xml:space="preserve">collected at the graphene paper back contact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Problem 1 — cliff, not spike.</w:t>
      </w:r>
      <w:r>
        <w:t xml:space="preserve"> </w:t>
      </w:r>
      <w:r>
        <w:t xml:space="preserve">The ETL conduction-band minimum (−4.50 eV) lies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absorber’s (−3.35 eV). For electrons this is a 1.15 eV</w:t>
      </w:r>
      <w:r>
        <w:t xml:space="preserve"> </w:t>
      </w:r>
      <w:r>
        <w:rPr>
          <w:bCs/>
          <w:b/>
        </w:rPr>
        <w:t xml:space="preserve">cliff</w:t>
      </w:r>
      <w:r>
        <w:t xml:space="preserve"> </w:t>
      </w:r>
      <w:r>
        <w:t xml:space="preserve">(downhill), not a spike. A cliff this large is normally associated with enhanced interface recombination and V_oc loss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, which the single-diode model cannot capture. The χ(CsPbBr₃) = 3.35 eV value also needs a source.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Problem 2 — wrong contact.</w:t>
      </w:r>
      <w:r>
        <w:t xml:space="preserve"> </w:t>
      </w:r>
      <w:r>
        <w:t xml:space="preserve">In the stated n-i-p stack (ITO-PET/ETL/absorber/HTL/graphene), electrons are collected at</w:t>
      </w:r>
      <w:r>
        <w:t xml:space="preserve"> </w:t>
      </w:r>
      <w:r>
        <w:rPr>
          <w:bCs/>
          <w:b/>
        </w:rPr>
        <w:t xml:space="preserve">ITO</w:t>
      </w:r>
      <w:r>
        <w:t xml:space="preserve"> </w:t>
      </w:r>
      <w:r>
        <w:t xml:space="preserve">and holes at graphene paper.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Problem 3 — inconsistent stack order across the paper.</w:t>
      </w:r>
    </w:p>
    <w:p>
      <w:pPr>
        <w:numPr>
          <w:ilvl w:val="1"/>
          <w:numId w:val="1024"/>
        </w:numPr>
        <w:pStyle w:val="Compact"/>
      </w:pPr>
      <w:r>
        <w:t xml:space="preserve">Figure 2 places</w:t>
      </w:r>
      <w:r>
        <w:t xml:space="preserve"> </w:t>
      </w:r>
      <w:r>
        <w:t xml:space="preserve">“</w:t>
      </w:r>
      <w:r>
        <w:t xml:space="preserve">ITO−PET</w:t>
      </w:r>
      <w:r>
        <w:t xml:space="preserve">”</w:t>
      </w:r>
      <w:r>
        <w:t xml:space="preserve"> </w:t>
      </w:r>
      <w:r>
        <w:t xml:space="preserve">next to Co₃O₄ and</w:t>
      </w:r>
      <w:r>
        <w:t xml:space="preserve"> </w:t>
      </w:r>
      <w:r>
        <w:t xml:space="preserve">“</w:t>
      </w:r>
      <w:r>
        <w:t xml:space="preserve">Graphene Paper</w:t>
      </w:r>
      <w:r>
        <w:t xml:space="preserve">”</w:t>
      </w:r>
      <w:r>
        <w:t xml:space="preserve"> </w:t>
      </w:r>
      <w:r>
        <w:t xml:space="preserve">next to the ETL, contradicting §2.1 and Figure 1.</w:t>
      </w:r>
    </w:p>
    <w:p>
      <w:pPr>
        <w:numPr>
          <w:ilvl w:val="1"/>
          <w:numId w:val="1024"/>
        </w:numPr>
        <w:pStyle w:val="Compact"/>
      </w:pPr>
      <w:r>
        <w:t xml:space="preserve">The abstract gives</w:t>
      </w:r>
      <w:r>
        <w:t xml:space="preserve"> </w:t>
      </w:r>
      <w:r>
        <w:t xml:space="preserve">“</w:t>
      </w:r>
      <w:r>
        <w:t xml:space="preserve">ITO/PET/CsPbBr₃/Pr³⁺:SnO₂/graphene paper</w:t>
      </w:r>
      <w:r>
        <w:t xml:space="preserve">”</w:t>
      </w:r>
      <w:r>
        <w:t xml:space="preserve">, which puts PET between ITO and the absorber, omits Co₃O₄ and places the ETL after the absorber.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Fix:</w:t>
      </w:r>
    </w:p>
    <w:p>
      <w:pPr>
        <w:numPr>
          <w:ilvl w:val="1"/>
          <w:numId w:val="1025"/>
        </w:numPr>
        <w:pStyle w:val="Compact"/>
      </w:pPr>
      <w:r>
        <w:t xml:space="preserve">Replace with: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SnO₂ CBM (−4.50 eV) lies 1.15 eV below that of CsPbBr₃ (−3.35 eV), forming a cliff-type offset that favours electron extraction but may enhance interface recombination; electrons are collected at the ITO front contact and holes, through Co₃O₄, at the graphene-paper back contact.</w:t>
      </w:r>
      <w:r>
        <w:rPr>
          <w:iCs/>
          <w:i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Redraw Figure 2.</w:t>
      </w:r>
    </w:p>
    <w:p>
      <w:pPr>
        <w:numPr>
          <w:ilvl w:val="1"/>
          <w:numId w:val="1025"/>
        </w:numPr>
        <w:pStyle w:val="Compact"/>
      </w:pPr>
      <w:r>
        <w:t xml:space="preserve">Use one stack string everywhere: ITO-PET/SnO₂(:Pr)/CsPbBr₃/Co₃O₄/graphene paper.</w:t>
      </w:r>
    </w:p>
    <w:bookmarkEnd w:id="27"/>
    <w:bookmarkStart w:id="28" w:name="Xbbd3eac3e65fdf24b98dbe2ff477fb659e8a708"/>
    <w:p>
      <w:pPr>
        <w:pStyle w:val="Heading2"/>
      </w:pPr>
      <w:r>
        <w:t xml:space="preserve">M8. Internal numerical inconsistencies (major; text-fixable once the true values are confirmed)</w:t>
      </w:r>
    </w:p>
    <w:p>
      <w:pPr>
        <w:pStyle w:val="FirstParagraph"/>
      </w:pPr>
      <w:r>
        <w:t xml:space="preserve">Script sections A–M. The main items: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V_oc improvement of 145 mV (1.315 V vs. 1.150 V)</w:t>
      </w:r>
      <w:r>
        <w:rPr>
          <w:bCs/>
          <w:b/>
        </w:rPr>
        <w:t xml:space="preserve">”</w:t>
      </w:r>
      <w:r>
        <w:t xml:space="preserve"> </w:t>
      </w:r>
      <w:r>
        <w:t xml:space="preserve">(L724–725). 1.315 − 1.150 =</w:t>
      </w:r>
      <w:r>
        <w:t xml:space="preserve"> </w:t>
      </w:r>
      <w:r>
        <w:rPr>
          <w:bCs/>
          <w:b/>
        </w:rPr>
        <w:t xml:space="preserve">165 mV</w:t>
      </w:r>
      <w:r>
        <w:t xml:space="preserve">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within 5.5 % of our theoretical expectation (155.7 mV)</w:t>
      </w:r>
      <w:r>
        <w:rPr>
          <w:bCs/>
          <w:b/>
        </w:rPr>
        <w:t xml:space="preserve">”</w:t>
      </w:r>
      <w:r>
        <w:t xml:space="preserve"> </w:t>
      </w:r>
      <w:r>
        <w:t xml:space="preserve">(L53, L726). Against 145 mV the deviation is −6.9 %; against 165 mV it is +5.9 %; against 164.1 mV it is +5.4 %. Also the abstract’s</w:t>
      </w:r>
      <w:r>
        <w:t xml:space="preserve"> </w:t>
      </w:r>
      <w:r>
        <w:t xml:space="preserve">“</w:t>
      </w:r>
      <w:r>
        <w:t xml:space="preserve">observed V_oc gain</w:t>
      </w:r>
      <w:r>
        <w:t xml:space="preserve">”</w:t>
      </w:r>
      <w:r>
        <w:t xml:space="preserve"> </w:t>
      </w:r>
      <w:r>
        <w:t xml:space="preserve">is a simulation compared with an analytic formula fed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J₀, so it confirms nothing.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~8.6 mV addition from improved R_sh</w:t>
      </w:r>
      <w:r>
        <w:rPr>
          <w:bCs/>
          <w:b/>
        </w:rPr>
        <w:t xml:space="preserve">”</w:t>
      </w:r>
      <w:r>
        <w:t xml:space="preserve"> </w:t>
      </w:r>
      <w:r>
        <w:t xml:space="preserve">(L727–728). Full-model decomposition (C2): J₀ +155.6 mV, R_sh</w:t>
      </w:r>
      <w:r>
        <w:t xml:space="preserve"> </w:t>
      </w:r>
      <w:r>
        <w:rPr>
          <w:bCs/>
          <w:b/>
        </w:rPr>
        <w:t xml:space="preserve">+1.3 mV</w:t>
      </w:r>
      <w:r>
        <w:t xml:space="preserve">, EQE change</w:t>
      </w:r>
      <w:r>
        <w:t xml:space="preserve"> </w:t>
      </w:r>
      <w:r>
        <w:rPr>
          <w:bCs/>
          <w:b/>
        </w:rPr>
        <w:t xml:space="preserve">+7.3 mV</w:t>
      </w:r>
      <w:r>
        <w:t xml:space="preserve">. The residual comes from the assumed EQE, not R_sh.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Stale J_sc values.</w:t>
      </w:r>
      <w:r>
        <w:t xml:space="preserve"> </w:t>
      </w:r>
      <w:r>
        <w:t xml:space="preserve">“</w:t>
      </w:r>
      <w:r>
        <w:t xml:space="preserve">concurrent J_sc enhancement from 7.201 to 8.695 mA/cm²</w:t>
      </w:r>
      <w:r>
        <w:t xml:space="preserve">”</w:t>
      </w:r>
      <w:r>
        <w:t xml:space="preserve"> </w:t>
      </w:r>
      <w:r>
        <w:t xml:space="preserve">(L562) appears nowhere else; Table 4 has 6.293 → 7.610.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AM1.5G doped V_oc is quoted three ways:</w:t>
      </w:r>
      <w:r>
        <w:t xml:space="preserve"> </w:t>
      </w:r>
      <w:r>
        <w:t xml:space="preserve">1.320 V (L558), 1.315 V (Table 4, Conclusion), 1.316 V (Fig. 8).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Control AM1.5G values differ between Table 4 and Figure 8: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6.293 mA cm⁻²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 mA cm⁻²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78.55 %</w:t>
            </w:r>
          </w:p>
        </w:tc>
      </w:tr>
    </w:tbl>
    <w:p>
      <w:pPr>
        <w:numPr>
          <w:ilvl w:val="0"/>
          <w:numId w:val="1000"/>
        </w:numPr>
      </w:pPr>
      <w:r>
        <w:t xml:space="preserve">Doped FF is 0.816 in Table 4 and 81.5 % in Figure 8.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f_useful.</w:t>
      </w:r>
      <w:r>
        <w:t xml:space="preserve"> </w:t>
      </w:r>
      <w:r>
        <w:t xml:space="preserve">“</w:t>
      </w:r>
      <w:r>
        <w:t xml:space="preserve">AM1.5G (20.6 %)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incandescent (4.06 %)</w:t>
      </w:r>
      <w:r>
        <w:t xml:space="preserve">”</w:t>
      </w:r>
      <w:r>
        <w:t xml:space="preserve"> </w:t>
      </w:r>
      <w:r>
        <w:t xml:space="preserve">(L716–717) vs Table 3: 24.52 % and 4.05 %. The ASTM G173 recomputation confirms 24.52 %.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~60 mV per decade</w:t>
      </w:r>
      <w:r>
        <w:rPr>
          <w:bCs/>
          <w:b/>
        </w:rPr>
        <w:t xml:space="preserve">”</w:t>
      </w:r>
      <w:r>
        <w:t xml:space="preserve"> </w:t>
      </w:r>
      <w:r>
        <w:t xml:space="preserve">(L721) contradicts the paper’s own 89.3 mV/dec for n = 1.5 (L558). 60 mV/dec implies n ≈ 1.0.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J₀ digits.</w:t>
      </w:r>
      <w:r>
        <w:t xml:space="preserve"> </w:t>
      </w:r>
      <w:r>
        <w:t xml:space="preserve">The equation images use 7.941×10⁻¹⁶ and 1.431×10⁻¹⁷; Table 2 uses 7.939×10⁻¹⁶ and 1.430×10⁻¹⁷.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irreducible ~1.8 % Lower Bound</w:t>
      </w:r>
      <w:r>
        <w:rPr>
          <w:bCs/>
          <w:b/>
        </w:rPr>
        <w:t xml:space="preserve">”</w:t>
      </w:r>
      <w:r>
        <w:t xml:space="preserve"> </w:t>
      </w:r>
      <w:r>
        <w:t xml:space="preserve">(L691) is simply 1/55.5. Under the paper’s own linear partition J₀ = J₀,bulk + J₀,int·(N_it/10¹³), the bulk part is 0.81 % of the control J₀ and 45 % of the doped J₀. So the doped device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bulk-limited</w:t>
      </w:r>
      <w:r>
        <w:t xml:space="preserve">”</w:t>
      </w:r>
      <w:r>
        <w:t xml:space="preserve"> </w:t>
      </w:r>
      <w:r>
        <w:t xml:space="preserve">(L538).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two-order-of-magnitude recovery of both shunt and recombination resistances</w:t>
      </w:r>
      <w:r>
        <w:rPr>
          <w:bCs/>
          <w:b/>
        </w:rPr>
        <w:t xml:space="preserve">”</w:t>
      </w:r>
      <w:r>
        <w:t xml:space="preserve"> </w:t>
      </w:r>
      <w:r>
        <w:t xml:space="preserve">(L1073). R_rec rises 55.5× (1.74 decades).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Shunt dominance list.</w:t>
      </w:r>
      <w:r>
        <w:t xml:space="preserve"> </w:t>
      </w:r>
      <w:r>
        <w:t xml:space="preserve">The shunt current at 0.5 V (82.6 µA cm⁻²) exceeds J_sc for LED, MH, halogen</w:t>
      </w:r>
      <w:r>
        <w:t xml:space="preserve"> </w:t>
      </w:r>
      <w:r>
        <w:rPr>
          <w:bCs/>
          <w:b/>
        </w:rPr>
        <w:t xml:space="preserve">and CFL</w:t>
      </w:r>
      <w:r>
        <w:t xml:space="preserve"> </w:t>
      </w:r>
      <w:r>
        <w:t xml:space="preserve">(68.35 µA cm⁻²). CFL is omitted at L736.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≤3.4 % of J_sc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0.83 µA cm⁻² divided by the</w:t>
      </w:r>
      <w:r>
        <w:t xml:space="preserve"> </w:t>
      </w:r>
      <w:r>
        <w:rPr>
          <w:bCs/>
          <w:b/>
        </w:rPr>
        <w:t xml:space="preserve">control</w:t>
      </w:r>
      <w:r>
        <w:t xml:space="preserve"> </w:t>
      </w:r>
      <w:r>
        <w:t xml:space="preserve">halogen J_sc gives 3.43 %. Against doped J_sc the maximum is 2.84 %.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Introduction irradiance.</w:t>
      </w:r>
      <w:r>
        <w:t xml:space="preserve"> </w:t>
      </w:r>
      <w:r>
        <w:t xml:space="preserve">“</w:t>
      </w:r>
      <w:r>
        <w:t xml:space="preserve">200 to 1000 lux, corresponding to approximately 10 to 100 µW/cm²</w:t>
      </w:r>
      <w:r>
        <w:t xml:space="preserve">”</w:t>
      </w:r>
      <w:r>
        <w:t xml:space="preserve"> </w:t>
      </w:r>
      <w:r>
        <w:t xml:space="preserve">(L76–78) and</w:t>
      </w:r>
      <w:r>
        <w:t xml:space="preserve"> </w:t>
      </w:r>
      <w:r>
        <w:t xml:space="preserve">“</w:t>
      </w:r>
      <w:r>
        <w:t xml:space="preserve">200 lux … ≈ 1 µW/cm²</w:t>
      </w:r>
      <w:r>
        <w:t xml:space="preserve">”</w:t>
      </w:r>
      <w:r>
        <w:t xml:space="preserve"> </w:t>
      </w:r>
      <w:r>
        <w:t xml:space="preserve">(L99–100) contradict the paper’s own LED LER: 200 lx = 62 µW cm⁻² and 1000 lx = 312 µW cm⁻².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Work functions.</w:t>
      </w:r>
      <w:r>
        <w:t xml:space="preserve"> </w:t>
      </w:r>
      <w:r>
        <w:t xml:space="preserve">CsPbBr₃ φ = 5.357 eV and Co₃O₄ φ = 5.05 eV (Table 1) cannot be reproduced from Table 1. The calculated values are 5.476 and 5.431 eV. 5.357 eV would need N_A ≈ 1×10¹⁴ cm⁻³.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Figure 7 vs Table 4.</w:t>
      </w:r>
      <w:r>
        <w:t xml:space="preserve"> </w:t>
      </w:r>
      <w:r>
        <w:t xml:space="preserve">The undoped dashed J–V curves reach J = 0 at about 0.175 V (LED), 0.34 V (CFL), 0.10 V (MH and halogen) and 0.87 V (INC). Table 4 gives 0.232, 0.414, 0.157, 0.146 and 0.938 V. The figure was generated with different parameters.</w:t>
      </w:r>
    </w:p>
    <w:bookmarkEnd w:id="28"/>
    <w:bookmarkStart w:id="29" w:name="Xa03d9941298ddf67a437e3e469ef081ea51bc2a"/>
    <w:p>
      <w:pPr>
        <w:pStyle w:val="Heading2"/>
      </w:pPr>
      <w:r>
        <w:t xml:space="preserve">M9. Illumination spectra and the P_in denominator are not on a common basis (major)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§2.7 (L566–600); Table 3; Figure 3b; L652–658.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Evidence from the script, sections I–J: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AM1.5G row is correct.</w:t>
      </w:r>
      <w:r>
        <w:t xml:space="preserve"> </w:t>
      </w:r>
      <w:r>
        <w:t xml:space="preserve">J_sc,max = 8.954 mA cm⁻², f_use = 24.52 %, ⟨E_ph⟩ = 2.740 eV and LER = 109.5 lm/W all match Table 3.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INC LER = 5.94 lm/W is implausible.</w:t>
      </w:r>
      <w:r>
        <w:t xml:space="preserve"> </w:t>
      </w:r>
      <w:r>
        <w:t xml:space="preserve">It is below the full-spectrum (0.2–30 µm) LER of a 2400 K blackbody (6.2 lm/W) and about ⅓ of a 2856 K blackbody (16.4 lm/W).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Halogen implies a truncated window.</w:t>
      </w:r>
      <w:r>
        <w:t xml:space="preserve"> </w:t>
      </w:r>
      <w:r>
        <w:t xml:space="preserve">LER = 121 lm/W with f_use = 10.73 % matches a ~2700 K blackbody integrated only over</w:t>
      </w:r>
      <w:r>
        <w:t xml:space="preserve"> </w:t>
      </w:r>
      <w:r>
        <w:rPr>
          <w:bCs/>
          <w:b/>
        </w:rPr>
        <w:t xml:space="preserve">350–800 nm</w:t>
      </w:r>
      <w:r>
        <w:t xml:space="preserve"> </w:t>
      </w:r>
      <w:r>
        <w:t xml:space="preserve">(132 lm/W, 10.9 %). So halogen and INC use different integration windows or normalisations.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The INC curve in Figure 3b is not a thermal spectrum.</w:t>
      </w:r>
      <w:r>
        <w:t xml:space="preserve"> </w:t>
      </w:r>
      <w:r>
        <w:t xml:space="preserve">It is near zero from 550 to 700 nm, with a bump near 470 nm and a rise only above 700 nm.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&gt;85 % of their energy radiates as near-infrared (λ &gt; 800 nm)</w:t>
      </w:r>
      <w:r>
        <w:rPr>
          <w:bCs/>
          <w:b/>
        </w:rPr>
        <w:t xml:space="preserve">”</w:t>
      </w:r>
      <w:r>
        <w:t xml:space="preserve"> </w:t>
      </w:r>
      <w:r>
        <w:t xml:space="preserve">(L654–656) is true only for full-range integration (85.7 % at 2856 K over 300–2500 nm). That is not the window the halogen numbers imply.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The LED is a cool-white type.</w:t>
      </w:r>
      <w:r>
        <w:t xml:space="preserve"> </w:t>
      </w:r>
      <w:r>
        <w:t xml:space="preserve">The paper’s f_use = 45.89 % matches only CIE LED-B5 (6598 K, 46.8 %); LED-B1 to B4 give 19.5–39 %. With a warm-white LED, J_sc,max and the indoor PCE would be substantially lower.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LED and CFL concentrate the bulk of their emission below 539 nm</w:t>
      </w:r>
      <w:r>
        <w:rPr>
          <w:bCs/>
          <w:b/>
        </w:rPr>
        <w:t xml:space="preserve">”</w:t>
      </w:r>
      <w:r>
        <w:t xml:space="preserve"> </w:t>
      </w:r>
      <w:r>
        <w:t xml:space="preserve">(L484) is contradicted by f_use &lt; 50 % for both.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Fix:</w:t>
      </w:r>
    </w:p>
    <w:p>
      <w:pPr>
        <w:numPr>
          <w:ilvl w:val="1"/>
          <w:numId w:val="1029"/>
        </w:numPr>
        <w:pStyle w:val="Compact"/>
      </w:pPr>
      <w:r>
        <w:t xml:space="preserve">Give LSPDD lamp IDs, CCT and the spectral range for every source.</w:t>
      </w:r>
    </w:p>
    <w:p>
      <w:pPr>
        <w:numPr>
          <w:ilvl w:val="1"/>
          <w:numId w:val="1029"/>
        </w:numPr>
        <w:pStyle w:val="Compact"/>
      </w:pPr>
      <w:r>
        <w:t xml:space="preserve">Integrate every spectrum over the same window, preferably its full measured range. State whether P_in includes IR.</w:t>
      </w:r>
    </w:p>
    <w:p>
      <w:pPr>
        <w:numPr>
          <w:ilvl w:val="1"/>
          <w:numId w:val="1029"/>
        </w:numPr>
        <w:pStyle w:val="Compact"/>
      </w:pPr>
      <w:r>
        <w:t xml:space="preserve">Recompute the halogen and INC rows, and replace the INC spectrum with a verified one.</w:t>
      </w:r>
    </w:p>
    <w:p>
      <w:pPr>
        <w:numPr>
          <w:ilvl w:val="1"/>
          <w:numId w:val="1029"/>
        </w:numPr>
        <w:pStyle w:val="Compact"/>
      </w:pPr>
      <w:r>
        <w:t xml:space="preserve">Add a warm-white (2700–3000 K) LED case.</w:t>
      </w:r>
    </w:p>
    <w:bookmarkEnd w:id="29"/>
    <w:bookmarkStart w:id="30" w:name="Xc92872b0096eea359292094ba7e0207224c7ad5"/>
    <w:p>
      <w:pPr>
        <w:pStyle w:val="Heading2"/>
      </w:pPr>
      <w:r>
        <w:t xml:space="preserve">M10. Plausibility, limits and benchmarking (major)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No physical limit is exceeded.</w:t>
      </w:r>
      <w:r>
        <w:t xml:space="preserve"> </w:t>
      </w:r>
      <w:r>
        <w:t xml:space="preserve">The detailed-balance limit at E_g = 2.30 eV is</w:t>
      </w:r>
      <w:r>
        <w:t xml:space="preserve"> </w:t>
      </w:r>
      <w:r>
        <w:rPr>
          <w:bCs/>
          <w:b/>
        </w:rPr>
        <w:t xml:space="preserve">16.5 %</w:t>
      </w:r>
      <w:r>
        <w:t xml:space="preserve"> </w:t>
      </w:r>
      <w:r>
        <w:t xml:space="preserve">under AM1.5G and</w:t>
      </w:r>
      <w:r>
        <w:t xml:space="preserve"> </w:t>
      </w:r>
      <w:r>
        <w:rPr>
          <w:bCs/>
          <w:b/>
        </w:rPr>
        <w:t xml:space="preserve">13.0–30.8 %</w:t>
      </w:r>
      <w:r>
        <w:t xml:space="preserve"> </w:t>
      </w:r>
      <w:r>
        <w:t xml:space="preserve">under CIE LED-B1 to B5 at 1000 lx. The simulated 8.16 % (AM1.5G) and 13.62 % (cool-white LED) are below these, roughly 45–50 % of the limit.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But those numbers are set by the assumed EQE (0.85), J₀, n and R_s, not predicted.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J₀ is phenomenological.</w:t>
      </w:r>
      <w:r>
        <w:t xml:space="preserve"> </w:t>
      </w:r>
      <w:r>
        <w:t xml:space="preserve">It is about 3×10¹⁸ times the radiative J₀ and comes with n = 1.5. R_s = 10 Ω cm² costs about 73 mV (~6.5 %) at the AM1.5G maximum-power point. Neither value is justified or cited.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Benchmark claims are overstated.</w:t>
      </w:r>
    </w:p>
    <w:p>
      <w:pPr>
        <w:numPr>
          <w:ilvl w:val="1"/>
          <w:numId w:val="1031"/>
        </w:numPr>
        <w:pStyle w:val="Compact"/>
      </w:pPr>
      <w:r>
        <w:t xml:space="preserve">“</w:t>
      </w:r>
      <w:r>
        <w:t xml:space="preserve">Within the competitive range of the best-reported CsPbBr₃ solar cells</w:t>
      </w:r>
      <w:r>
        <w:t xml:space="preserve">”</w:t>
      </w:r>
      <w:r>
        <w:t xml:space="preserve"> </w:t>
      </w:r>
      <w:r>
        <w:t xml:space="preserve">(L1084): 8.16 % (simulated) is below the experimental 10.45–11.23 % in the paper’s own Table 4.</w:t>
      </w:r>
    </w:p>
    <w:p>
      <w:pPr>
        <w:numPr>
          <w:ilvl w:val="1"/>
          <w:numId w:val="1031"/>
        </w:numPr>
        <w:pStyle w:val="Compact"/>
      </w:pPr>
      <w:r>
        <w:t xml:space="preserve">“</w:t>
      </w:r>
      <w:r>
        <w:t xml:space="preserve">Slight improvement … beyond their simulated limit</w:t>
      </w:r>
      <w:r>
        <w:t xml:space="preserve">”</w:t>
      </w:r>
      <w:r>
        <w:t xml:space="preserve"> </w:t>
      </w:r>
      <w:r>
        <w:t xml:space="preserve">(Patel) compares two different simulations with different assumptions.</w:t>
      </w:r>
    </w:p>
    <w:p>
      <w:pPr>
        <w:numPr>
          <w:ilvl w:val="1"/>
          <w:numId w:val="1031"/>
        </w:numPr>
        <w:pStyle w:val="Compact"/>
      </w:pPr>
      <w:r>
        <w:t xml:space="preserve">“</w:t>
      </w:r>
      <w:r>
        <w:t xml:space="preserve">First systematic indoor performance metrics for CsPbBr₃ solar cells</w:t>
      </w:r>
      <w:r>
        <w:t xml:space="preserve">”</w:t>
      </w:r>
      <w:r>
        <w:t xml:space="preserve"> </w:t>
      </w:r>
      <w:r>
        <w:t xml:space="preserve">(L842–845) needs a literature search. Simulated indoor CsPbBr₃ studies exist in the SCAPS literature, so the claim should be removed or softened</w:t>
      </w:r>
      <w:r>
        <w:t xml:space="preserve"> </w:t>
      </w:r>
      <w:r>
        <w:rPr>
          <w:bCs/>
          <w:b/>
        </w:rPr>
        <w:t xml:space="preserve">[NEEDS CITATION]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Literature row check.</w:t>
      </w:r>
      <w:r>
        <w:t xml:space="preserve"> </w:t>
      </w:r>
      <w:r>
        <w:t xml:space="preserve">Tong et al. [34] is listed with J_sc = 10.83 mA cm⁻². That is</w:t>
      </w:r>
      <w:r>
        <w:t xml:space="preserve"> </w:t>
      </w:r>
      <w:r>
        <w:rPr>
          <w:bCs/>
          <w:b/>
        </w:rPr>
        <w:t xml:space="preserve">21 % above</w:t>
      </w:r>
      <w:r>
        <w:t xml:space="preserve"> </w:t>
      </w:r>
      <w:r>
        <w:t xml:space="preserve">the absorbable limit for E_g = 2.30 eV (8.95 mA cm⁻², the paper’s own Table 3). Verify against the source; it may be a transcription error. Teng et al. [36]: 8.20 × 1.71 × 0.81 = 11.36 %, against the listed 11.23 %.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Add a short</w:t>
      </w:r>
      <w:r>
        <w:t xml:space="preserve"> </w:t>
      </w:r>
      <w:r>
        <w:t xml:space="preserve">“</w:t>
      </w:r>
      <w:r>
        <w:t xml:space="preserve">limits</w:t>
      </w:r>
      <w:r>
        <w:t xml:space="preserve">”</w:t>
      </w:r>
      <w:r>
        <w:t xml:space="preserve"> </w:t>
      </w:r>
      <w:r>
        <w:t xml:space="preserve">paragraph (SQ under each spectrum), justify or vary n, R_s and EQE, and soften the benchmarking language.</w:t>
      </w:r>
    </w:p>
    <w:bookmarkEnd w:id="30"/>
    <w:bookmarkStart w:id="31" w:name="m11.-citation-integrity-major"/>
    <w:p>
      <w:pPr>
        <w:pStyle w:val="Heading2"/>
      </w:pPr>
      <w:r>
        <w:t xml:space="preserve">M11. Citation integrity (major)</w:t>
      </w:r>
    </w:p>
    <w:p>
      <w:pPr>
        <w:pStyle w:val="FirstParagraph"/>
      </w:pPr>
      <w:r>
        <w:t xml:space="preserve">Details are in Section 5. In summary:</w:t>
      </w:r>
    </w:p>
    <w:p>
      <w:pPr>
        <w:numPr>
          <w:ilvl w:val="0"/>
          <w:numId w:val="1032"/>
        </w:numPr>
        <w:pStyle w:val="Compact"/>
      </w:pPr>
      <w:r>
        <w:t xml:space="preserve">refs. [31]–[33] are cited for validation they do not provide;</w:t>
      </w:r>
    </w:p>
    <w:p>
      <w:pPr>
        <w:numPr>
          <w:ilvl w:val="0"/>
          <w:numId w:val="1032"/>
        </w:numPr>
        <w:pStyle w:val="Compact"/>
      </w:pPr>
      <w:r>
        <w:t xml:space="preserve">[21] (MAPbI₃) is used for a CsPbBr₃ Tauc constant;</w:t>
      </w:r>
    </w:p>
    <w:p>
      <w:pPr>
        <w:numPr>
          <w:ilvl w:val="0"/>
          <w:numId w:val="1032"/>
        </w:numPr>
        <w:pStyle w:val="Compact"/>
      </w:pPr>
      <w:r>
        <w:t xml:space="preserve">[12] cites only the Supporting Information;</w:t>
      </w:r>
    </w:p>
    <w:p>
      <w:pPr>
        <w:numPr>
          <w:ilvl w:val="0"/>
          <w:numId w:val="1032"/>
        </w:numPr>
        <w:pStyle w:val="Compact"/>
      </w:pPr>
      <w:r>
        <w:t xml:space="preserve">[36] is attributed to</w:t>
      </w:r>
      <w:r>
        <w:t xml:space="preserve"> </w:t>
      </w:r>
      <w:r>
        <w:t xml:space="preserve">“</w:t>
      </w:r>
      <w:r>
        <w:t xml:space="preserve">Zhang et al.</w:t>
      </w:r>
      <w:r>
        <w:t xml:space="preserve">”</w:t>
      </w:r>
      <w:r>
        <w:t xml:space="preserve"> </w:t>
      </w:r>
      <w:r>
        <w:t xml:space="preserve">but the first author is Teng;</w:t>
      </w:r>
    </w:p>
    <w:p>
      <w:pPr>
        <w:numPr>
          <w:ilvl w:val="0"/>
          <w:numId w:val="1032"/>
        </w:numPr>
        <w:pStyle w:val="Compact"/>
      </w:pPr>
      <w:r>
        <w:t xml:space="preserve">[8] has a stray</w:t>
      </w:r>
      <w:r>
        <w:t xml:space="preserve"> </w:t>
      </w:r>
      <w:r>
        <w:t xml:space="preserve">“</w:t>
      </w:r>
      <w:r>
        <w:t xml:space="preserve">[1]</w:t>
      </w:r>
      <w:r>
        <w:t xml:space="preserve">”</w:t>
      </w:r>
      <w:r>
        <w:t xml:space="preserve"> </w:t>
      </w:r>
      <w:r>
        <w:t xml:space="preserve">and concerns GeSnO₂/GeO₂ on GeSn, not SnO₂ ETLs;</w:t>
      </w:r>
    </w:p>
    <w:p>
      <w:pPr>
        <w:numPr>
          <w:ilvl w:val="0"/>
          <w:numId w:val="1032"/>
        </w:numPr>
        <w:pStyle w:val="Compact"/>
      </w:pPr>
      <w:r>
        <w:t xml:space="preserve">[11] (K-salt interface engineering) is cited for the RbCl/CsPbBr₃ result, which belongs to Xie et al.;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Table 1 has no citations</w:t>
      </w:r>
      <w:r>
        <w:t xml:space="preserve"> </w:t>
      </w:r>
      <w:r>
        <w:t xml:space="preserve">despite</w:t>
      </w:r>
      <w:r>
        <w:t xml:space="preserve"> </w:t>
      </w:r>
      <w:r>
        <w:t xml:space="preserve">“</w:t>
      </w:r>
      <w:r>
        <w:t xml:space="preserve">Material properties from literature</w:t>
      </w:r>
      <w:r>
        <w:t xml:space="preserve">”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CIE 015:2018 is cited in the text but not in the reference list;</w:t>
      </w:r>
    </w:p>
    <w:p>
      <w:pPr>
        <w:numPr>
          <w:ilvl w:val="0"/>
          <w:numId w:val="1032"/>
        </w:numPr>
        <w:pStyle w:val="Compact"/>
      </w:pPr>
      <w:r>
        <w:t xml:space="preserve">the opening IoT paragraph on</w:t>
      </w:r>
      <w:r>
        <w:t xml:space="preserve"> </w:t>
      </w:r>
      <w:r>
        <w:t xml:space="preserve">“</w:t>
      </w:r>
      <w:r>
        <w:t xml:space="preserve">security frameworks to mitigate escalating cyber risks</w:t>
      </w:r>
      <w:r>
        <w:t xml:space="preserve">”</w:t>
      </w:r>
      <w:r>
        <w:t xml:space="preserve"> </w:t>
      </w:r>
      <w:r>
        <w:t xml:space="preserve">(L68–71) is off-topic.</w:t>
      </w:r>
    </w:p>
    <w:bookmarkEnd w:id="31"/>
    <w:bookmarkStart w:id="32" w:name="X072663a74e47b0515b3d6ed18f8b4511dc0ea16"/>
    <w:p>
      <w:pPr>
        <w:pStyle w:val="Heading2"/>
      </w:pPr>
      <w:r>
        <w:t xml:space="preserve">M12.</w:t>
      </w:r>
      <w:r>
        <w:t xml:space="preserve"> </w:t>
      </w:r>
      <w:r>
        <w:t xml:space="preserve">“</w:t>
      </w:r>
      <w:r>
        <w:t xml:space="preserve">Flexible</w:t>
      </w:r>
      <w:r>
        <w:t xml:space="preserve">”</w:t>
      </w:r>
      <w:r>
        <w:t xml:space="preserve"> </w:t>
      </w:r>
      <w:r>
        <w:t xml:space="preserve">device claims are not supported by any analysis (major)</w:t>
      </w:r>
    </w:p>
    <w:p>
      <w:pPr>
        <w:pStyle w:val="FirstParagraph"/>
      </w:pPr>
      <w:r>
        <w:t xml:space="preserve">The ITO-PET substrate, graphene paper (20 µm in Figure 1) and Figure 1b bending mechanics play no role in the calculation:</w:t>
      </w:r>
    </w:p>
    <w:p>
      <w:pPr>
        <w:numPr>
          <w:ilvl w:val="0"/>
          <w:numId w:val="1033"/>
        </w:numPr>
        <w:pStyle w:val="Compact"/>
      </w:pPr>
      <w:r>
        <w:t xml:space="preserve">no strain, radius, cycling or mechanical model;</w:t>
      </w:r>
    </w:p>
    <w:p>
      <w:pPr>
        <w:numPr>
          <w:ilvl w:val="0"/>
          <w:numId w:val="1033"/>
        </w:numPr>
        <w:pStyle w:val="Compact"/>
      </w:pPr>
      <w:r>
        <w:t xml:space="preserve">no optical model for ITO/PET transmission or parasitic absorption (EQE is fixed);</w:t>
      </w:r>
    </w:p>
    <w:p>
      <w:pPr>
        <w:numPr>
          <w:ilvl w:val="0"/>
          <w:numId w:val="1033"/>
        </w:numPr>
        <w:pStyle w:val="Compact"/>
      </w:pPr>
      <w:r>
        <w:t xml:space="preserve">no temperature or humidity effects.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Either remove</w:t>
      </w:r>
      <w:r>
        <w:t xml:space="preserve"> </w:t>
      </w:r>
      <w:r>
        <w:t xml:space="preserve">“</w:t>
      </w:r>
      <w:r>
        <w:t xml:space="preserve">flexible</w:t>
      </w:r>
      <w:r>
        <w:t xml:space="preserve">”</w:t>
      </w:r>
      <w:r>
        <w:t xml:space="preserve"> </w:t>
      </w:r>
      <w:r>
        <w:t xml:space="preserve">from title, abstract and conclusions (keep it as an application note), or add at least a bending-strain estimate and an optical transfer-matrix calculation for the ITO-PET stack.</w:t>
      </w:r>
    </w:p>
    <w:bookmarkEnd w:id="32"/>
    <w:bookmarkStart w:id="33" w:name="X4f212c2511a3851fab5215bdef62a7d9ee1d8bf"/>
    <w:p>
      <w:pPr>
        <w:pStyle w:val="Heading2"/>
      </w:pPr>
      <w:r>
        <w:t xml:space="preserve">M13. Reproducibility and statements required by journals (major for submission)</w:t>
      </w:r>
    </w:p>
    <w:p>
      <w:pPr>
        <w:pStyle w:val="FirstParagraph"/>
      </w:pPr>
      <w:r>
        <w:t xml:space="preserve">Missing items:</w:t>
      </w:r>
    </w:p>
    <w:p>
      <w:pPr>
        <w:numPr>
          <w:ilvl w:val="0"/>
          <w:numId w:val="1034"/>
        </w:numPr>
        <w:pStyle w:val="Compact"/>
      </w:pPr>
      <w:r>
        <w:t xml:space="preserve">model and code description and code availability;</w:t>
      </w:r>
    </w:p>
    <w:p>
      <w:pPr>
        <w:numPr>
          <w:ilvl w:val="0"/>
          <w:numId w:val="1034"/>
        </w:numPr>
        <w:pStyle w:val="Compact"/>
      </w:pPr>
      <w:r>
        <w:t xml:space="preserve">data availability statement;</w:t>
      </w:r>
    </w:p>
    <w:p>
      <w:pPr>
        <w:numPr>
          <w:ilvl w:val="0"/>
          <w:numId w:val="1034"/>
        </w:numPr>
        <w:pStyle w:val="Compact"/>
      </w:pPr>
      <w:r>
        <w:t xml:space="preserve">CRediT author contributions;</w:t>
      </w:r>
    </w:p>
    <w:p>
      <w:pPr>
        <w:numPr>
          <w:ilvl w:val="0"/>
          <w:numId w:val="1034"/>
        </w:numPr>
        <w:pStyle w:val="Compact"/>
      </w:pPr>
      <w:r>
        <w:t xml:space="preserve">funding statement (the grant is only in the acknowledgements);</w:t>
      </w:r>
    </w:p>
    <w:p>
      <w:pPr>
        <w:numPr>
          <w:ilvl w:val="0"/>
          <w:numId w:val="1034"/>
        </w:numPr>
        <w:pStyle w:val="Compact"/>
      </w:pPr>
      <w:r>
        <w:t xml:space="preserve">Highlights and graphical abstract (Elsevier journals);</w:t>
      </w:r>
    </w:p>
    <w:p>
      <w:pPr>
        <w:numPr>
          <w:ilvl w:val="0"/>
          <w:numId w:val="1034"/>
        </w:numPr>
        <w:pStyle w:val="Compact"/>
      </w:pPr>
      <w:r>
        <w:t xml:space="preserve">ORCID iDs;</w:t>
      </w:r>
    </w:p>
    <w:p>
      <w:pPr>
        <w:numPr>
          <w:ilvl w:val="0"/>
          <w:numId w:val="1034"/>
        </w:numPr>
        <w:pStyle w:val="Compact"/>
      </w:pPr>
      <w:r>
        <w:t xml:space="preserve">disclosure of the related DFT manuscript.</w:t>
      </w:r>
    </w:p>
    <w:p>
      <w:pPr>
        <w:pStyle w:val="FirstParagraph"/>
      </w:pPr>
      <w:r>
        <w:t xml:space="preserve">There are two generative-AI headings (L1112, empty, and L1121).</w:t>
      </w:r>
      <w:r>
        <w:t xml:space="preserve"> </w:t>
      </w:r>
      <w:r>
        <w:t xml:space="preserve">“</w:t>
      </w:r>
      <w:r>
        <w:t xml:space="preserve">Deep seek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DeepSeek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inor-issues"/>
    <w:p>
      <w:pPr>
        <w:pStyle w:val="Heading1"/>
      </w:pPr>
      <w:r>
        <w:t xml:space="preserve">2. Minor issues</w:t>
      </w:r>
    </w:p>
    <w:p>
      <w:pPr>
        <w:pStyle w:val="FirstParagraph"/>
      </w:pPr>
      <w:r>
        <w:rPr>
          <w:bCs/>
          <w:b/>
        </w:rPr>
        <w:t xml:space="preserve">Language and typos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sets sets</w:t>
      </w:r>
      <w:r>
        <w:t xml:space="preserve">”</w:t>
      </w:r>
      <w:r>
        <w:t xml:space="preserve"> </w:t>
      </w:r>
      <w:r>
        <w:t xml:space="preserve">(L404).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billion in 2024.This</w:t>
      </w:r>
      <w:r>
        <w:t xml:space="preserve">”</w:t>
      </w:r>
      <w:r>
        <w:t xml:space="preserve"> </w:t>
      </w:r>
      <w:r>
        <w:t xml:space="preserve">(L68).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the logarithmic regime where. In the logarithmic regime</w:t>
      </w:r>
      <w:r>
        <w:t xml:space="preserve">”</w:t>
      </w:r>
      <w:r>
        <w:t xml:space="preserve"> </w:t>
      </w:r>
      <w:r>
        <w:t xml:space="preserve">(L720).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Given an illuminance of E_v = 1000 lux is the illuminance</w:t>
      </w:r>
      <w:r>
        <w:t xml:space="preserve">”</w:t>
      </w:r>
      <w:r>
        <w:t xml:space="preserve"> </w:t>
      </w:r>
      <w:r>
        <w:t xml:space="preserve">(L577).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The LER values range from LER varies widely</w:t>
      </w:r>
      <w:r>
        <w:t xml:space="preserve">”</w:t>
      </w:r>
      <w:r>
        <w:t xml:space="preserve"> </w:t>
      </w:r>
      <w:r>
        <w:t xml:space="preserve">(L579).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For the theoretical maximum short-circuit current density is then:</w:t>
      </w:r>
      <w:r>
        <w:t xml:space="preserve">”</w:t>
      </w:r>
      <w:r>
        <w:t xml:space="preserve"> </w:t>
      </w:r>
      <w:r>
        <w:t xml:space="preserve">(L587).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In contrast of outdoor situation</w:t>
      </w:r>
      <w:r>
        <w:t xml:space="preserve">”</w:t>
      </w:r>
      <w:r>
        <w:t xml:space="preserve"> </w:t>
      </w:r>
      <w:r>
        <w:t xml:space="preserve">(L732).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shows and that</w:t>
      </w:r>
      <w:r>
        <w:t xml:space="preserve">”</w:t>
      </w:r>
      <w:r>
        <w:t xml:space="preserve"> </w:t>
      </w:r>
      <w:r>
        <w:t xml:space="preserve">(L887).</w:t>
      </w:r>
    </w:p>
    <w:p>
      <w:pPr>
        <w:numPr>
          <w:ilvl w:val="0"/>
          <w:numId w:val="1035"/>
        </w:numPr>
        <w:pStyle w:val="Compact"/>
      </w:pPr>
      <w:r>
        <w:t xml:space="preserve">Duplicated sentence</w:t>
      </w:r>
      <w:r>
        <w:t xml:space="preserve"> </w:t>
      </w:r>
      <w:r>
        <w:t xml:space="preserve">“</w:t>
      </w:r>
      <w:r>
        <w:t xml:space="preserve">where the standard Einstein relation applies. meaning …</w:t>
      </w:r>
      <w:r>
        <w:t xml:space="preserve">”</w:t>
      </w:r>
      <w:r>
        <w:t xml:space="preserve"> </w:t>
      </w:r>
      <w:r>
        <w:t xml:space="preserve">(L434–435).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Upon the simulation conditions</w:t>
      </w:r>
      <w:r>
        <w:t xml:space="preserve">”</w:t>
      </w:r>
      <w:r>
        <w:t xml:space="preserve"> </w:t>
      </w:r>
      <w:r>
        <w:t xml:space="preserve">(L611).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Our SiO2-based ETL</w:t>
      </w:r>
      <w:r>
        <w:t xml:space="preserve">”</w:t>
      </w:r>
      <w:r>
        <w:t xml:space="preserve"> </w:t>
      </w:r>
      <w:r>
        <w:t xml:space="preserve">(L821), which is unclear and probably wrong.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c-TiO₂ evaporation</w:t>
      </w:r>
      <w:r>
        <w:t xml:space="preserve">”</w:t>
      </w:r>
      <w:r>
        <w:t xml:space="preserve"> </w:t>
      </w:r>
      <w:r>
        <w:t xml:space="preserve">(L820) vs</w:t>
      </w:r>
      <w:r>
        <w:t xml:space="preserve"> </w:t>
      </w:r>
      <w:r>
        <w:t xml:space="preserve">“</w:t>
      </w:r>
      <w:r>
        <w:t xml:space="preserve">c-SnO₂ evaporation</w:t>
      </w:r>
      <w:r>
        <w:t xml:space="preserve">”</w:t>
      </w:r>
      <w:r>
        <w:t xml:space="preserve"> </w:t>
      </w:r>
      <w:r>
        <w:t xml:space="preserve">in Table 4 for the same ref. [35].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DPPP</w:t>
      </w:r>
      <w:r>
        <w:t xml:space="preserve">”</w:t>
      </w:r>
      <w:r>
        <w:t xml:space="preserve"> </w:t>
      </w:r>
      <w:r>
        <w:t xml:space="preserve">(text) vs</w:t>
      </w:r>
      <w:r>
        <w:t xml:space="preserve"> </w:t>
      </w:r>
      <w:r>
        <w:t xml:space="preserve">“</w:t>
      </w:r>
      <w:r>
        <w:t xml:space="preserve">DPP</w:t>
      </w:r>
      <w:r>
        <w:t xml:space="preserve">”</w:t>
      </w:r>
      <w:r>
        <w:t xml:space="preserve"> </w:t>
      </w:r>
      <w:r>
        <w:t xml:space="preserve">(table).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remains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remain</w:t>
      </w:r>
      <w:r>
        <w:t xml:space="preserve">”</w:t>
      </w:r>
      <w:r>
        <w:t xml:space="preserve"> </w:t>
      </w:r>
      <w:r>
        <w:t xml:space="preserve">(L433).</w:t>
      </w:r>
    </w:p>
    <w:p>
      <w:pPr>
        <w:pStyle w:val="FirstParagraph"/>
      </w:pPr>
      <w:r>
        <w:rPr>
          <w:bCs/>
          <w:b/>
        </w:rPr>
        <w:t xml:space="preserve">Superscripts and units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CsPbBr</w:t>
      </w:r>
      <w:r>
        <w:rPr>
          <w:vertAlign w:val="superscript"/>
        </w:rPr>
        <w:t xml:space="preserve">3</w:t>
      </w:r>
      <w:r>
        <w:t xml:space="preserve">”</w:t>
      </w:r>
      <w:r>
        <w:t xml:space="preserve"> </w:t>
      </w:r>
      <w:r>
        <w:t xml:space="preserve">(L38) should be CsPbBr₃.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6.05×103 … 6.05×105</w:t>
      </w:r>
      <w:r>
        <w:t xml:space="preserve">”</w:t>
      </w:r>
      <w:r>
        <w:t xml:space="preserve"> </w:t>
      </w:r>
      <w:r>
        <w:t xml:space="preserve">(L46, L533) need superscripts.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1.8 × 105 cm⁻¹</w:t>
      </w:r>
      <w:r>
        <w:t xml:space="preserve">”</w:t>
      </w:r>
      <w:r>
        <w:t xml:space="preserve"> </w:t>
      </w:r>
      <w:r>
        <w:t xml:space="preserve">(L458) needs a superscript.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Ω.cm²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Ω cm²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Ω·cm²</w:t>
      </w:r>
      <w:r>
        <w:t xml:space="preserve">”</w:t>
      </w:r>
      <w:r>
        <w:t xml:space="preserve"> </w:t>
      </w:r>
      <w:r>
        <w:t xml:space="preserve">throughout.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cm²/V.s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cm² V⁻¹ s⁻¹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(E_g = 2.30)</w:t>
      </w:r>
      <w:r>
        <w:t xml:space="preserve">”</w:t>
      </w:r>
      <w:r>
        <w:t xml:space="preserve"> </w:t>
      </w:r>
      <w:r>
        <w:t xml:space="preserve">is missing</w:t>
      </w:r>
      <w:r>
        <w:t xml:space="preserve"> </w:t>
      </w:r>
      <w:r>
        <w:t xml:space="preserve">“</w:t>
      </w:r>
      <w:r>
        <w:t xml:space="preserve">eV</w:t>
      </w:r>
      <w:r>
        <w:t xml:space="preserve">”</w:t>
      </w:r>
      <w:r>
        <w:t xml:space="preserve"> </w:t>
      </w:r>
      <w:r>
        <w:t xml:space="preserve">(L593).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~10¹¹</w:t>
      </w:r>
      <w:r>
        <w:t xml:space="preserve">”</w:t>
      </w:r>
      <w:r>
        <w:t xml:space="preserve"> </w:t>
      </w:r>
      <w:r>
        <w:t xml:space="preserve">has no units (L120); see Section 5 on [7].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~10¹³ cm⁻² eV⁻¹</w:t>
      </w:r>
      <w:r>
        <w:t xml:space="preserve">”</w:t>
      </w:r>
      <w:r>
        <w:t xml:space="preserve"> </w:t>
      </w:r>
      <w:r>
        <w:t xml:space="preserve">(an energy density, D_it) vs N_it in cm⁻²: unit conflation.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I_shunt</w:t>
      </w:r>
      <w:r>
        <w:t xml:space="preserve">”</w:t>
      </w:r>
      <w:r>
        <w:t xml:space="preserve"> </w:t>
      </w:r>
      <w:r>
        <w:t xml:space="preserve">is used for a current density; use J_sh.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J0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J₀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J</w:t>
      </w:r>
      <w:r>
        <w:rPr>
          <w:vertAlign w:val="subscript"/>
        </w:rPr>
        <w:t xml:space="preserve">0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Pr</w:t>
      </w:r>
      <w:r>
        <w:rPr>
          <w:vertAlign w:val="superscript"/>
        </w:rPr>
        <w:t xml:space="preserve">3</w:t>
      </w:r>
      <w:r>
        <w:t xml:space="preserve">⁺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Pr³⁺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V(O)</w:t>
      </w:r>
      <w:r>
        <w:t xml:space="preserve">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</w:t>
      </w:r>
      <w:r>
        <w:t xml:space="preserve">V_O</w:t>
      </w:r>
      <w:r>
        <w:t xml:space="preserve">”</w:t>
      </w:r>
      <w:r>
        <w:t xml:space="preserve"> </w:t>
      </w:r>
      <w:r>
        <w:t xml:space="preserve">(Kröger–Vink V_O••).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Pr³⁺: SnO₂</w:t>
      </w:r>
      <w:r>
        <w:t xml:space="preserve">”</w:t>
      </w:r>
      <w:r>
        <w:t xml:space="preserve"> </w:t>
      </w:r>
      <w:r>
        <w:t xml:space="preserve">has a stray space; use Pr³⁺:SnO₂.</w:t>
      </w:r>
    </w:p>
    <w:p>
      <w:pPr>
        <w:pStyle w:val="FirstParagraph"/>
      </w:pPr>
      <w:r>
        <w:rPr>
          <w:bCs/>
          <w:b/>
        </w:rPr>
        <w:t xml:space="preserve">Symbol clash.</w:t>
      </w:r>
      <w:r>
        <w:t xml:space="preserve"> </w:t>
      </w:r>
      <w:r>
        <w:t xml:space="preserve">η is the reduced Fermi level (§2.3) and also PCE (L912, L934, Figs. 7–8). Use PCE or η_PCE.</w:t>
      </w:r>
    </w:p>
    <w:p>
      <w:pPr>
        <w:pStyle w:val="BodyText"/>
      </w:pPr>
      <w:r>
        <w:rPr>
          <w:bCs/>
          <w:b/>
        </w:rPr>
        <w:t xml:space="preserve">Significant figures.</w:t>
      </w:r>
      <w:r>
        <w:t xml:space="preserve"> </w:t>
      </w:r>
      <w:r>
        <w:t xml:space="preserve">Mixed precision, e.g. </w:t>
      </w:r>
      <w:r>
        <w:t xml:space="preserve">“</w:t>
      </w:r>
      <w:r>
        <w:t xml:space="preserve">0.06835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0.0825</w:t>
      </w:r>
      <w:r>
        <w:t xml:space="preserve">”</w:t>
      </w:r>
      <w:r>
        <w:t xml:space="preserve"> </w:t>
      </w:r>
      <w:r>
        <w:t xml:space="preserve">mA cm⁻², and 0.713 vs 1.29 vs 5.69 %. Use 3 significant figures consistently.</w:t>
      </w:r>
    </w:p>
    <w:p>
      <w:pPr>
        <w:pStyle w:val="BodyText"/>
      </w:pPr>
      <w:r>
        <w:rPr>
          <w:bCs/>
          <w:b/>
        </w:rPr>
        <w:t xml:space="preserve">Tone.</w:t>
      </w:r>
      <w:r>
        <w:t xml:space="preserve"> </w:t>
      </w:r>
      <w:r>
        <w:t xml:space="preserve">“</w:t>
      </w:r>
      <w:r>
        <w:t xml:space="preserve">rigorously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profound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transformative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catastrophic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massive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perfectly bracket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exceptional</w:t>
      </w:r>
      <w:r>
        <w:t xml:space="preserve">”</w:t>
      </w:r>
      <w:r>
        <w:t xml:space="preserve">. Delete; editors read these as overclaiming.</w:t>
      </w:r>
    </w:p>
    <w:p>
      <w:pPr>
        <w:pStyle w:val="BodyText"/>
      </w:pPr>
      <w:r>
        <w:rPr>
          <w:bCs/>
          <w:b/>
        </w:rPr>
        <w:t xml:space="preserve">Section numbering</w:t>
      </w:r>
    </w:p>
    <w:p>
      <w:pPr>
        <w:numPr>
          <w:ilvl w:val="0"/>
          <w:numId w:val="1037"/>
        </w:numPr>
        <w:pStyle w:val="Compact"/>
      </w:pPr>
      <w:r>
        <w:t xml:space="preserve">“</w:t>
      </w:r>
      <w:r>
        <w:t xml:space="preserve">1. Results and Discussion</w:t>
      </w:r>
      <w:r>
        <w:t xml:space="preserve">”</w:t>
      </w:r>
      <w:r>
        <w:t xml:space="preserve"> </w:t>
      </w:r>
      <w:r>
        <w:t xml:space="preserve">(L607; Word auto-list) should be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“</w:t>
      </w:r>
      <w:r>
        <w:t xml:space="preserve">Interfacial Passivation Physics …</w:t>
      </w:r>
      <w:r>
        <w:t xml:space="preserve">”</w:t>
      </w:r>
      <w:r>
        <w:t xml:space="preserve"> </w:t>
      </w:r>
      <w:r>
        <w:t xml:space="preserve">is unnumbered (should be 3.2).</w:t>
      </w:r>
    </w:p>
    <w:p>
      <w:pPr>
        <w:numPr>
          <w:ilvl w:val="0"/>
          <w:numId w:val="1037"/>
        </w:numPr>
        <w:pStyle w:val="Compact"/>
      </w:pPr>
      <w:r>
        <w:t xml:space="preserve">“</w:t>
      </w:r>
      <w:r>
        <w:t xml:space="preserve">4.3.1</w:t>
      </w:r>
      <w:r>
        <w:t xml:space="preserve">”</w:t>
      </w:r>
      <w:r>
        <w:t xml:space="preserve"> </w:t>
      </w:r>
      <w:r>
        <w:t xml:space="preserve">(L814) should be 3.3.1.</w:t>
      </w:r>
    </w:p>
    <w:p>
      <w:pPr>
        <w:numPr>
          <w:ilvl w:val="0"/>
          <w:numId w:val="1037"/>
        </w:numPr>
        <w:pStyle w:val="Compact"/>
      </w:pPr>
      <w:r>
        <w:t xml:space="preserve">The EIS section is unnumbered (3.4).</w:t>
      </w:r>
    </w:p>
    <w:p>
      <w:pPr>
        <w:numPr>
          <w:ilvl w:val="0"/>
          <w:numId w:val="1037"/>
        </w:numPr>
        <w:pStyle w:val="Compact"/>
      </w:pPr>
      <w:r>
        <w:t xml:space="preserve">Heading levels are inconsistent (§2.1 and §2.4 at level 1, §2.2 at level 2, §2.3 bold text).</w:t>
      </w:r>
    </w:p>
    <w:p>
      <w:pPr>
        <w:pStyle w:val="FirstParagraph"/>
      </w:pPr>
      <w:r>
        <w:rPr>
          <w:bCs/>
          <w:b/>
        </w:rPr>
        <w:t xml:space="preserve">Abbreviations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HID</w:t>
      </w:r>
      <w:r>
        <w:t xml:space="preserve">”</w:t>
      </w:r>
      <w:r>
        <w:t xml:space="preserve"> </w:t>
      </w:r>
      <w:r>
        <w:t xml:space="preserve">(L201) is never used again; the sources are</w:t>
      </w:r>
      <w:r>
        <w:t xml:space="preserve"> </w:t>
      </w:r>
      <w:r>
        <w:t xml:space="preserve">“</w:t>
      </w:r>
      <w:r>
        <w:t xml:space="preserve">MH</w:t>
      </w:r>
      <w:r>
        <w:t xml:space="preserve">”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Define LER, LSPDD, CFL, MH and INC at first use in the abstract or introduction.</w:t>
      </w:r>
    </w:p>
    <w:p>
      <w:pPr>
        <w:pStyle w:val="FirstParagraph"/>
      </w:pPr>
      <w:r>
        <w:rPr>
          <w:bCs/>
          <w:b/>
        </w:rPr>
        <w:t xml:space="preserve">Wrong figure reference.</w:t>
      </w:r>
      <w:r>
        <w:t xml:space="preserve"> </w:t>
      </w:r>
      <w:r>
        <w:t xml:space="preserve">“</w:t>
      </w:r>
      <w:r>
        <w:t xml:space="preserve">mirrors the spectral overlap … shown in Figure 7</w:t>
      </w:r>
      <w:r>
        <w:t xml:space="preserve">”</w:t>
      </w:r>
      <w:r>
        <w:t xml:space="preserve"> </w:t>
      </w:r>
      <w:r>
        <w:t xml:space="preserve">(L917–918): the spectral overlap is Figure 3.</w:t>
      </w:r>
    </w:p>
    <w:p>
      <w:pPr>
        <w:pStyle w:val="BodyText"/>
      </w:pPr>
      <w:r>
        <w:rPr>
          <w:bCs/>
          <w:b/>
        </w:rPr>
        <w:t xml:space="preserve">Leftover text.</w:t>
      </w:r>
      <w:r>
        <w:t xml:space="preserve"> </w:t>
      </w:r>
      <w:r>
        <w:t xml:space="preserve">“</w:t>
      </w:r>
      <w:r>
        <w:t xml:space="preserve">Two table :</w:t>
      </w:r>
      <w:r>
        <w:t xml:space="preserve">”</w:t>
      </w:r>
      <w:r>
        <w:t xml:space="preserve"> </w:t>
      </w:r>
      <w:r>
        <w:t xml:space="preserve">at the end of the document (L1328).</w:t>
      </w:r>
    </w:p>
    <w:p>
      <w:pPr>
        <w:pStyle w:val="BodyText"/>
      </w:pPr>
      <w:r>
        <w:rPr>
          <w:bCs/>
          <w:b/>
        </w:rPr>
        <w:t xml:space="preserve">Equation objects.</w:t>
      </w:r>
      <w:r>
        <w:t xml:space="preserve"> </w:t>
      </w:r>
      <w:r>
        <w:t xml:space="preserve">These are MathType OLE/WMF objects. Make sure the journal accepts them, or convert to native Word equations; pandoc and some production systems lose them.</w:t>
      </w:r>
    </w:p>
    <w:p>
      <w:pPr>
        <w:pStyle w:val="BodyText"/>
      </w:pPr>
      <w:r>
        <w:rPr>
          <w:bCs/>
          <w:b/>
        </w:rPr>
        <w:t xml:space="preserve">Keywords.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shunt resistance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equivalent-circuit modelling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LSPDD</w:t>
      </w:r>
      <w:r>
        <w:t xml:space="preserve">”</w:t>
      </w:r>
      <w:r>
        <w:t xml:space="preserve">; remove</w:t>
      </w:r>
      <w:r>
        <w:t xml:space="preserve"> </w:t>
      </w:r>
      <w:r>
        <w:t xml:space="preserve">“</w:t>
      </w:r>
      <w:r>
        <w:t xml:space="preserve">Pr³⁺ doping</w:t>
      </w:r>
      <w:r>
        <w:t xml:space="preserve">”</w:t>
      </w:r>
      <w:r>
        <w:t xml:space="preserve"> </w:t>
      </w:r>
      <w:r>
        <w:t xml:space="preserve">if the chemistry is reframed.</w:t>
      </w:r>
    </w:p>
    <w:p>
      <w:r>
        <w:pict>
          <v:rect style="width:0;height:1.5pt" o:hralign="center" o:hrstd="t" o:hr="t"/>
        </w:pict>
      </w:r>
    </w:p>
    <w:bookmarkEnd w:id="35"/>
    <w:bookmarkStart w:id="36" w:name="numerical-re-check-table"/>
    <w:p>
      <w:pPr>
        <w:pStyle w:val="Heading1"/>
      </w:pPr>
      <w:r>
        <w:t xml:space="preserve">3. Numerical re-check table</w:t>
      </w:r>
    </w:p>
    <w:p>
      <w:pPr>
        <w:pStyle w:val="FirstParagraph"/>
      </w:pPr>
      <w:r>
        <w:t xml:space="preserve">“</w:t>
      </w:r>
      <w:r>
        <w:t xml:space="preserve">Recomputed</w:t>
      </w:r>
      <w:r>
        <w:t xml:space="preserve">”</w:t>
      </w:r>
      <w:r>
        <w:t xml:space="preserve"> </w:t>
      </w:r>
      <w:r>
        <w:t xml:space="preserve">values come from</w:t>
      </w:r>
      <w:r>
        <w:t xml:space="preserve"> </w:t>
      </w:r>
      <w:r>
        <w:rPr>
          <w:rStyle w:val="VerbatimChar"/>
        </w:rPr>
        <w:t xml:space="preserve">verify_numbers.py</w:t>
      </w:r>
      <w:r>
        <w:t xml:space="preserve">; the section letter is in brackets.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R_sh 6.05e3 → 6.05e5, 100× (Abstract L46)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100.0×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OK;</w:t>
            </w:r>
            <w:r>
              <w:t xml:space="preserve"> </w:t>
            </w:r>
            <w:r>
              <w:rPr>
                <w:bCs/>
                <w:b/>
              </w:rPr>
              <w:t xml:space="preserve">by construction</w:t>
            </w:r>
            <w:r>
              <w:t xml:space="preserve"> </w:t>
            </w:r>
            <w:r>
              <w:t xml:space="preserve">(Eq.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J₀ ratio 55.5 (L45)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7.939e-16/1.430e-17 = 55.52; 7.941e-16/1.431e-17 = 55.49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OK; digits inconsistent between table and equations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V_oc gain 883 mV LED (L49)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 V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19.1-fold PCE LED (L49–50)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13.62/0.713 = 19.10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(but set by β = 1, see F3)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1.43-fold AM1.5G (L1082)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1.434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ΔV_oc,theory = n kT/q ln(55.5) = 155.7 mV (L726)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155.76 mV [B]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145 mV (1.315 vs 1.150 V)</w:t>
            </w:r>
            <w:r>
              <w:t xml:space="preserve">”</w:t>
            </w:r>
            <w:r>
              <w:t xml:space="preserve"> </w:t>
            </w:r>
            <w:r>
              <w:t xml:space="preserve">(L724–725)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mV [B]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within 5.5 %</w:t>
            </w:r>
            <w:r>
              <w:t xml:space="preserve">”</w:t>
            </w:r>
            <w:r>
              <w:t xml:space="preserve"> </w:t>
            </w:r>
            <w:r>
              <w:t xml:space="preserve">(L53, L726)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145: −6.9 %; 164.1: +5.4 %; 165: +5.9 % [B]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Inconsistent / tautological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~8.6 mV from improved R_sh</w:t>
            </w:r>
            <w:r>
              <w:t xml:space="preserve">”</w:t>
            </w:r>
            <w:r>
              <w:t xml:space="preserve"> </w:t>
            </w:r>
            <w:r>
              <w:t xml:space="preserve">(L727–728)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R_sh +1.3 mV; EQE +7.3 mV [C2]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Misattributed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Full-model ΔV_oc 164.1 mV (L560)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164.2 mV [C2]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V_T ln10 = 89.3 mV/dec (L557–558)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89.3 mV/dec [B]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~60 mV per decade</w:t>
            </w:r>
            <w:r>
              <w:t xml:space="preserve">”</w:t>
            </w:r>
            <w:r>
              <w:t xml:space="preserve"> </w:t>
            </w:r>
            <w:r>
              <w:t xml:space="preserve">(L721)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89.3 for n = 1.5 (60 implies n = 1.01) [B]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AM1.5G→LED drop 1.320→1.115 V (L558–559)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198 mV; table 200 mV [B]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OK; 1.320 vs 1.315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J_sc 7.201→8.695 mA cm⁻² (L562)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any table (6.293→7.610)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(stale)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= 3.03 from n = 10¹⁹, N_C = 2.2×10¹⁸ (L415)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3.031 with F_1/2 = n/N_C [D]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OK; Eq. 7 as printed (N_C/n) gives −1.44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 meV above CBM (L179, Table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 × 25.852 = 78.33 meV [D]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F_1/2(3.03)/F_−1/2(3.03) = 4.543/1.864 = 2.44 (L422–423)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4.5433/1.8642 = 2.437 (Γ-normalised); 4.026/3.304 = 1.22 unnormalised [D]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only with normalisation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length ×2.44 (L424–425)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√2.44 = 1.562 [D]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  <w:r>
              <w:t xml:space="preserve"> </w:t>
            </w:r>
            <w:r>
              <w:t xml:space="preserve">(Eq. 9 and L506 correct)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Fermi level lies within ~3 k_BT of the band edge</w:t>
            </w:r>
            <w:r>
              <w:t xml:space="preserve">”</w:t>
            </w:r>
            <w:r>
              <w:t xml:space="preserve"> </w:t>
            </w:r>
            <w:r>
              <w:t xml:space="preserve">(L180)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lies 3.03 k_BT inside the band [D]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φ_ETL = 4.422 eV (Table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4.4217 eV 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φ_CsPbBr₃ = 5.357 eV (Table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5.476 eV (N_A = 10¹⁶); 5.357 needs N_A ≈ 1×10¹⁴ [E]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φ_Co₃O₄ = 5.05 eV (Table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5.431 eV [E]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λ_g = 539 / 539.06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539.06 nm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S_n = 10⁵ → 10³ cm s⁻¹ (L196)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σv_thN_it = 1e5 / 1e3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(reuses bulk 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P_in = 1000 lx/LER (Table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match; INC 16.835 vs 16.846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f_use and Φ_useful (Table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internally consistent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f_useful AM1.5G = 20.6 % (L716)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24.52 % (Table 3 and ASTM G173) [H, 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(text)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J_sc,max AM1.5G = 8.953 mA cm⁻²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8.954 mA cm⁻² (ASTM G173) 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AM1.5G = 109.45 lm/W; ⟨E⟩ = 2.739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109.5 lm/W; 2.740 eV 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 LER = 5.94 lm/W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 2856 K: 16.4 (full), 156 (380–780 nm); BB 2400 K full: 6.2 [J]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Implausible / inconsistent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Halogen LER 121.11, f_use 10.73 %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2700 K BB truncated at 350–800 nm (132, 10.9 %) 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Implies truncated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&gt;85 % energy at λ &gt; 800 nm</w:t>
            </w:r>
            <w:r>
              <w:t xml:space="preserve">”</w:t>
            </w:r>
            <w:r>
              <w:t xml:space="preserve"> </w:t>
            </w:r>
            <w:r>
              <w:t xml:space="preserve">(L654–656)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85.7 % (2856 K, 300–2500 nm); 0 % within a 350–800 nm window 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f_use = 45.89 %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 LED-B1…B5: 19.5–46.8 % 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Cool-white only;</w:t>
            </w:r>
            <w:r>
              <w:t xml:space="preserve"> </w:t>
            </w:r>
            <w:r>
              <w:rPr>
                <w:bCs/>
                <w:b/>
              </w:rPr>
              <w:t xml:space="preserve">state 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200–1000 lx ≈ 10–100 µW cm⁻² (L76–78)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62–312 µW cm⁻² (paper’s own LED LER) [H]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lx ≈ 1 µW cm⁻² (L99–100)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62 µW cm⁻² [H]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(~60×)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PCE = J_scV_ocFF/P_in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rows consistent 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from</w:t>
            </w:r>
            <w:r>
              <w:t xml:space="preserve"> </w:t>
            </w:r>
            <w:r>
              <w:t xml:space="preserve">“</w:t>
            </w:r>
            <w:r>
              <w:t xml:space="preserve">self-consistent</w:t>
            </w:r>
            <w:r>
              <w:t xml:space="preserve">”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rows reproduced by Eq. 14 alone [C]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Lumped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indoor V_oc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J_sc·R_sh: 0.232/0.414/0.157/0.146 V 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resistor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J_sh(0.5 V) = 82.6 µA cm⁻² exceeds J_sc for LED, MH, halogen (L735–736)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82.6; also exceeds CFL (68.35) [C4]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Doped J_sh 0.83 µA cm⁻² (≤ 3.4 % of J_sc) (L744)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0.826; max 2.84 % of doped J_sc; 3.43 % only vs control J_sc [C4]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V/R_sh ≤ 2.6 % of J_sc</w:t>
            </w:r>
            <w:r>
              <w:t xml:space="preserve">”</w:t>
            </w:r>
            <w:r>
              <w:t xml:space="preserve"> </w:t>
            </w:r>
            <w:r>
              <w:t xml:space="preserve">(L550)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V_oc: control 3.02 %, doped 0.029 % [C4]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 gain 11.1–29.2× (L864)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 (CFL) … 29.3 (halogen) 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(rounding)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V_oc recovery up to 951 mV (halogen) (L863)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 V 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 0.29 → 1.29 %, +4.4× (L867–868)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4.42× 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8: control 5.67 % / 6.283 / 78.55 %; doped 1.316 V / 81.5 %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4: 5.69 / 6.293 / 0.787; 1.315 / 0.816 [M]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21 % J_sc increase</w:t>
            </w:r>
            <w:r>
              <w:t xml:space="preserve">”</w:t>
            </w:r>
            <w:r>
              <w:t xml:space="preserve"> </w:t>
            </w:r>
            <w:r>
              <w:t xml:space="preserve">(L937)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21.1 % 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but entirely from assumed EQE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R_rec = nV_T/J₀ at V_dc = 0 (Eq. 21) vs Table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4.88e13 / 2.71e15 vs 308 / 17,109 Ω cm² [F]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(~10¹¹)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R_rec ratio 55.5×</w:t>
            </w:r>
            <w:r>
              <w:t xml:space="preserve"> </w:t>
            </w:r>
            <w:r>
              <w:t xml:space="preserve">“</w:t>
            </w:r>
            <w:r>
              <w:t xml:space="preserve">independent confirmation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55.55 [F]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Tautological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τ_EIS = 54.6 / 402 µs; f₂ = 2917 / 396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 / 402.1 µs; 2919 / 396 Hz [F]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f₁/f₂ = 3.3 → 92</w:t>
            </w:r>
            <w:r>
              <w:t xml:space="preserve"> </w:t>
            </w:r>
            <w:r>
              <w:t xml:space="preserve">“</w:t>
            </w:r>
            <w:r>
              <w:t xml:space="preserve">in the Bode phase plot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/ 92.1 from −Z″ peaks; phase maxima at 33.5 kHz / 9.6 kHz [F]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C₁ = ε₀ε_r/d (ETL) = 175 nF cm⁻²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174.6 nF cm⁻²; absorber C_g = 11.5 nF cm⁻² [F]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OK;</w:t>
            </w:r>
            <w:r>
              <w:t xml:space="preserve"> </w:t>
            </w:r>
            <w:r>
              <w:rPr>
                <w:bCs/>
                <w:b/>
              </w:rPr>
              <w:t xml:space="preserve">physically wrong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C_μ 7.5-fold reduction</w:t>
            </w:r>
            <w:r>
              <w:t xml:space="preserve"> </w:t>
            </w:r>
            <w:r>
              <w:t xml:space="preserve">“</w:t>
            </w:r>
            <w:r>
              <w:t xml:space="preserve">consistent with</w:t>
            </w:r>
            <w:r>
              <w:t xml:space="preserve">”</w:t>
            </w:r>
            <w:r>
              <w:t xml:space="preserve"> </w:t>
            </w:r>
            <w:r>
              <w:t xml:space="preserve">100× N_it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7.53× [F]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irreducible ~1.8 %</w:t>
            </w:r>
            <w:r>
              <w:t xml:space="preserve">”</w:t>
            </w:r>
            <w:r>
              <w:t xml:space="preserve"> </w:t>
            </w:r>
            <w:r>
              <w:t xml:space="preserve">bulk floor (L691)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1/55.5; bulk share of doped J₀ = 45 % [G]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Misinterpreted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two-order-of-magnitude recovery of … recombination resistance</w:t>
            </w:r>
            <w:r>
              <w:t xml:space="preserve">”</w:t>
            </w:r>
            <w:r>
              <w:t xml:space="preserve"> </w:t>
            </w:r>
            <w:r>
              <w:t xml:space="preserve">(L1073)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55.5× = 1.74 decades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α(470 nm) = 1.8×10⁵ cm⁻¹ with A_Tauc = 6.7×10¹¹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1.48×10¹¹ cm⁻¹ [K]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12 J_sc = qG(L_n+L_p)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mA cm⁻² (L_n = 3.6 µm, L_p = 1.6 µm ≫ 500 nm) 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J₀ derivable from N_it, 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 SRH ≈ 4e-18; n = 1 interface ≈ 1e-32 A cm⁻² [O]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derivable; 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 [34] J_sc = 10.83 mA cm⁻²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× J_sc,max(2.30 eV) [L]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 [36] 8.20 × 1.71 × 0.81 → 11.23 %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11.36 % [L]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AM1.5G 16.5 %; CIE LED-B 13.0–30.8 % 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limit exceeded (if cool 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+14 % (L66–68)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21.1/18.5 = +14.1 %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(off-topic paragraph)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300-fold contrast (L674)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100/0.3119 = 321 [A]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EQE control = 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AM1.5G 6.293/8.953 = 0.7029; indoor 0.7040 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figure-table-and-equation-checklist"/>
    <w:p>
      <w:pPr>
        <w:pStyle w:val="Heading1"/>
      </w:pPr>
      <w:r>
        <w:t xml:space="preserve">4. Figure, table and equation checklist</w:t>
      </w:r>
    </w:p>
    <w:bookmarkStart w:id="37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says</w:t>
            </w:r>
            <w:r>
              <w:t xml:space="preserve"> </w:t>
            </w:r>
            <w:r>
              <w:t xml:space="preserve">“</w:t>
            </w:r>
            <w:r>
              <w:t xml:space="preserve">(a) 3D device structure, (b) layer structure and bending mechanics</w:t>
            </w:r>
            <w:r>
              <w:t xml:space="preserve">”</w:t>
            </w:r>
            <w:r>
              <w:t xml:space="preserve">, but panel (a) is the 2D layer stack and (b) is bending plus 3D.</w:t>
            </w:r>
            <w:r>
              <w:t xml:space="preserve"> </w:t>
            </w:r>
            <w:r>
              <w:t xml:space="preserve">“</w:t>
            </w:r>
            <w:r>
              <w:t xml:space="preserve">ETO</w:t>
            </w:r>
            <w:r>
              <w:t xml:space="preserve">”</w:t>
            </w:r>
            <w:r>
              <w:t xml:space="preserve"> </w:t>
            </w:r>
            <w:r>
              <w:t xml:space="preserve">label should be ITO.</w:t>
            </w:r>
            <w:r>
              <w:t xml:space="preserve"> </w:t>
            </w:r>
            <w:r>
              <w:t xml:space="preserve">“</w:t>
            </w:r>
            <w:r>
              <w:t xml:space="preserve">C(20 µm)</w:t>
            </w:r>
            <w:r>
              <w:t xml:space="preserve">”</w:t>
            </w:r>
            <w:r>
              <w:t xml:space="preserve"> </w:t>
            </w:r>
            <w:r>
              <w:t xml:space="preserve">for graphene paper is unexplained. Bending is drawn but never analysed.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caption order and labels; drop the bending panel or add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in floating text box (dropped by pandoc and many production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order contradicts §2.1/Fig. 1 (ITO-PET next to HTL, graphene next to ETL). LUMO/HOMO used for inorganic semiconductors (use CBM/VBM).</w:t>
            </w:r>
            <w:r>
              <w:t xml:space="preserve"> </w:t>
            </w:r>
            <w:r>
              <w:t xml:space="preserve">“</w:t>
            </w:r>
            <w:r>
              <w:t xml:space="preserve">Pr³⁺:SnO</w:t>
            </w:r>
            <w:r>
              <w:t xml:space="preserve">”</w:t>
            </w:r>
            <w:r>
              <w:t xml:space="preserve"> </w:t>
            </w:r>
            <w:r>
              <w:t xml:space="preserve">typo. CBM −3.3 vs χ = 3.35 eV. Decorative orbitals. Caption repeats the Pr passivation chemistry (F4).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Redraw as a clean band diagram with correct contacts; inline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normalisation basis not stated. INC curve not thermal-like (F/M9). Window 350–800 nm differs from the integration range. Lamp IDs/CCT missing. Coloured background lowers contrast.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lamp IDs/CCT and range; verify INC; white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is a Word field that renders as</w:t>
            </w:r>
            <w:r>
              <w:t xml:space="preserve"> </w:t>
            </w:r>
            <w:r>
              <w:t xml:space="preserve">“</w:t>
            </w:r>
            <w:r>
              <w:t xml:space="preserve">Figure .</w:t>
            </w:r>
            <w:r>
              <w:t xml:space="preserve">”</w:t>
            </w:r>
            <w:r>
              <w:t xml:space="preserve"> </w:t>
            </w:r>
            <w:r>
              <w:t xml:space="preserve">in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 figs; control CFL shown as</w:t>
            </w:r>
            <w:r>
              <w:t xml:space="preserve"> </w:t>
            </w:r>
            <w:r>
              <w:t xml:space="preserve">“</w:t>
            </w:r>
            <w:r>
              <w:t xml:space="preserve">1.29</w:t>
            </w:r>
            <w:r>
              <w:t xml:space="preserve">”</w:t>
            </w:r>
            <w:r>
              <w:t xml:space="preserve"> </w:t>
            </w:r>
            <w:r>
              <w:t xml:space="preserve">(1.295) identical to doped INC</w:t>
            </w:r>
            <w:r>
              <w:t xml:space="preserve"> </w:t>
            </w:r>
            <w:r>
              <w:t xml:space="preserve">“</w:t>
            </w:r>
            <w:r>
              <w:t xml:space="preserve">1.29</w:t>
            </w:r>
            <w:r>
              <w:t xml:space="preserve">”</w:t>
            </w:r>
            <w:r>
              <w:t xml:space="preserve">; no sensitivity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fields to text before submission; 3 s.f.; add β-sensitivity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  <w:r>
              <w:t xml:space="preserve"> </w:t>
            </w:r>
            <w:r>
              <w:t xml:space="preserve">“</w:t>
            </w:r>
            <w:r>
              <w:t xml:space="preserve">experimental shunt-resistance values</w:t>
            </w:r>
            <w:r>
              <w:t xml:space="preserve">”</w:t>
            </w:r>
            <w:r>
              <w:t xml:space="preserve"> </w:t>
            </w:r>
            <w:r>
              <w:t xml:space="preserve">is false. Undoped marker at ≈1.16 V sits on the J ≈ 7 mA cm⁻² contour of a map computed with</w:t>
            </w:r>
            <w:r>
              <w:t xml:space="preserve"> </w:t>
            </w:r>
            <w:r>
              <w:rPr>
                <w:bCs/>
                <w:b/>
              </w:rPr>
              <w:t xml:space="preserve">doped</w:t>
            </w:r>
            <w:r>
              <w:t xml:space="preserve"> </w:t>
            </w:r>
            <w:r>
              <w:t xml:space="preserve">J₀/J_sc (that map gives V_oc ≈ 1.31 V at R_sh = 6.05×10³).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“</w:t>
            </w:r>
            <w:r>
              <w:t xml:space="preserve">experimental</w:t>
            </w:r>
            <w:r>
              <w:t xml:space="preserve">”</w:t>
            </w:r>
            <w:r>
              <w:t xml:space="preserve">; compute a separate map per device or mark only the doped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in text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experimental device values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J₀ fixed from AM1.5G fit</w:t>
            </w:r>
            <w:r>
              <w:t xml:space="preserve">”</w:t>
            </w:r>
            <w:r>
              <w:t xml:space="preserve"> </w:t>
            </w:r>
            <w:r>
              <w:t xml:space="preserve">(fit to what?); control V_oc markers placed on doped-parameter maps;</w:t>
            </w:r>
            <w:r>
              <w:t xml:space="preserve"> </w:t>
            </w:r>
            <w:r>
              <w:t xml:space="preserve">“</w:t>
            </w:r>
            <w:r>
              <w:t xml:space="preserve">V_oc drop to floor</w:t>
            </w:r>
            <w:r>
              <w:t xml:space="preserve">”</w:t>
            </w:r>
            <w:r>
              <w:t xml:space="preserve"> </w:t>
            </w: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in text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Undoped dashed curves do not reach the Table 4 V_oc (M8 item 16); non-round y-ticks (43, 86, 128 …); inset halogen V_oc 1.096 vs 1.097;</w:t>
            </w:r>
            <w:r>
              <w:t xml:space="preserve"> </w:t>
            </w:r>
            <w:r>
              <w:t xml:space="preserve">“</w:t>
            </w:r>
            <w:r>
              <w:t xml:space="preserve">η</w:t>
            </w:r>
            <w:r>
              <w:t xml:space="preserve">”</w:t>
            </w:r>
            <w:r>
              <w:t xml:space="preserve"> </w:t>
            </w:r>
            <w:r>
              <w:t xml:space="preserve">used for PCE; floating</w:t>
            </w:r>
            <w:r>
              <w:t xml:space="preserve"> </w:t>
            </w:r>
            <w:r>
              <w:t xml:space="preserve">“</w:t>
            </w:r>
            <w:r>
              <w:t xml:space="preserve">MPP (Undoped)</w:t>
            </w:r>
            <w:r>
              <w:t xml:space="preserve">”</w:t>
            </w:r>
            <w:r>
              <w:t xml:space="preserve"> </w:t>
            </w: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from the Table 4 parameter set; round ticks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  <w:r>
              <w:t xml:space="preserve"> </w:t>
            </w:r>
            <w:r>
              <w:t xml:space="preserve">“</w:t>
            </w:r>
            <w:r>
              <w:t xml:space="preserve">Figure8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Inset values differ from Table 4 (5.67 vs 5.69 %, 6.283 vs 6.293, 78.55 vs 78.7 %, 1.316 vs 1.315 V, 81.5 vs 81.6 %); panel (a) missing x-axis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Regenerate; one set of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in text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low forward bias</w:t>
            </w:r>
            <w:r>
              <w:t xml:space="preserve">”</w:t>
            </w:r>
            <w:r>
              <w:t xml:space="preserve"> </w:t>
            </w:r>
            <w:r>
              <w:t xml:space="preserve">(caption) vs</w:t>
            </w:r>
            <w:r>
              <w:t xml:space="preserve"> </w:t>
            </w:r>
            <w:r>
              <w:t xml:space="preserve">“</w:t>
            </w:r>
            <w:r>
              <w:t xml:space="preserve">V_dc = 0 V</w:t>
            </w:r>
            <w:r>
              <w:t xml:space="preserve">”</w:t>
            </w:r>
            <w:r>
              <w:t xml:space="preserve"> </w:t>
            </w:r>
            <w:r>
              <w:t xml:space="preserve">(Table 5); legend</w:t>
            </w:r>
            <w:r>
              <w:t xml:space="preserve"> </w:t>
            </w:r>
            <w:r>
              <w:t xml:space="preserve">“</w:t>
            </w:r>
            <w:r>
              <w:t xml:space="preserve">N_t = 10¹³</w:t>
            </w:r>
            <w:r>
              <w:t xml:space="preserve">”</w:t>
            </w:r>
            <w:r>
              <w:t xml:space="preserve"> </w:t>
            </w:r>
            <w:r>
              <w:t xml:space="preserve">has no units and uses the bulk symbol (should be N_it, cm⁻²); inset</w:t>
            </w:r>
            <w:r>
              <w:t xml:space="preserve"> </w:t>
            </w:r>
            <w:r>
              <w:t xml:space="preserve">“</w:t>
            </w:r>
            <w:r>
              <w:t xml:space="preserve">55.5× smaller scale</w:t>
            </w:r>
            <w:r>
              <w:t xml:space="preserve">”</w:t>
            </w:r>
            <w:r>
              <w:t xml:space="preserve"> </w:t>
            </w:r>
            <w:r>
              <w:t xml:space="preserve">(axes differ ~40×); doped Nyquist shows one arc, not</w:t>
            </w:r>
            <w:r>
              <w:t xml:space="preserve"> </w:t>
            </w:r>
            <w:r>
              <w:t xml:space="preserve">“</w:t>
            </w:r>
            <w:r>
              <w:t xml:space="preserve">clearly resolved semicircles</w:t>
            </w:r>
            <w:r>
              <w:t xml:space="preserve">”</w:t>
            </w:r>
            <w:r>
              <w:t xml:space="preserve">; phase plot cannot show f₁/f₂ =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Re-plot −Z″ vs f; fix legend, units and bias; or delete with the EIS section</w:t>
            </w:r>
          </w:p>
        </w:tc>
      </w:tr>
    </w:tbl>
    <w:bookmarkEnd w:id="37"/>
    <w:bookmarkStart w:id="38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Material properties from literature</w:t>
            </w:r>
            <w:r>
              <w:t xml:space="preserve">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Cs/>
                <w:b/>
              </w:rPr>
              <w:t xml:space="preserve">no citations</w:t>
            </w:r>
            <w:r>
              <w:t xml:space="preserve">. N_D = 10¹⁹ attributed to Pr (F4). φ for CsPbBr₃ and Co₃O₄ not reproducible. α(470) vs Tauc constant inconsistent. Bulk N_t in ETL/HTL not used by the single-diode model. Formatting (</w:t>
            </w:r>
            <w:r>
              <w:t xml:space="preserve">“</w:t>
            </w:r>
            <w:r>
              <w:t xml:space="preserve">Brad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cm²/V.s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t xml:space="preserve">“</w:t>
            </w:r>
            <w:r>
              <w:t xml:space="preserve">Ref.</w:t>
            </w:r>
            <w:r>
              <w:t xml:space="preserve">”</w:t>
            </w:r>
            <w:r>
              <w:t xml:space="preserve"> </w:t>
            </w:r>
            <w:r>
              <w:t xml:space="preserve">column; fix φ; state which parameters actually enter the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N_it without energy distribution or σ; S_n uses bulk σ; EQE, J₀ and R_sh are inputs but not labelled as such;</w:t>
            </w:r>
            <w:r>
              <w:t xml:space="preserve"> </w:t>
            </w:r>
            <w:r>
              <w:t xml:space="preserve">“</w:t>
            </w:r>
            <w:r>
              <w:t xml:space="preserve">Surf-recomb-velocity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t xml:space="preserve">“</w:t>
            </w:r>
            <w:r>
              <w:t xml:space="preserve">Source / assumption</w:t>
            </w:r>
            <w:r>
              <w:t xml:space="preserve">”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 row questionable (M9); lamp IDs/CCT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lamp ID, CCT, integration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Word file the caption is correctly placed; the misplacement in the extraction (</w:t>
            </w:r>
            <w:r>
              <w:t xml:space="preserve">“</w:t>
            </w:r>
            <w:r>
              <w:t xml:space="preserve">Table 4</w:t>
            </w:r>
            <w:r>
              <w:t xml:space="preserve">”</w:t>
            </w:r>
            <w:r>
              <w:t xml:space="preserve"> </w:t>
            </w:r>
            <w:r>
              <w:t xml:space="preserve">caption under Table 1, L288) is a pandoc artefact. Problems: experimental literature rows and simulated</w:t>
            </w:r>
            <w:r>
              <w:t xml:space="preserve"> </w:t>
            </w:r>
            <w:r>
              <w:t xml:space="preserve">“</w:t>
            </w:r>
            <w:r>
              <w:t xml:space="preserve">this work</w:t>
            </w:r>
            <w:r>
              <w:t xml:space="preserve">”</w:t>
            </w:r>
            <w:r>
              <w:t xml:space="preserve"> </w:t>
            </w:r>
            <w:r>
              <w:t xml:space="preserve">rows mixed without a</w:t>
            </w:r>
            <w:r>
              <w:t xml:space="preserve"> </w:t>
            </w:r>
            <w:r>
              <w:t xml:space="preserve">“</w:t>
            </w:r>
            <w:r>
              <w:t xml:space="preserve">Simulated</w:t>
            </w:r>
            <w:r>
              <w:t xml:space="preserve">”</w:t>
            </w:r>
            <w:r>
              <w:t xml:space="preserve"> </w:t>
            </w:r>
            <w:r>
              <w:t xml:space="preserve">label; Tong J_sc &gt; J_sc,max; Li row</w:t>
            </w:r>
            <w:r>
              <w:t xml:space="preserve"> </w:t>
            </w:r>
            <w:r>
              <w:t xml:space="preserve">“</w:t>
            </w:r>
            <w:r>
              <w:t xml:space="preserve">c-SnO₂</w:t>
            </w:r>
            <w:r>
              <w:t xml:space="preserve">”</w:t>
            </w:r>
            <w:r>
              <w:t xml:space="preserve"> </w:t>
            </w:r>
            <w:r>
              <w:t xml:space="preserve">vs text</w:t>
            </w:r>
            <w:r>
              <w:t xml:space="preserve"> </w:t>
            </w:r>
            <w:r>
              <w:t xml:space="preserve">“</w:t>
            </w:r>
            <w:r>
              <w:t xml:space="preserve">c-TiO₂</w:t>
            </w:r>
            <w:r>
              <w:t xml:space="preserve">”</w:t>
            </w:r>
            <w:r>
              <w:t xml:space="preserve">; Patel</w:t>
            </w:r>
            <w:r>
              <w:t xml:space="preserve"> </w:t>
            </w:r>
            <w:r>
              <w:t xml:space="preserve">“</w:t>
            </w:r>
            <w:r>
              <w:t xml:space="preserve">4.97, 8.08</w:t>
            </w:r>
            <w:r>
              <w:t xml:space="preserve">”</w:t>
            </w:r>
            <w:r>
              <w:t xml:space="preserve"> </w:t>
            </w:r>
            <w:r>
              <w:t xml:space="preserve">(experimental and simulated in one cell); DPP vs DPPP; mixed sig 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Table 4a (literature, experimental) and 4b (this work, simulated); verify every literature row against the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R_rec inconsistent with Eq. 21;</w:t>
            </w:r>
            <w:r>
              <w:t xml:space="preserve"> </w:t>
            </w:r>
            <w:r>
              <w:t xml:space="preserve">“</w:t>
            </w:r>
            <w:r>
              <w:t xml:space="preserve">extracted</w:t>
            </w:r>
            <w:r>
              <w:t xml:space="preserve">”</w:t>
            </w:r>
            <w:r>
              <w:t xml:space="preserve"> </w:t>
            </w:r>
            <w:r>
              <w:t xml:space="preserve">values are assumed; C₁ assigned to a conducting ETL; unit formatting inconsistent (</w:t>
            </w:r>
            <w:r>
              <w:t xml:space="preserve">“</w:t>
            </w:r>
            <w:r>
              <w:t xml:space="preserve">10 Ω.cm²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10 (Ω.cm²)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or delete (F5)</w:t>
            </w:r>
          </w:p>
        </w:tc>
      </w:tr>
    </w:tbl>
    <w:bookmarkEnd w:id="38"/>
    <w:bookmarkStart w:id="39" w:name="equations"/>
    <w:p>
      <w:pPr>
        <w:pStyle w:val="Heading2"/>
      </w:pPr>
      <w:r>
        <w:t xml:space="preserve">Equations</w:t>
      </w:r>
    </w:p>
    <w:p>
      <w:pPr>
        <w:numPr>
          <w:ilvl w:val="0"/>
          <w:numId w:val="1039"/>
        </w:numPr>
        <w:pStyle w:val="Compact"/>
      </w:pPr>
      <w:r>
        <w:t xml:space="preserve">Eq. 1: an assumption that needs justification or a citation (F3).</w:t>
      </w:r>
    </w:p>
    <w:p>
      <w:pPr>
        <w:numPr>
          <w:ilvl w:val="0"/>
          <w:numId w:val="1039"/>
        </w:numPr>
        <w:pStyle w:val="Compact"/>
      </w:pPr>
      <w:r>
        <w:t xml:space="preserve">Eqs. 2–5, 8, 10, 14–21: form acceptable.</w:t>
      </w:r>
    </w:p>
    <w:p>
      <w:pPr>
        <w:numPr>
          <w:ilvl w:val="0"/>
          <w:numId w:val="1039"/>
        </w:numPr>
        <w:pStyle w:val="Compact"/>
      </w:pPr>
      <w:r>
        <w:t xml:space="preserve">Eq. 6: sign error.</w:t>
      </w:r>
    </w:p>
    <w:p>
      <w:pPr>
        <w:numPr>
          <w:ilvl w:val="0"/>
          <w:numId w:val="1039"/>
        </w:numPr>
        <w:pStyle w:val="Compact"/>
      </w:pPr>
      <w:r>
        <w:t xml:space="preserve">Eq. 7: inverted.</w:t>
      </w:r>
    </w:p>
    <w:p>
      <w:pPr>
        <w:numPr>
          <w:ilvl w:val="0"/>
          <w:numId w:val="1039"/>
        </w:numPr>
        <w:pStyle w:val="Compact"/>
      </w:pPr>
      <w:r>
        <w:t xml:space="preserve">F_−1/2: undefined.</w:t>
      </w:r>
    </w:p>
    <w:p>
      <w:pPr>
        <w:numPr>
          <w:ilvl w:val="0"/>
          <w:numId w:val="1039"/>
        </w:numPr>
        <w:pStyle w:val="Compact"/>
      </w:pPr>
      <w:r>
        <w:t xml:space="preserve">η_p: wrong sign.</w:t>
      </w:r>
    </w:p>
    <w:p>
      <w:pPr>
        <w:numPr>
          <w:ilvl w:val="0"/>
          <w:numId w:val="1039"/>
        </w:numPr>
        <w:pStyle w:val="Compact"/>
      </w:pPr>
      <w:r>
        <w:t xml:space="preserve">Eq. 11: constant wrong.</w:t>
      </w:r>
    </w:p>
    <w:p>
      <w:pPr>
        <w:numPr>
          <w:ilvl w:val="0"/>
          <w:numId w:val="1039"/>
        </w:numPr>
        <w:pStyle w:val="Compact"/>
      </w:pPr>
      <w:r>
        <w:t xml:space="preserve">Eq. 12: not applicable.</w:t>
      </w:r>
    </w:p>
    <w:p>
      <w:pPr>
        <w:numPr>
          <w:ilvl w:val="0"/>
          <w:numId w:val="1039"/>
        </w:numPr>
        <w:pStyle w:val="Compact"/>
      </w:pPr>
      <w:r>
        <w:t xml:space="preserve">Eq. 13: plain text.</w:t>
      </w:r>
    </w:p>
    <w:p>
      <w:pPr>
        <w:numPr>
          <w:ilvl w:val="0"/>
          <w:numId w:val="1039"/>
        </w:numPr>
        <w:pStyle w:val="Compact"/>
      </w:pPr>
      <w:r>
        <w:t xml:space="preserve">Eq. 9: sits inside a heading.</w:t>
      </w:r>
    </w:p>
    <w:p>
      <w:pPr>
        <w:numPr>
          <w:ilvl w:val="0"/>
          <w:numId w:val="1039"/>
        </w:numPr>
        <w:pStyle w:val="Compact"/>
      </w:pPr>
      <w:r>
        <w:t xml:space="preserve">Cross-references to Eqs. (1)–(5), (6), (11), (13) and (19) are wrong (table in F6).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ference-checklist"/>
    <w:p>
      <w:pPr>
        <w:pStyle w:val="Heading1"/>
      </w:pPr>
      <w:r>
        <w:t xml:space="preserve">5. Reference checklist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Count and order.</w:t>
      </w:r>
      <w:r>
        <w:t xml:space="preserve"> </w:t>
      </w:r>
      <w:r>
        <w:t xml:space="preserve">41 references, all cited, in order of first appearance ([1]–[37], then [34]–[37] re-cited, then [38]–[41]). Numbering is self-consistent.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Style.</w:t>
      </w:r>
      <w:r>
        <w:t xml:space="preserve"> </w:t>
      </w:r>
      <w:r>
        <w:t xml:space="preserve">Mostly IEEE, but with inconsistencies:</w:t>
      </w:r>
    </w:p>
    <w:p>
      <w:pPr>
        <w:numPr>
          <w:ilvl w:val="1"/>
          <w:numId w:val="1041"/>
        </w:numPr>
        <w:pStyle w:val="Compact"/>
      </w:pPr>
      <w:r>
        <w:t xml:space="preserve">full journal names vs abbreviations (</w:t>
      </w:r>
      <w:r>
        <w:t xml:space="preserve">“</w:t>
      </w:r>
      <w:r>
        <w:t xml:space="preserve">Journal of Physical Chemistry C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J. Phys. Chem. C</w:t>
      </w:r>
      <w:r>
        <w:t xml:space="preserve">”</w:t>
      </w:r>
      <w:r>
        <w:t xml:space="preserve">);</w:t>
      </w:r>
    </w:p>
    <w:p>
      <w:pPr>
        <w:numPr>
          <w:ilvl w:val="1"/>
          <w:numId w:val="1041"/>
        </w:numPr>
        <w:pStyle w:val="Compact"/>
      </w:pPr>
      <w:r>
        <w:t xml:space="preserve">some entries lack volume, issue or pages ([21], [22], [31], [33], [41]);</w:t>
      </w:r>
    </w:p>
    <w:p>
      <w:pPr>
        <w:numPr>
          <w:ilvl w:val="1"/>
          <w:numId w:val="1041"/>
        </w:numPr>
        <w:pStyle w:val="Compact"/>
      </w:pPr>
      <w:r>
        <w:t xml:space="preserve">two use a Zotero web-style format ([22]</w:t>
      </w:r>
      <w:r>
        <w:t xml:space="preserve"> </w:t>
      </w:r>
      <w:r>
        <w:t xml:space="preserve">“</w:t>
      </w:r>
      <w:r>
        <w:t xml:space="preserve">Oct. 15, 2015,</w:t>
      </w:r>
      <w:r>
        <w:t xml:space="preserve"> </w:t>
      </w:r>
      <w:r>
        <w:rPr>
          <w:iCs/>
          <w:i/>
        </w:rPr>
        <w:t xml:space="preserve">American Chemical Society</w:t>
      </w:r>
      <w:r>
        <w:t xml:space="preserve">”</w:t>
      </w:r>
      <w:r>
        <w:t xml:space="preserve">; [41]</w:t>
      </w:r>
      <w:r>
        <w:t xml:space="preserve"> </w:t>
      </w:r>
      <w:r>
        <w:t xml:space="preserve">“</w:t>
      </w:r>
      <w:r>
        <w:t xml:space="preserve">May 28, 2011. doi: …</w:t>
      </w:r>
      <w:r>
        <w:t xml:space="preserve">”</w:t>
      </w:r>
      <w:r>
        <w:t xml:space="preserve"> </w:t>
      </w:r>
      <w:r>
        <w:t xml:space="preserve">with no journal);</w:t>
      </w:r>
    </w:p>
    <w:p>
      <w:pPr>
        <w:numPr>
          <w:ilvl w:val="1"/>
          <w:numId w:val="1041"/>
        </w:numPr>
        <w:pStyle w:val="Compact"/>
      </w:pPr>
      <w:r>
        <w:t xml:space="preserve">[8] begins with a stray</w:t>
      </w:r>
      <w:r>
        <w:t xml:space="preserve"> </w:t>
      </w:r>
      <w:r>
        <w:t xml:space="preserve">“</w:t>
      </w:r>
      <w:r>
        <w:t xml:space="preserve">[1]</w:t>
      </w:r>
      <w:r>
        <w:t xml:space="preserve">”</w:t>
      </w:r>
      <w:r>
        <w:t xml:space="preserve">;</w:t>
      </w:r>
    </w:p>
    <w:p>
      <w:pPr>
        <w:numPr>
          <w:ilvl w:val="1"/>
          <w:numId w:val="1041"/>
        </w:numPr>
        <w:pStyle w:val="Compact"/>
      </w:pPr>
      <w:r>
        <w:t xml:space="preserve">[35] has</w:t>
      </w:r>
      <w:r>
        <w:t xml:space="preserve"> </w:t>
      </w:r>
      <w:r>
        <w:t xml:space="preserve">“</w:t>
      </w:r>
      <w:r>
        <w:t xml:space="preserve">CsPbBr</w:t>
      </w:r>
      <w:r>
        <w:t xml:space="preserve"> </w:t>
      </w:r>
      <w:r>
        <w:rPr>
          <w:vertAlign w:val="subscript"/>
        </w:rPr>
        <w:t xml:space="preserve">3</w:t>
      </w:r>
      <w:r>
        <w:t xml:space="preserve">”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Verification limits.</w:t>
      </w:r>
      <w:r>
        <w:t xml:space="preserve"> </w:t>
      </w:r>
      <w:r>
        <w:t xml:space="preserve">Crossref was blocked in this environment. Items marked</w:t>
      </w:r>
      <w:r>
        <w:t xml:space="preserve"> </w:t>
      </w:r>
      <w:r>
        <w:t xml:space="preserve">“</w:t>
      </w:r>
      <w:r>
        <w:t xml:space="preserve">web-verified</w:t>
      </w:r>
      <w:r>
        <w:t xml:space="preserve">”</w:t>
      </w:r>
      <w:r>
        <w:t xml:space="preserve"> </w:t>
      </w:r>
      <w:r>
        <w:t xml:space="preserve">were confirmed by search-engine metadata; all others need a DOI check by the author before submission.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 IoT Analytics 2025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growth; 39 billion by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literature; surrounding paragraph on</w:t>
            </w:r>
            <w:r>
              <w:t xml:space="preserve"> </w:t>
            </w:r>
            <w:r>
              <w:t xml:space="preserve">“</w:t>
            </w:r>
            <w:r>
              <w:t xml:space="preserve">security frameworks</w:t>
            </w:r>
            <w:r>
              <w:t xml:space="preserve">”</w:t>
            </w:r>
            <w:r>
              <w:t xml:space="preserve"> </w:t>
            </w:r>
            <w:r>
              <w:t xml:space="preserve">is off-topic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one sentence on device counts; delete the security text; verify the</w:t>
            </w:r>
            <w:r>
              <w:t xml:space="preserve"> </w:t>
            </w:r>
            <w:r>
              <w:t xml:space="preserve">“</w:t>
            </w:r>
            <w:r>
              <w:t xml:space="preserve">39 billion by 2030</w:t>
            </w:r>
            <w:r>
              <w:t xml:space="preserve">”</w:t>
            </w:r>
            <w:r>
              <w:t xml:space="preserve"> </w:t>
            </w:r>
            <w:r>
              <w:t xml:space="preserve">figure is in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[2] Pecunia et al., Adv. Energy Mater.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Indoor irradiance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number</w:t>
            </w:r>
            <w:r>
              <w:t xml:space="preserve"> </w:t>
            </w:r>
            <w:r>
              <w:t xml:space="preserve">“</w:t>
            </w:r>
            <w:r>
              <w:t xml:space="preserve">no. 20</w:t>
            </w:r>
            <w:r>
              <w:t xml:space="preserve">”</w:t>
            </w:r>
            <w:r>
              <w:t xml:space="preserve"> </w:t>
            </w: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issue and article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 Zhang et al., iScience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Indoor irradiance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and article number 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 Righini &amp; Enrichi (book chapter)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c-Si indoor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[5] Reich et al., SOLMAT 2009; [6] Reynaud et al., SOLMAT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Low-light c-Si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[7] Tan et al., ACS AMI 2024 (CsPbBr₃ single-crystal films)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trap densities as low as ~10¹¹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Single-crystal trap densities are usually</w:t>
            </w:r>
            <w:r>
              <w:t xml:space="preserve"> </w:t>
            </w:r>
            <w:r>
              <w:rPr>
                <w:iCs/>
                <w:i/>
              </w:rPr>
              <w:t xml:space="preserve">volumetric</w:t>
            </w:r>
            <w:r>
              <w:t xml:space="preserve"> </w:t>
            </w:r>
            <w:r>
              <w:t xml:space="preserve">(cm⁻³); the text compares them with</w:t>
            </w:r>
            <w:r>
              <w:t xml:space="preserve"> </w:t>
            </w:r>
            <w:r>
              <w:rPr>
                <w:iCs/>
                <w:i/>
              </w:rPr>
              <w:t xml:space="preserve">areal</w:t>
            </w:r>
            <w:r>
              <w:t xml:space="preserve"> </w:t>
            </w:r>
            <w:r>
              <w:t xml:space="preserve">interface densities (cm⁻²)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units; do not mix cm⁻³ and cm⁻²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 Gupta et al., ACS AMI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interface trap densities up to 10¹³ … at tin-oxide interfaces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Stray</w:t>
            </w:r>
            <w:r>
              <w:t xml:space="preserve"> </w:t>
            </w:r>
            <w:r>
              <w:t xml:space="preserve">“</w:t>
            </w:r>
            <w:r>
              <w:t xml:space="preserve">[1]</w:t>
            </w:r>
            <w:r>
              <w:t xml:space="preserve">”</w:t>
            </w:r>
            <w:r>
              <w:t xml:space="preserve">; concerns GeSnO₂/GeO₂ on GeSn (MOS), not SnO₂/perovskite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a perovskite/SnO₂ interface source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[9] Trani et al., PRB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 formation energy 3.42 eV; surface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not verified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3.42 eV value and conditions (O-rich/poor) in 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[10] Wang et al., Small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SnO₂ defects increase recombination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[11] Adam et al., ACS AMI 2025 (K-salt)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RbCl/SnO₂ CsPbBr₃ 7.88 → 10.04 %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Mismatch: these numbers are Xie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[11] only for K-salt passivation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[12] Xie et al.,</w:t>
            </w:r>
            <w:r>
              <w:t xml:space="preserve"> </w:t>
            </w:r>
            <w:r>
              <w:t xml:space="preserve">“</w:t>
            </w:r>
            <w:r>
              <w:t xml:space="preserve">Supporting Information …</w:t>
            </w:r>
            <w:r>
              <w:t xml:space="preserve">”</w:t>
            </w:r>
            <w:r>
              <w:t xml:space="preserve">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 the SI only, without journal or DOI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Web-verified replacement:</w:t>
            </w:r>
            <w:r>
              <w:t xml:space="preserve"> </w:t>
            </w:r>
            <w:r>
              <w:t xml:space="preserve">G. Xie</w:t>
            </w:r>
            <w:r>
              <w:t xml:space="preserve"> </w:t>
            </w:r>
            <w:r>
              <w:rPr>
                <w:iCs/>
                <w:i/>
              </w:rPr>
              <w:t xml:space="preserve">et al.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Alkali chloride doped SnO₂ electron-transporting layer for boosting charge transfer and passivating defects in all-inorganic CsPbBr₃ perovskite solar cells,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J. Mater. Chem. A</w:t>
            </w:r>
            <w:r>
              <w:t xml:space="preserve">, vol. 9, pp. 15003–15011, 2021, doi: 10.1039/D1TA02672K (author to confirm DOI on the RSC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[13] Thorat et al., JPCC 2014; [14] Kiisk et al., Mater. Chem. Phys.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Eu-doped oxides; Nb codoping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Relevant, but support the</w:t>
            </w:r>
            <w:r>
              <w:t xml:space="preserve"> </w:t>
            </w:r>
            <w:r>
              <w:rPr>
                <w:iCs/>
                <w:i/>
              </w:rPr>
              <w:t xml:space="preserve">opposite</w:t>
            </w:r>
            <w:r>
              <w:t xml:space="preserve"> </w:t>
            </w:r>
            <w:r>
              <w:t xml:space="preserve">of the Pr premise (trivalent → more V_O)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and discuss honestly (F4)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[15] Ullah et al., Mater. Adv. 2021 (CsPbBr₃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at the end of the Eu/Nb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the CsPbBr₃ introduction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[16] Sze, Li &amp; Ng, 4th ed. 2021; [24] Sze &amp; Ng, 3rd ed. 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Poisson; Newton–Raphson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editions of the same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4th edition only; cite a numerical-methods source for Newton–Raphson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[17] Basore, IEEE TED 1990 (PC-1D)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historical citation; a perovskite DD reference would be better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[18] Sze &amp; Lee, 2012; [19] Marshak &amp; Assaf, Solid-State Electron. 1973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Generalised Einstein relation [18]; standard relation 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Apparently swapped: [19] is titled</w:t>
            </w:r>
            <w:r>
              <w:t xml:space="preserve"> </w:t>
            </w:r>
            <w:r>
              <w:t xml:space="preserve">“</w:t>
            </w:r>
            <w:r>
              <w:t xml:space="preserve">A generalized Einstein relation for semiconductors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[19] for the generalised 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[20] Karmokov et al.,</w:t>
            </w:r>
            <w:r>
              <w:t xml:space="preserve"> </w:t>
            </w:r>
            <w:r>
              <w:t xml:space="preserve">“</w:t>
            </w:r>
            <w:r>
              <w:t xml:space="preserve">Appl. Phys.</w:t>
            </w:r>
            <w:r>
              <w:t xml:space="preserve">”</w:t>
            </w:r>
            <w:r>
              <w:t xml:space="preserve"> </w:t>
            </w:r>
            <w:r>
              <w:t xml:space="preserve">2025 (Prikladnaya Fizika)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G(x)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source for a textbook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[16] or a textbook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[21] Shahivandi, Results Phys. 2025 (MAPbI₃)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CsPbBr₃ Tauc 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CsPbBr₃ absorption source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[22] Hodes &amp; Kamat, JPCL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vol. 6, pages (verify)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[23] Sherkar et al., ACS Energy Lett.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J_sc determined by weighted spectral photon flux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Mismatch: the paper is about recombination at grain boundaries and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for interface recombination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[25] Ghani et al., Renew. Energy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single-diode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[26] LSPDD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 spectra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Fine; give lamp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[27] Aktary et al., RSC Adv. 2022 (DFT of CsPbX₃)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J_sc,max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a detailed-balance or indoor-PV methods source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[28] Borah et al., Solar Energy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[29] Zhang et al., Commun. Chem.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E_g of CsPbBr₃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Art. no. 1265</w:t>
            </w:r>
            <w:r>
              <w:t xml:space="preserve">”</w:t>
            </w:r>
            <w:r>
              <w:t xml:space="preserve"> </w:t>
            </w:r>
            <w:r>
              <w:t xml:space="preserve">equals the DOI suffix (…01265-5); probably not the article number. Pressure study, a weak source for ambient E_g.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article number; use an ambient-pressure E_g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[30] Caicedo-Dávila et al., JPCC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Hot-carrier thermalisation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[31] Lei et al., Small 2024 (Pd-doped Cs₂AgBiBr₆); [32] Otmani et al., J. Ovonic Res. 2025; [33] Ullah et al., Chem. Eng. Sci. 2026 (Pr-doped Cs₂AgBiBr₆)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TRPL and EIS measurements validate that this Pr³⁺-based passivation strategy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Misused:</w:t>
            </w:r>
            <w:r>
              <w:t xml:space="preserve"> </w:t>
            </w:r>
            <w:r>
              <w:t xml:space="preserve">none concerns Pr:SnO₂ ETLs; [31] is Pd, not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validation claim; cite [33] only as absorber-side Pr doping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[34] Tong et al., Nano Energy 2019 (web-verified: title, journal, vol. 65, 104015)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10.91 %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J_sc = 10.83 mA cm⁻² exceeds the E_g = 2.30 eV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Re-extract J_sc, V_oc, FF from the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[35] Li et al., ACS AMI 2019 (web-verified: title, journal,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says</w:t>
            </w:r>
            <w:r>
              <w:t xml:space="preserve"> </w:t>
            </w:r>
            <w:r>
              <w:t xml:space="preserve">“</w:t>
            </w:r>
            <w:r>
              <w:t xml:space="preserve">c-TiO₂</w:t>
            </w:r>
            <w:r>
              <w:t xml:space="preserve">”</w:t>
            </w:r>
            <w:r>
              <w:t xml:space="preserve">, table says</w:t>
            </w:r>
            <w:r>
              <w:t xml:space="preserve"> </w:t>
            </w:r>
            <w:r>
              <w:t xml:space="preserve">“</w:t>
            </w:r>
            <w:r>
              <w:t xml:space="preserve">c-SnO₂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8.16 % (Our SiO2-based ETL) for their reference device</w:t>
            </w:r>
            <w:r>
              <w:t xml:space="preserve">”</w:t>
            </w:r>
            <w:r>
              <w:t xml:space="preserve"> </w:t>
            </w:r>
            <w:r>
              <w:t xml:space="preserve">is garbled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 the source and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[36] Teng et al., J. Mater. Chem. A 2025, 13, 21493–21500 (web-verified)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11.23 %, V_oc 1.707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attributes it to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Zhang</w:t>
            </w:r>
            <w:r>
              <w:t xml:space="preserve"> </w:t>
            </w:r>
            <w:r>
              <w:t xml:space="preserve">et al.</w:t>
            </w:r>
            <w:r>
              <w:t xml:space="preserve">”</w:t>
            </w:r>
            <w:r>
              <w:t xml:space="preserve">; additive family is diphenylphosphines (DPP), optimal 1,3-bis(diphenylphosphino)propane (DPPP)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  <w:r>
              <w:t xml:space="preserve"> </w:t>
            </w:r>
            <w:r>
              <w:t xml:space="preserve">“</w:t>
            </w:r>
            <w:r>
              <w:t xml:space="preserve">Teng et al.</w:t>
            </w:r>
            <w:r>
              <w:t xml:space="preserve">”</w:t>
            </w:r>
            <w:r>
              <w:t xml:space="preserve">; harmonise DPP/DPPP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[37] Patel et al., ACS AEM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4.97 % / simulated 8.08 %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[38] Sun et al., J. Solid State Chem.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in triple-cation absorber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[39] Guerrero et al., JPCC 2016; [40] Bisquert, PCCP 2003; [41] Fabregat-Santiago et al., PCCP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[39] month (</w:t>
            </w:r>
            <w:r>
              <w:t xml:space="preserve">“</w:t>
            </w:r>
            <w:r>
              <w:t xml:space="preserve">May</w:t>
            </w:r>
            <w:r>
              <w:t xml:space="preserve">”</w:t>
            </w:r>
            <w:r>
              <w:t xml:space="preserve">) likely wrong; [41] missing journal, volume,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 015:2018 (K_m = 683 lm/W)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in text, absent from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 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parameters (ε_r, χ, N_C, N_V, μ, B_rad, Auger, σ, Co₃O₄ 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each, e.g. a SCAPS parameter source for SnO₂ and CsPbBr₃</w:t>
            </w:r>
            <w:r>
              <w:t xml:space="preserve"> </w:t>
            </w:r>
            <w:r>
              <w:rPr>
                <w:bCs/>
                <w:b/>
              </w:rPr>
              <w:t xml:space="preserve">[NEEDS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 DFT 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cited although the title invokes 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as</w:t>
            </w:r>
            <w:r>
              <w:t xml:space="preserve"> </w:t>
            </w:r>
            <w:r>
              <w:t xml:space="preserve">“</w:t>
            </w:r>
            <w:r>
              <w:t xml:space="preserve">submitted</w:t>
            </w:r>
            <w:r>
              <w:t xml:space="preserve">”</w:t>
            </w:r>
            <w:r>
              <w:t xml:space="preserve"> </w:t>
            </w:r>
            <w:r>
              <w:t xml:space="preserve">or a preprint and disclose to the editor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eaa5ec152f66b4278b51674f388305faf0bfc96"/>
    <w:p>
      <w:pPr>
        <w:pStyle w:val="Heading1"/>
      </w:pPr>
      <w:r>
        <w:t xml:space="preserve">6. Cross-paper consistency with the DFT companion</w:t>
      </w:r>
    </w:p>
    <w:p>
      <w:pPr>
        <w:pStyle w:val="FirstParagraph"/>
      </w:pPr>
      <w:r>
        <w:t xml:space="preserve">The companion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Oxygen-Vacancy Energetics and Dopant-Induced Holes in Pr- and Rb-Substituted Anatase TiO₂: A DFT+U Comparison</w:t>
      </w:r>
      <w:r>
        <w:rPr>
          <w:iCs/>
          <w:i/>
        </w:rPr>
        <w:t xml:space="preserve">”</w:t>
      </w:r>
      <w:r>
        <w:t xml:space="preserve"> </w:t>
      </w:r>
      <w:r>
        <w:t xml:space="preserve">(manuscript v4, this repository).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and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SnO₂ ETL (rutile-type)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Anatase TiO₂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numbers cannot parameterise a SnO₂ device. Either (a) present the TiO₂ results only as a qualitative analogue, or (b) switch the device ETL to compact TiO₂ (common in CsPbBr₃ cells) so both papers share a host, or (c) compute Pr/Rb in SnO₂.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Pr on V_O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Pr³⁺ passivates oxygen vacancies</w:t>
            </w:r>
            <w:r>
              <w:t xml:space="preserve">”</w:t>
            </w:r>
            <w:r>
              <w:t xml:space="preserve">, N_it 10¹³ → 10¹¹ cm⁻²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 formation energy</w:t>
            </w:r>
            <w:r>
              <w:t xml:space="preserve"> </w:t>
            </w:r>
            <w:r>
              <w:rPr>
                <w:bCs/>
                <w:b/>
              </w:rPr>
              <w:t xml:space="preserve">falls</w:t>
            </w:r>
            <w:r>
              <w:t xml:space="preserve"> </w:t>
            </w:r>
            <w:r>
              <w:t xml:space="preserve">from +4.74 eV (pristine) to</w:t>
            </w:r>
            <w:r>
              <w:t xml:space="preserve"> </w:t>
            </w:r>
            <w:r>
              <w:rPr>
                <w:bCs/>
                <w:b/>
              </w:rPr>
              <w:t xml:space="preserve">+1.29 eV</w:t>
            </w:r>
            <w:r>
              <w:t xml:space="preserve"> </w:t>
            </w:r>
            <w:r>
              <w:t xml:space="preserve">(Pr): Pr makes V_O</w:t>
            </w:r>
            <w:r>
              <w:t xml:space="preserve"> </w:t>
            </w:r>
            <w:r>
              <w:rPr>
                <w:iCs/>
                <w:i/>
              </w:rPr>
              <w:t xml:space="preserve">easier</w:t>
            </w:r>
            <w:r>
              <w:t xml:space="preserve"> </w:t>
            </w:r>
            <w:r>
              <w:t xml:space="preserve">to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contradiction.</w:t>
            </w:r>
            <w:r>
              <w:t xml:space="preserve"> </w:t>
            </w:r>
            <w:r>
              <w:t xml:space="preserve">Pr can at most</w:t>
            </w:r>
            <w:r>
              <w:t xml:space="preserve"> </w:t>
            </w:r>
            <w:r>
              <w:t xml:space="preserve">“</w:t>
            </w:r>
            <w:r>
              <w:t xml:space="preserve">passivate</w:t>
            </w:r>
            <w:r>
              <w:t xml:space="preserve">”</w:t>
            </w:r>
            <w:r>
              <w:t xml:space="preserve"> </w:t>
            </w:r>
            <w:r>
              <w:t xml:space="preserve">in the sense of forming electronically benign Pr–V_O complexes, which the device paper must argue explicitly and which implies</w:t>
            </w:r>
            <w:r>
              <w:t xml:space="preserve"> </w:t>
            </w:r>
            <w:r>
              <w:rPr>
                <w:iCs/>
                <w:i/>
              </w:rPr>
              <w:t xml:space="preserve">more</w:t>
            </w:r>
            <w:r>
              <w:t xml:space="preserve"> </w:t>
            </w:r>
            <w:r>
              <w:t xml:space="preserve">vacancies, not fewer.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Pr³⁺ at Sn⁴⁺ sites supply an excess electron</w:t>
            </w:r>
            <w:r>
              <w:t xml:space="preserve">”</w:t>
            </w:r>
            <w:r>
              <w:t xml:space="preserve"> </w:t>
            </w:r>
            <w:r>
              <w:t xml:space="preserve">(L355–356); N_D = 10¹⁹ from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hole per Pr³⁺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one vacancy over-compensates Pr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Contradiction. The only route to net donors in the companion is Pr–V_O pairing, which needs [V_O] ≥ [Pr]. Rewrite per F4.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praises RbCl-doped SnO₂ for V_O passivation (Xie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 substitution gives E_form(V_O) =</w:t>
            </w:r>
            <w:r>
              <w:t xml:space="preserve"> </w:t>
            </w:r>
            <w:r>
              <w:rPr>
                <w:bCs/>
                <w:b/>
              </w:rPr>
              <w:t xml:space="preserve">−4.06 eV</w:t>
            </w:r>
            <w:r>
              <w:t xml:space="preserve"> </w:t>
            </w:r>
            <w:r>
              <w:t xml:space="preserve">(spontaneous V_O) with residual 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strictly contradictory (RbCl in Xie et al. acts mainly at the surface, with Cl⁻ filling V_O), but the device paper must distinguish surface passivation from lattice substitution.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DFT</w:t>
            </w:r>
            <w:r>
              <w:t xml:space="preserve">”</w:t>
            </w:r>
            <w:r>
              <w:t xml:space="preserve"> </w:t>
            </w:r>
            <w:r>
              <w:t xml:space="preserve">in device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2 claims ML-enhanced 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is in the companion only; no ML in 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“</w:t>
            </w:r>
            <w:r>
              <w:t xml:space="preserve">DFT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ML</w:t>
            </w:r>
            <w:r>
              <w:t xml:space="preserve">”</w:t>
            </w:r>
            <w:r>
              <w:t xml:space="preserve"> </w:t>
            </w:r>
            <w:r>
              <w:t xml:space="preserve">from the device title, or add a genuine DFT section on SnO₂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both papers unless ML is actually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V(O)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oxygen vacancy induced trap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V_O, Kröger–Vink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Harmonise notation (V_O, Pr′_Sn / Pr′_Ti)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Duplicate-publication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the companion in both cover letters; cite each other as</w:t>
            </w:r>
            <w:r>
              <w:t xml:space="preserve"> </w:t>
            </w:r>
            <w:r>
              <w:t xml:space="preserve">“</w:t>
            </w:r>
            <w:r>
              <w:t xml:space="preserve">submitted</w:t>
            </w:r>
            <w:r>
              <w:t xml:space="preserve">”</w:t>
            </w:r>
            <w:r>
              <w:t xml:space="preserve">. Make sure no figure or text is reused without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N_it (10¹³ → 10¹¹) chosen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gives formation energies, not N_it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linked, state explicitly that formation energies do not determine N_it without a defect-concentration model (chemical potentials, temperature, Fermi-level self-consistency). Do not claim that the device N_it values</w:t>
            </w:r>
            <w:r>
              <w:t xml:space="preserve"> </w:t>
            </w:r>
            <w:r>
              <w:t xml:space="preserve">“</w:t>
            </w:r>
            <w:r>
              <w:t xml:space="preserve">come from DFT</w:t>
            </w:r>
            <w:r>
              <w:t xml:space="preserve">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journal-recommendations"/>
    <w:p>
      <w:pPr>
        <w:pStyle w:val="Heading1"/>
      </w:pPr>
      <w:r>
        <w:t xml:space="preserve">7. Journal recommendations</w:t>
      </w:r>
    </w:p>
    <w:p>
      <w:pPr>
        <w:pStyle w:val="FirstParagraph"/>
      </w:pPr>
      <w:r>
        <w:t xml:space="preserve">Quartiles change yearly and by category; confirm in JCR/Scopus at submission.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Energy</w:t>
            </w:r>
            <w:r>
              <w:t xml:space="preserve"> </w:t>
            </w:r>
            <w:r>
              <w:t xml:space="preserve">(Elsevier)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 device-simulation and indoor-PV modelling papers, including multi-spectrum and SCAPS-type studies. Borah et al. [28], which this work extends, appeared 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 realistic</w:t>
            </w:r>
            <w:r>
              <w:t xml:space="preserve"> </w:t>
            </w:r>
            <w:r>
              <w:t xml:space="preserve">after route A plus the minimum sensitivity analysis, ideally with SCAPS-1D cross-validation.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Energy Materials &amp; Solar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physics and materials for PV; accepts modelling with clear physical insight.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only after route B (DD validation, corrected chemistry, sensitivity analysis). Simulation-only papers with assumed parameters are frequently desk-rejected.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RRL</w:t>
            </w:r>
            <w:r>
              <w:t xml:space="preserve"> </w:t>
            </w:r>
            <w:r>
              <w:t xml:space="preserve">(Wiley)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research letters and full papers on emerging PV, including indoor PV; strong preference for experiments or high-insight modelling.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only with route B plus some experimental anchoring (e.g., measured R_sh/J₀ of SnO₂-based CsPbBr₃ cells from the authors’ lab or open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ACS Applied Energy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Materials-centric; expects synthesis and characterisation.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unless Pr:SnO₂ films/devices are fabricated and characterised (XPS, PL/TRPL, EIS, J–V).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in Photovoltaics; Nano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bar on novelty and experimental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realistic</w:t>
            </w:r>
            <w:r>
              <w:t xml:space="preserve"> </w:t>
            </w:r>
            <w:r>
              <w:t xml:space="preserve">for this work in any simulation-only form.</w:t>
            </w:r>
          </w:p>
        </w:tc>
      </w:tr>
    </w:tbl>
    <w:p>
      <w:pPr>
        <w:pStyle w:val="BodyText"/>
      </w:pPr>
      <w:r>
        <w:rPr>
          <w:bCs/>
          <w:b/>
        </w:rPr>
        <w:t xml:space="preserve">Candid assessment.</w:t>
      </w:r>
      <w:r>
        <w:t xml:space="preserve"> </w:t>
      </w:r>
      <w:r>
        <w:t xml:space="preserve">In its current form the manuscript would very likely be</w:t>
      </w:r>
      <w:r>
        <w:t xml:space="preserve"> </w:t>
      </w:r>
      <w:r>
        <w:rPr>
          <w:bCs/>
          <w:b/>
        </w:rPr>
        <w:t xml:space="preserve">desk-rejected</w:t>
      </w:r>
      <w:r>
        <w:t xml:space="preserve"> </w:t>
      </w:r>
      <w:r>
        <w:t xml:space="preserve">at all of the above. The editor would see: title claims not delivered; methods claims contradicted by the results; circular central result; chemistry error;</w:t>
      </w:r>
      <w:r>
        <w:t xml:space="preserve"> </w:t>
      </w:r>
      <w:r>
        <w:t xml:space="preserve">“</w:t>
      </w:r>
      <w:r>
        <w:t xml:space="preserve">experimental</w:t>
      </w:r>
      <w:r>
        <w:t xml:space="preserve">”</w:t>
      </w:r>
      <w:r>
        <w:t xml:space="preserve"> </w:t>
      </w:r>
      <w:r>
        <w:t xml:space="preserve">EIS with no experiment.</w:t>
      </w:r>
    </w:p>
    <w:p>
      <w:pPr>
        <w:pStyle w:val="BodyText"/>
      </w:pPr>
      <w:r>
        <w:rPr>
          <w:bCs/>
          <w:b/>
        </w:rPr>
        <w:t xml:space="preserve">Minimum additions to be competitive:</w:t>
      </w:r>
    </w:p>
    <w:p>
      <w:pPr>
        <w:numPr>
          <w:ilvl w:val="0"/>
          <w:numId w:val="1042"/>
        </w:numPr>
        <w:pStyle w:val="Compact"/>
      </w:pPr>
      <w:r>
        <w:t xml:space="preserve">Remove ML/DFT/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from the title, or actually perform them. Fix the Pr chemistry (F4).</w:t>
      </w:r>
    </w:p>
    <w:p>
      <w:pPr>
        <w:numPr>
          <w:ilvl w:val="0"/>
          <w:numId w:val="1042"/>
        </w:numPr>
        <w:pStyle w:val="Compact"/>
      </w:pPr>
      <w:r>
        <w:t xml:space="preserve">Validate with a drift-diffusion solver (SCAPS-1D or equivalent), using an explicit interface-defect layer. Extract J₀, n and R_sh from the drift-diffusion J–V instead of assuming them (F2).</w:t>
      </w:r>
    </w:p>
    <w:p>
      <w:pPr>
        <w:numPr>
          <w:ilvl w:val="0"/>
          <w:numId w:val="1042"/>
        </w:numPr>
        <w:pStyle w:val="Compact"/>
      </w:pPr>
      <w:r>
        <w:t xml:space="preserve">Make R_sh an independent variable. Give PCE(R_sh, J₀) maps and the minimum-R_sh design rule per spectrum. Run the β-sensitivity analysis for any N_it→R_sh link (F3).</w:t>
      </w:r>
    </w:p>
    <w:p>
      <w:pPr>
        <w:numPr>
          <w:ilvl w:val="0"/>
          <w:numId w:val="1042"/>
        </w:numPr>
        <w:pStyle w:val="Compact"/>
      </w:pPr>
      <w:r>
        <w:t xml:space="preserve">Put all spectra on a common P_in basis with lamp IDs. Add a warm-white LED (M9).</w:t>
      </w:r>
    </w:p>
    <w:p>
      <w:pPr>
        <w:numPr>
          <w:ilvl w:val="0"/>
          <w:numId w:val="1042"/>
        </w:numPr>
        <w:pStyle w:val="Compact"/>
      </w:pPr>
      <w:r>
        <w:t xml:space="preserve">Correct the EIS section or delete it (F5). Correct all equations (F6) and numbers (M8).</w:t>
      </w:r>
    </w:p>
    <w:p>
      <w:pPr>
        <w:numPr>
          <w:ilvl w:val="0"/>
          <w:numId w:val="1042"/>
        </w:numPr>
        <w:pStyle w:val="Compact"/>
      </w:pPr>
      <w:r>
        <w:t xml:space="preserve">Add an SQ/detailed-balance limit paragraph per spectrum and soften the benchmarking (M10).</w:t>
      </w:r>
    </w:p>
    <w:p>
      <w:pPr>
        <w:numPr>
          <w:ilvl w:val="0"/>
          <w:numId w:val="1042"/>
        </w:numPr>
        <w:pStyle w:val="Compact"/>
      </w:pPr>
      <w:r>
        <w:t xml:space="preserve">Release code and data. Add data availability, CRediT, Highlights and graphical abstract (M13).</w:t>
      </w:r>
    </w:p>
    <w:p>
      <w:pPr>
        <w:numPr>
          <w:ilvl w:val="0"/>
          <w:numId w:val="1042"/>
        </w:numPr>
        <w:pStyle w:val="Compact"/>
      </w:pPr>
      <w:r>
        <w:t xml:space="preserve">Ideally, add experimental anchoring: even literature J–V data of SnO₂/CsPbBr₃ cells fitted with the model, or measured R_sh distributions, would greatly strengthen the paper.</w:t>
      </w:r>
    </w:p>
    <w:p>
      <w:r>
        <w:pict>
          <v:rect style="width:0;height:1.5pt" o:hralign="center" o:hrstd="t" o:hr="t"/>
        </w:pict>
      </w:r>
    </w:p>
    <w:bookmarkEnd w:id="43"/>
    <w:bookmarkStart w:id="44" w:name="prioritised-action-plan-for-the-author"/>
    <w:p>
      <w:pPr>
        <w:pStyle w:val="Heading1"/>
      </w:pPr>
      <w:r>
        <w:t xml:space="preserve">8. Prioritised action plan for the author</w:t>
      </w:r>
    </w:p>
    <w:p>
      <w:pPr>
        <w:pStyle w:val="FirstParagraph"/>
      </w:pPr>
      <w:r>
        <w:t xml:space="preserve">Legend: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</w:t>
      </w:r>
      <w:r>
        <w:t xml:space="preserve"> </w:t>
      </w:r>
      <w:r>
        <w:t xml:space="preserve">= text-only fix that Claude can draft now.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= new or redone simulation the author must run.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</w:t>
      </w:r>
      <w:r>
        <w:t xml:space="preserve"> </w:t>
      </w:r>
      <w:r>
        <w:t xml:space="preserve">= experiment or data the author must supply.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= author decision.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route A (equivalent-circuit sensitivity paper) or route B (DD-validated paper)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everything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title; remove ML/DFT/</w:t>
            </w:r>
            <w:r>
              <w:t xml:space="preserve">“</w:t>
            </w:r>
            <w:r>
              <w:t xml:space="preserve">Discovery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Rigid</w:t>
            </w:r>
            <w:r>
              <w:t xml:space="preserve">”</w:t>
            </w:r>
            <w:r>
              <w:t xml:space="preserve">; rewrite the abstract to match the content (F1)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titles and abstract text in F1/F3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Pr defect chemistry (acceptor; V_O compensation); detach N_D = 10¹⁹ from Pr; reconcile with the DFT companion (F4,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(+A)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paragraph in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“</w:t>
            </w:r>
            <w:r>
              <w:t xml:space="preserve">self-consistent Poisson/DD</w:t>
            </w:r>
            <w:r>
              <w:t xml:space="preserve">”</w:t>
            </w:r>
            <w:r>
              <w:t xml:space="preserve"> </w:t>
            </w:r>
            <w:r>
              <w:t xml:space="preserve">claims (route A), or implement and report the DD solution with implementation details (route B) (F2)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/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B: SCAPS-1D with Table 1, interface defect layer, mesh/BC/convergence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R_sh as an independent variable: PCE(R_sh, J₀) maps per spectrum; β = 0–1 sensitivity; minimum-R_sh design rule (F3)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produced with the existing MATLAB single-diode code; the script here already gives the LED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EIS: delete, or recompute R_rec from Eq. 21 at a stated bias with R_sh in parallel; absorber C_g; remove</w:t>
            </w:r>
            <w:r>
              <w:t xml:space="preserve"> </w:t>
            </w:r>
            <w:r>
              <w:t xml:space="preserve">“</w:t>
            </w:r>
            <w:r>
              <w:t xml:space="preserve">experimental/independent/validate</w:t>
            </w:r>
            <w:r>
              <w:t xml:space="preserve">”</w:t>
            </w:r>
            <w:r>
              <w:t xml:space="preserve">; drop [31]–[33] validation claim (F5)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+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equations: Eq. 6 sign, Eq. 7 ratio, F_j normalisation, 2.44 → 1.56 for L, η_p sign, A_Tauc, delete Eq. 12, Eq. 13 typesetting, all cross-refs (F6)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corrected forms in 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band-offset wording (cliff), collection contact, stack order; redraw Figure 2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+ figure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every inconsistent number (M8; Section 3 rows 7–14, 18, 21–22, 27, 34–35, 39–41, 45, 47, 53–55)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(+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for φ and Fig.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7 and Fig. 8 must be regenerated from the Table 4 parameter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Spectra: lamp IDs, CCT, common integration window; recompute halogen/INC; verify the INC SPD; add a warm-white LED (M9)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Justify or vary n = 1.5, R_s = 10 Ω cm², EQE 0.85/0.704; add an SQ limit paragraph; soften benchmarks; re-extract literature rows (Tong J_sc) (M10)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+ 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References: replace [12] with the main Xie et al. article;</w:t>
            </w:r>
            <w:r>
              <w:t xml:space="preserve"> </w:t>
            </w:r>
            <w:r>
              <w:t xml:space="preserve">“</w:t>
            </w:r>
            <w:r>
              <w:t xml:space="preserve">Teng et al.</w:t>
            </w:r>
            <w:r>
              <w:t xml:space="preserve">”</w:t>
            </w:r>
            <w:r>
              <w:t xml:space="preserve"> </w:t>
            </w:r>
            <w:r>
              <w:t xml:space="preserve">for [36]; remove or retarget [8], [15], [20], [21], [23], [27], [29], [30], [31]–[33]; cite Table 1 sources; add CIE 015:2018; harmonise IEEE format (M11,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(+A for new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add sources without reading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IoT security text; tone down hype words; fix typos, superscripts, units, section numbering, symbol clash (§2)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all figure captions (no text boxes); fix figure-specific issues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+ figures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code/data availability, CRediT, funding statement, Highlights, graphical abstract; merge the duplicate AI declarations; disclose the companion paper (M13)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(+A)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(Route B, strongly recommended) Experimental anchoring: J–V/EIS of SnO₂ vs rare-earth-modified SnO₂ CsPbBr₃ cells, or fit of published J–V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Solar RRL/SOLMAT competitiveness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Claude can deliver immediately on request:</w:t>
      </w:r>
      <w:r>
        <w:t xml:space="preserve"> </w:t>
      </w:r>
      <w:r>
        <w:t xml:space="preserve">items 2, 3, 7, 8 (text), 9 (text parts), 12 (formatting and flagged removals), 13, 14 (captions), 15 (templates), plus the β-sensitivity tables from</w:t>
      </w:r>
      <w:r>
        <w:t xml:space="preserve"> </w:t>
      </w:r>
      <w:r>
        <w:rPr>
          <w:rStyle w:val="VerbatimChar"/>
        </w:rPr>
        <w:t xml:space="preserve">verify_numbers.py</w:t>
      </w:r>
      <w:r>
        <w:t xml:space="preserve"> </w:t>
      </w:r>
      <w:r>
        <w:t xml:space="preserve">(item 5) ready to insert.</w:t>
      </w:r>
    </w:p>
    <w:p>
      <w:pPr>
        <w:pStyle w:val="BodyText"/>
      </w:pPr>
      <w:r>
        <w:rPr>
          <w:bCs/>
          <w:b/>
        </w:rPr>
        <w:t xml:space="preserve">What needs the author:</w:t>
      </w:r>
      <w:r>
        <w:t xml:space="preserve"> </w:t>
      </w:r>
      <w:r>
        <w:t xml:space="preserve">the route decision, any drift-diffusion run, lamp IDs and spectra, verification of literature values against PDFs, new references, and any experiment.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Files in this folder: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Device_Manuscript_Audit.md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this report.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verify_numbers.py</w:t>
      </w:r>
      <w:r>
        <w:t xml:space="preserve"> </w:t>
      </w:r>
      <w:r>
        <w:t xml:space="preserve">— all recomputations.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verify_numbers_output.txt</w:t>
      </w:r>
      <w:r>
        <w:t xml:space="preserve"> </w:t>
      </w:r>
      <w:r>
        <w:t xml:space="preserve">— script output used for every number quoted above.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Pre-submission audit: Pr³⁺:SnO₂ / CsPbBr₃ indoor–outdoor device-simulation manuscript (Ghadimimehr, Omar, Sheikh Raihan)</dc:title>
  <dc:creator/>
  <cp:keywords/>
  <dcterms:created xsi:type="dcterms:W3CDTF">2026-10-03T03:37:44Z</dcterms:created>
  <dcterms:modified xsi:type="dcterms:W3CDTF">2026-10-03T03:37:44Z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 October 2026</vt:lpwstr>
  </property>
  <property fmtid="{D5CDD505-2E9C-101B-9397-08002B2CF9AE}" pid="3" name="subtitle">
    <vt:lpwstr>Handling-editor report with two referee perspectives (device physics / perovskite PV, and numerical modelling)</vt:lpwstr>
  </property>
</Properties>
</file>