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719daeccec14eb1c959fe53294ad11eb49a393f"/>
    <w:p>
      <w:pPr>
        <w:pStyle w:val="Heading1"/>
      </w:pPr>
      <w:r>
        <w:t xml:space="preserve">Oxygen-Vacancy Energetics and Hole Localization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are a recognised source of trap-assisted recombination, and aliovalent substitution is the usual lever for controlling them. Trivalent rare-earth and monovalent alkali dopants are expected to act in opposite directions on V</w:t>
      </w:r>
      <w:r>
        <w:rPr>
          <w:vertAlign w:val="subscript"/>
        </w:rPr>
        <w:t xml:space="preserve">O</w:t>
      </w:r>
      <w:r>
        <w:t xml:space="preserve"> </w:t>
      </w:r>
      <w:r>
        <w:t xml:space="preserve">formation, but the two families have rarely been compared in the same host with the same protocol. Here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using spin-polarised PBE+U calculations (U = 3.5 eV on Ti-3d, 2×2×1 supercell, 48/47 atoms) with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to −4.06 eV in the Rb-substituted cell. Both substitutions therefore lower the cost of oxygen removal relative to pristine TiO</w:t>
      </w:r>
      <w:r>
        <w:rPr>
          <w:vertAlign w:val="subscript"/>
        </w:rPr>
        <w:t xml:space="preserve">2</w:t>
      </w:r>
      <w:r>
        <w:t xml:space="preserve">; the Pr cell remains uphill while the Rb cell is downhill, a 5.36 eV contrast that changes by only 0.04 eV on a 2×2×2 k-mesh. The formal electron count explains the ordering: Pr</w:t>
      </w:r>
      <w:r>
        <w:rPr>
          <w:vertAlign w:val="superscript"/>
        </w:rPr>
        <w:t xml:space="preserve">3+</w:t>
      </w:r>
      <w:r>
        <w:t xml:space="preserve"> </w:t>
      </w:r>
      <w:r>
        <w:t xml:space="preserve">introduces one hole per substitution and Rb</w:t>
      </w:r>
      <w:r>
        <w:rPr>
          <w:vertAlign w:val="superscript"/>
        </w:rPr>
        <w:t xml:space="preserve">+</w:t>
      </w:r>
      <w:r>
        <w:t xml:space="preserve"> </w:t>
      </w:r>
      <w:r>
        <w:t xml:space="preserve">three, so a single vacancy over-compensates Pr but leaves one residual hole in the Rb cell. The Rb cells carry unpaired spin in every treatment tested (absolute magnetisation 1.00–1.21 μ</w:t>
      </w:r>
      <w:r>
        <w:rPr>
          <w:vertAlign w:val="subscript"/>
        </w:rPr>
        <w:t xml:space="preserve">B</w:t>
      </w:r>
      <w:r>
        <w:t xml:space="preserve">), and a charged-cell series for Rb</w:t>
      </w:r>
      <w:r>
        <w:rPr>
          <w:vertAlign w:val="subscript"/>
        </w:rPr>
        <w:t xml:space="preserve">Ti</w:t>
      </w:r>
      <w:r>
        <w:t xml:space="preserve">+V</w:t>
      </w:r>
      <w:r>
        <w:rPr>
          <w:vertAlign w:val="subscript"/>
        </w:rPr>
        <w:t xml:space="preserve">O</w:t>
      </w:r>
      <w:r>
        <w:t xml:space="preserve"> </w:t>
      </w:r>
      <w:r>
        <w:t xml:space="preserve">reaches 2.99 μ</w:t>
      </w:r>
      <w:r>
        <w:rPr>
          <w:vertAlign w:val="subscript"/>
        </w:rPr>
        <w:t xml:space="preserve">B</w:t>
      </w:r>
      <w:r>
        <w:t xml:space="preserve"> </w:t>
      </w:r>
      <w:r>
        <w:t xml:space="preserve">at q = +2, consistent with three oxygen-2p holes per Rb. The Pr cells converge to non-magnetic solutions when U is applied to Ti-3d only, but the vacancy-free Pr cell develops a localised hole (1.00 μ</w:t>
      </w:r>
      <w:r>
        <w:rPr>
          <w:vertAlign w:val="subscript"/>
        </w:rPr>
        <w:t xml:space="preserve">B</w:t>
      </w:r>
      <w:r>
        <w:t xml:space="preserve">) when an oxygen-2p Hubbard term (U = 5.5 eV) is added, so hole localisation in Pr-substituted anatase is method dependent. Bader-charge differences, an HSE06 check on the pristine cell, dispersion-corrected single points and three alternative vacancy sites are reported as bounded sensitivity tests. The results are consistent with charge-compensation control of V</w:t>
      </w:r>
      <w:r>
        <w:rPr>
          <w:vertAlign w:val="subscript"/>
        </w:rPr>
        <w:t xml:space="preserve">O</w:t>
      </w:r>
      <w:r>
        <w:t xml:space="preserve"> </w:t>
      </w:r>
      <w:r>
        <w:t xml:space="preserve">energetics in this host and provide a benchmark for dopant screening in oxide electron-transport layers, while the two-dopant design does not by itself separate oxidation state from ionic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vacancies; aliovalent substitution; praseodymium; rubidium; hole polaron; electron-transport layers.</w:t>
      </w:r>
    </w:p>
    <w:p>
      <w:pPr>
        <w:pStyle w:val="BodyText"/>
      </w:pPr>
      <w:r>
        <w:rPr>
          <w:bCs/>
          <w:b/>
        </w:rPr>
        <w:t xml:space="preserve">1. Introduction</w:t>
      </w:r>
    </w:p>
    <w:p>
      <w:pPr>
        <w:pStyle w:val="BodyText"/>
      </w:pPr>
      <w:r>
        <w:t xml:space="preserve">Indoor photovoltaics are the leading candidate to replace disposable batteries in the growing population of low-power sensors [1]. Under the 200–1000 lx illumination typical of indoor spaces the open-circuit voltage is limited by non-radiative recombination, and wide-gap absorbers such as CsPbBr</w:t>
      </w:r>
      <w:r>
        <w:rPr>
          <w:vertAlign w:val="subscript"/>
        </w:rPr>
        <w:t xml:space="preserve">3</w:t>
      </w:r>
      <w:r>
        <w:t xml:space="preserve"> </w:t>
      </w:r>
      <w:r>
        <w:t xml:space="preserve">[2] are paired with n-type oxide electron-transport layers (ETLs), most commonly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[5,6,7,8,9,10,11,12,13]. Controlling the equilibrium V</w:t>
      </w:r>
      <w:r>
        <w:rPr>
          <w:vertAlign w:val="subscript"/>
        </w:rPr>
        <w:t xml:space="preserve">O</w:t>
      </w:r>
      <w:r>
        <w:t xml:space="preserve"> </w:t>
      </w:r>
      <w:r>
        <w:t xml:space="preserve">population of an ETL is therefore a materials-design problem, and substitutional aliovalent doping is the principal lever [14,15,16,17,18].</w:t>
      </w:r>
    </w:p>
    <w:p>
      <w:pPr>
        <w:pStyle w:val="BodyText"/>
      </w:pPr>
      <w:r>
        <w:t xml:space="preserve">For trivalent dopants on the Ti</w:t>
      </w:r>
      <w:r>
        <w:rPr>
          <w:vertAlign w:val="superscript"/>
        </w:rPr>
        <w:t xml:space="preserve">4+</w:t>
      </w:r>
      <w:r>
        <w:t xml:space="preserve"> </w:t>
      </w:r>
      <w:r>
        <w:t xml:space="preserve">site the formal charge mismatch is −1 e per site. Several DFT+U and experimental studies of lanthanide-doped TiO</w:t>
      </w:r>
      <w:r>
        <w:rPr>
          <w:vertAlign w:val="subscript"/>
        </w:rPr>
        <w:t xml:space="preserve">2</w:t>
      </w:r>
      <w:r>
        <w:t xml:space="preserve"> </w:t>
      </w:r>
      <w:r>
        <w:t xml:space="preserve">and related oxides report that this deficit is accommodated electronically, by rehybridisation at the valence-band edge or by a change of dopant oxidation state, without a strong driving force for V</w:t>
      </w:r>
      <w:r>
        <w:rPr>
          <w:vertAlign w:val="subscript"/>
        </w:rPr>
        <w:t xml:space="preserve">O</w:t>
      </w:r>
      <w:r>
        <w:t xml:space="preserve"> </w:t>
      </w:r>
      <w:r>
        <w:t xml:space="preserve">formation [15,19,20,21,22,23,24]. The picture is not universal: Iwaszuk and Nolan showed for trivalent dopants in bulk rutile that oxygen-vacancy compensation can compete with, and in some cases dominate, electronic compensation [25], and Bahmanrokh et al. derived a general defect-equilibria formalism for Ce-doped anatase in which both channels appear [26]. Pr in particular has been treated at the anatase (101) surface [27] and in the bulk [23], and is an attractive test case because its +3 state is well defined and its ionic radius (0.99 Å in six-fold coordination [28])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[29];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[30]; and Tian et al. recently showed experimentally that Rb doping, in synergy with lattice strain, lowers the V</w:t>
      </w:r>
      <w:r>
        <w:rPr>
          <w:vertAlign w:val="subscript"/>
        </w:rPr>
        <w:t xml:space="preserve">O</w:t>
      </w:r>
      <w:r>
        <w:t xml:space="preserve"> </w:t>
      </w:r>
      <w:r>
        <w:t xml:space="preserve">formation energy of TiO</w:t>
      </w:r>
      <w:r>
        <w:rPr>
          <w:vertAlign w:val="subscript"/>
        </w:rPr>
        <w:t xml:space="preserve">2</w:t>
      </w:r>
      <w:r>
        <w:t xml:space="preserve"> </w:t>
      </w:r>
      <w:r>
        <w:t xml:space="preserve">[14].</w:t>
      </w:r>
    </w:p>
    <w:p>
      <w:pPr>
        <w:pStyle w:val="BodyText"/>
      </w:pPr>
      <w:r>
        <w:t xml:space="preserve">What is missing is a comparison of the two dopant families in the same anatase host with the same supercell, pseudopotentials, Hubbard treatment and oxygen reference. Without such a comparison, differences between published trivalent and monovalent results cannot be separated from differences in host, protocol or reference state. The comparison is also a useful test of the Kröger–Vink bookkeeping that is routinely invoked for dopant selection [31]: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test the sensitivity of the localisation picture to an oxygen-site Hubbard term, and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[32,33] using the PBE exchange–correlation functional [34] and projector-augmented-wave datasets from PSlibrary 1.0.0 [35]: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are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+V</w:t>
      </w:r>
      <w:r>
        <w:rPr>
          <w:vertAlign w:val="subscript"/>
        </w:rPr>
        <w:t xml:space="preserve">O</w:t>
      </w:r>
      <w:r>
        <w:t xml:space="preserve"> </w:t>
      </w:r>
      <w:r>
        <w:t xml:space="preserve">and Rb</w:t>
      </w:r>
      <w:r>
        <w:rPr>
          <w:vertAlign w:val="subscript"/>
        </w:rPr>
        <w:t xml:space="preserve">Ti</w:t>
      </w:r>
      <w:r>
        <w:t xml:space="preserve">+V</w:t>
      </w:r>
      <w:r>
        <w:rPr>
          <w:vertAlign w:val="subscript"/>
        </w:rPr>
        <w:t xml:space="preserve">O</w:t>
      </w:r>
      <w:r>
        <w:t xml:space="preserve"> </w:t>
      </w:r>
      <w:r>
        <w:t xml:space="preserve">cells (376.998 and 374.998 e, Table S3) reproduce the counts in Table 1 and confirm the valence assignment.</w:t>
      </w:r>
      <w:r>
        <w:t xml:space="preserve"> </w:t>
      </w:r>
      <w:r>
        <w:rPr>
          <w:bCs/>
          <w:b/>
        </w:rPr>
        <w:t xml:space="preserve">[AUTHOR ACTION: insert the SHA-256 hashes of the four UPF files used, and copy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into Table S7.]</w:t>
      </w:r>
      <w:r>
        <w:t xml:space="preserve"> </w:t>
      </w:r>
      <w:r>
        <w:t xml:space="preserve">Kinetic-energy cut-offs of 40 Ry (wavefunctions) and 320 Ry (charge density) were used throughout; 40 Ry is the convergence target of the PSlibrary 1.0.0 low-cut-off set, and a test at a higher cut-off has not been performed in this work (Section 5).</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[36], which is the form implemented behind the HUBBARD card of Quantum ESPRESSO 7.x, was applied to the Ti-3d manifold with U</w:t>
      </w:r>
      <w:r>
        <w:rPr>
          <w:vertAlign w:val="subscript"/>
        </w:rPr>
        <w:t xml:space="preserve">eff</w:t>
      </w:r>
      <w:r>
        <w:t xml:space="preserve"> </w:t>
      </w:r>
      <w:r>
        <w:t xml:space="preserve">= 3.5 eV using ortho-atomic projectors. The value is close to the ab initio linear-response estimate for anatase quoted by Deák et al. [37] and has been used for Er-doped anatase [20] and for anatase (101) defect chemistry [7]; other anatase work uses U = 4.2 eV [16,17,18], and the sensitivity of the present results to U is reported in Section 3.7. The DFT+U approach rests on the formulation of Anisimov et al. [38]; linear-response determination of U [39] was not performed for the dopant-containing cells.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[29],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converged variable-cell relaxation of the pristine cell and held fixed for all defect cells. The production V</w:t>
      </w:r>
      <w:r>
        <w:rPr>
          <w:vertAlign w:val="subscript"/>
        </w:rPr>
        <w:t xml:space="preserve">O</w:t>
      </w:r>
      <w:r>
        <w:t xml:space="preserve"> </w:t>
      </w:r>
      <w:r>
        <w:t xml:space="preserve">in the doped cells is the oxygen atom nearest to the dopant (Pr–O ≈ 2.17 Å in the relaxed Pr cell); three alternative sites are examined in Section 3.7.</w:t>
      </w:r>
      <w:r>
        <w:t xml:space="preserve"> </w:t>
      </w:r>
      <w:r>
        <w:rPr>
          <w:bCs/>
          <w:b/>
        </w:rPr>
        <w:t xml:space="preserve">[AUTHOR ACTION: give the atom index of the production V</w:t>
      </w:r>
      <w:r>
        <w:rPr>
          <w:vertAlign w:val="subscript"/>
          <w:bCs/>
          <w:b/>
        </w:rPr>
        <w:t xml:space="preserve">O</w:t>
      </w:r>
      <w:r>
        <w:rPr>
          <w:bCs/>
          <w:b/>
        </w:rPr>
        <w:t xml:space="preserve"> </w:t>
      </w:r>
      <w:r>
        <w:rPr>
          <w:bCs/>
          <w:b/>
        </w:rPr>
        <w:t xml:space="preserve">in the Rb cell, its Rb–O distance, and the relaxed dopant–O bond lengths for the first coordination shell of Pr and Rb (six values each), e.g. as Table S8.]</w:t>
      </w:r>
    </w:p>
    <w:p>
      <w:pPr>
        <w:pStyle w:val="BodyText"/>
      </w:pPr>
      <w:r>
        <w:rPr>
          <w:bCs/>
          <w:b/>
        </w:rPr>
        <w:t xml:space="preserve">2.4 Brillouin-zone sampling and electronic settings.</w:t>
      </w:r>
      <w:r>
        <w:t xml:space="preserve"> </w:t>
      </w:r>
      <w:r>
        <w:t xml:space="preserve">Production relaxations used Γ-point sampling, following the practice of Arrigoni and Madsen for anatase defect cells of comparable size [17]. Single-point total energies on the Γ-relaxed geometries were recomputed on a 2×2×2 Monkhorst–Pack mesh for all four doped cells, and the projected densities of states were obtained from non-self-consistent calculations on a 2×2×2 mesh; the k-mesh dependence of the formation-energy contrast is reported in Section 3.7. All calculations were spin-polarised (nspin = 2). Fractional occupations were treated with Gaussian smearing.</w:t>
      </w:r>
      <w:r>
        <w:t xml:space="preserve"> </w:t>
      </w:r>
      <w:r>
        <w:rPr>
          <w:bCs/>
          <w:b/>
        </w:rPr>
        <w:t xml:space="preserve">[AUTHOR ACTION: state the smearing width (degauss) used in the production relaxations; the Supporting Information records 0.005 Ry for the first pristine-V</w:t>
      </w:r>
      <w:r>
        <w:rPr>
          <w:vertAlign w:val="subscript"/>
          <w:bCs/>
          <w:b/>
        </w:rPr>
        <w:t xml:space="preserve">O</w:t>
      </w:r>
      <w:r>
        <w:rPr>
          <w:bCs/>
          <w:b/>
        </w:rPr>
        <w:t xml:space="preserve"> </w:t>
      </w:r>
      <w:r>
        <w:rPr>
          <w:bCs/>
          <w:b/>
        </w:rPr>
        <w:t xml:space="preserve">attempt and 0.01 Ry for the converged one.]</w:t>
      </w:r>
      <w:r>
        <w:t xml:space="preserve"> </w:t>
      </w:r>
      <w:r>
        <w:t xml:space="preserve">The electronic self-consistency threshold was 1×10</w:t>
      </w:r>
      <w:r>
        <w:rPr>
          <w:vertAlign w:val="superscript"/>
        </w:rPr>
        <w:t xml:space="preserve">−8</w:t>
      </w:r>
      <w:r>
        <w:t xml:space="preserve"> </w:t>
      </w:r>
      <w:r>
        <w:t xml:space="preserve">Ry.</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well-localised unpaired electron both are close to 1 μ</w:t>
      </w:r>
      <w:r>
        <w:rPr>
          <w:vertAlign w:val="subscript"/>
        </w:rPr>
        <w:t xml:space="preserve">B</w:t>
      </w:r>
      <w:r>
        <w:t xml:space="preserve">; m</w:t>
      </w:r>
      <w:r>
        <w:rPr>
          <w:vertAlign w:val="subscript"/>
        </w:rPr>
        <w:t xml:space="preserve">abs</w:t>
      </w:r>
      <w:r>
        <w:t xml:space="preserve"> </w:t>
      </w:r>
      <w:r>
        <w:t xml:space="preserve">&gt; |m| indicates spin density of both signs. Production relaxations were started from zero magnetisation on all species. Because a zero start can trap a calculation in a non-magnetic solution, every cell that converged to m = 0 was re-relaxed from a magnetic start with starting_magnetization = 0.3 on Ti and 0.5 on the dopant (these are fractions of the valence charge in the Quantum ESPRESSO convention, not site moments in μ</w:t>
      </w:r>
      <w:r>
        <w:rPr>
          <w:vertAlign w:val="subscript"/>
        </w:rPr>
        <w:t xml:space="preserve">B</w:t>
      </w:r>
      <w:r>
        <w:t xml:space="preserve">) under a separate prefix, and the two total energies were compared. One magnetic trial per cell was performed; a wider search over site-specific and antiparallel seeds was not,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Charge mixing was damped (mixing_beta = 0.1) and the BFGS history shortened (bfgs_ndim = 3) to suppress oscillation about shallow minima. The final maximum forces were 0.0026, 0.0042, 0.0037 and 0.0040 Ry/Bohr (0.067, 0.108, 0.095 and 0.103 eV/Å) for Pr_perfect, Pr_VO, Rb_perfect and Rb_VO.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[40].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relaxed Pristine_perfect, Pr_VO and Rb_VO cells at U(Ti-3d) = 3.0, 4.0 and 4.5 eV. (iii) HSE06: one single-point calculation on the relaxed Pristine_perfect cell with exact-exchange fraction 0.25 and screening parameter 0.106 bohr</w:t>
      </w:r>
      <w:r>
        <w:rPr>
          <w:vertAlign w:val="superscript"/>
        </w:rPr>
        <w:t xml:space="preserve">−1</w:t>
      </w:r>
      <w:r>
        <w:t xml:space="preserve"> </w:t>
      </w:r>
      <w:r>
        <w:t xml:space="preserve">[41,42],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and that the +U term was switched off.]</w:t>
      </w:r>
      <w:r>
        <w:t xml:space="preserve"> </w:t>
      </w:r>
      <w:r>
        <w:t xml:space="preserve">(iv) Dispersion: single-point energies for Pr_VO and Rb_VO with the Grimme D3 correction and Becke–Johnson damping [43,44], without three-body terms, following the DFT+U+D3 protocol used for defective anatase by Torres et al. [45]. (v) Alternative vacancy sites: three additional Pr_VO cells with the vacancy at atom indices O1, O7 and O17 of the production input. (vi) Bader analysis of Pr_VO and Rb_VO from pp.x charge densities with the Henkelman grid algorithm [46,47].</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from projwfc.x on 2×2×2 non-self-consistent runs.</w:t>
      </w:r>
      <w:r>
        <w:t xml:space="preserve"> </w:t>
      </w:r>
      <w:r>
        <w:rPr>
          <w:bCs/>
          <w:b/>
        </w:rPr>
        <w:t xml:space="preserve">[AUTHOR ACTION: state the Gaussian broadening used in projwfc.x and the number of bands.]</w:t>
      </w:r>
      <w:r>
        <w:t xml:space="preserve"> </w:t>
      </w: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The relaxed Pr_VO and Rb_VO cells are shown in Figure 1. The production vacancy is the oxygen nearest the dopant in both cells.</w:t>
      </w:r>
      <w:r>
        <w:t xml:space="preserve"> </w:t>
      </w:r>
      <w:r>
        <w:rPr>
          <w:bCs/>
          <w:b/>
        </w:rPr>
        <w:t xml:space="preserve">[AUTHOR ACTION: add one sentence on the relaxed first-shell dopant–O distances and the outward relaxation of the six O neighbours around Pr and Rb relative to Ti–O = 1.94/1.97 Å in the pristine cell, from Table S8.]</w:t>
      </w:r>
      <w:r>
        <w:t xml:space="preserve"> </w:t>
      </w:r>
      <w:r>
        <w:t xml:space="preserve">Because the residual forces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3071374"/>
            <wp:effectExtent b="0" l="0" r="0" t="0"/>
            <wp:docPr descr="" title="" id="21" name="Picture"/>
            <a:graphic>
              <a:graphicData uri="http://schemas.openxmlformats.org/drawingml/2006/picture">
                <pic:pic>
                  <pic:nvPicPr>
                    <pic:cNvPr descr="../figures/Fig1_structures_relabel_required.png" id="22" name="Picture"/>
                    <pic:cNvPicPr>
                      <a:picLocks noChangeArrowheads="1" noChangeAspect="1"/>
                    </pic:cNvPicPr>
                  </pic:nvPicPr>
                  <pic:blipFill>
                    <a:blip r:embed="rId20"/>
                    <a:stretch>
                      <a:fillRect/>
                    </a:stretch>
                  </pic:blipFill>
                  <pic:spPr bwMode="auto">
                    <a:xfrm>
                      <a:off x="0" y="0"/>
                      <a:ext cx="5334000" cy="3071374"/>
                    </a:xfrm>
                    <a:prstGeom prst="rect">
                      <a:avLst/>
                    </a:prstGeom>
                    <a:noFill/>
                    <a:ln w="9525">
                      <a:noFill/>
                      <a:headEnd/>
                      <a:tailEnd/>
                    </a:ln>
                  </pic:spPr>
                </pic:pic>
              </a:graphicData>
            </a:graphic>
          </wp:inline>
        </w:drawing>
      </w:r>
    </w:p>
    <w:p>
      <w:pPr>
        <w:pStyle w:val="BodyText"/>
      </w:pPr>
      <w:r>
        <w:rPr>
          <w:iCs/>
          <w:i/>
        </w:rPr>
        <w:t xml:space="preserve">Figure 1. Relaxed 2×2×1 anatase supercells with one substitutional dopant and one oxygen vacancy (PBE+U, U(Ti-3d) = 3.5 eV, Γ-only). (a) Pr</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(PrTi</w:t>
      </w:r>
      <w:r>
        <w:rPr>
          <w:vertAlign w:val="subscript"/>
          <w:iCs/>
          <w:i/>
        </w:rPr>
        <w:t xml:space="preserve">15</w:t>
      </w:r>
      <w:r>
        <w:rPr>
          <w:iCs/>
          <w:i/>
        </w:rPr>
        <w:t xml:space="preserve">O</w:t>
      </w:r>
      <w:r>
        <w:rPr>
          <w:vertAlign w:val="subscript"/>
          <w:iCs/>
          <w:i/>
        </w:rPr>
        <w:t xml:space="preserve">31</w:t>
      </w:r>
      <w:r>
        <w:rPr>
          <w:iCs/>
          <w:i/>
        </w:rPr>
        <w:t xml:space="preserve">, 47 atoms), non-magnetic solution (m = 0). (b) Rb</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(RbTi</w:t>
      </w:r>
      <w:r>
        <w:rPr>
          <w:vertAlign w:val="subscript"/>
          <w:iCs/>
          <w:i/>
        </w:rPr>
        <w:t xml:space="preserve">15</w:t>
      </w:r>
      <w:r>
        <w:rPr>
          <w:iCs/>
          <w:i/>
        </w:rPr>
        <w:t xml:space="preserve">O</w:t>
      </w:r>
      <w:r>
        <w:rPr>
          <w:vertAlign w:val="subscript"/>
          <w:iCs/>
          <w:i/>
        </w:rPr>
        <w:t xml:space="preserve">31</w:t>
      </w:r>
      <w:r>
        <w:rPr>
          <w:iCs/>
          <w:i/>
        </w:rPr>
        <w:t xml:space="preserve">, 47 atoms), m = −0.97 μ</w:t>
      </w:r>
      <w:r>
        <w:rPr>
          <w:vertAlign w:val="subscript"/>
          <w:iCs/>
          <w:i/>
        </w:rPr>
        <w:t xml:space="preserve">B</w:t>
      </w:r>
      <w:r>
        <w:rPr>
          <w:iCs/>
          <w:i/>
        </w:rPr>
        <w:t xml:space="preserve">,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Grey: Ti; red: O; green: Pr; maroon: Rb; dashed circle: vacancy position; dashed box: supercell.</w:t>
      </w:r>
      <w:r>
        <w:rPr>
          <w:iCs/>
          <w:i/>
        </w:rPr>
        <w:t xml:space="preserve"> </w:t>
      </w:r>
      <w:r>
        <w:rPr>
          <w:bCs/>
          <w:b/>
          <w:iCs/>
          <w:i/>
        </w:rPr>
        <w:t xml:space="preserve">[AUTHOR ACTION: regenerate the artwork from the relaxed coordinates with the panel subtitles changed to the text above; remove</w:t>
      </w:r>
      <w:r>
        <w:rPr>
          <w:bCs/>
          <w:b/>
          <w:iCs/>
          <w:i/>
        </w:rPr>
        <w:t xml:space="preserve"> </w:t>
      </w:r>
      <w:r>
        <w:rPr>
          <w:bCs/>
          <w:b/>
          <w:iCs/>
          <w:i/>
        </w:rPr>
        <w:t xml:space="preserve">“</w:t>
      </w:r>
      <w:r>
        <w:rPr>
          <w:bCs/>
          <w:b/>
          <w:iCs/>
          <w:i/>
        </w:rPr>
        <w:t xml:space="preserve">singlet, no Ti</w:t>
      </w:r>
      <w:r>
        <w:rPr>
          <w:vertAlign w:val="superscript"/>
          <w:bCs/>
          <w:b/>
          <w:iCs/>
          <w:i/>
        </w:rPr>
        <w:t xml:space="preserve">3+</w:t>
      </w:r>
      <w:r>
        <w:rPr>
          <w:bCs/>
          <w:b/>
          <w:iCs/>
          <w:i/>
        </w:rPr>
        <w:t xml:space="preserve"> </w:t>
      </w:r>
      <w:r>
        <w:rPr>
          <w:bCs/>
          <w:b/>
          <w:iCs/>
          <w:i/>
        </w:rPr>
        <w:t xml:space="preserve">trap</w:t>
      </w:r>
      <w:r>
        <w:rPr>
          <w:bCs/>
          <w:b/>
          <w:iCs/>
          <w:i/>
        </w:rPr>
        <w:t xml:space="preserve">”</w:t>
      </w:r>
      <w:r>
        <w:rPr>
          <w:bCs/>
          <w:b/>
          <w:iCs/>
          <w:i/>
        </w:rPr>
        <w:t xml:space="preserve"> </w:t>
      </w:r>
      <w:r>
        <w:rPr>
          <w:bCs/>
          <w:b/>
          <w:iCs/>
          <w:i/>
        </w:rPr>
        <w:t xml:space="preserve">and</w:t>
      </w:r>
      <w:r>
        <w:rPr>
          <w:bCs/>
          <w:b/>
          <w:iCs/>
          <w:i/>
        </w:rPr>
        <w:t xml:space="preserve"> </w:t>
      </w:r>
      <w:r>
        <w:rPr>
          <w:bCs/>
          <w:b/>
          <w:iCs/>
          <w:i/>
        </w:rPr>
        <w:t xml:space="preserve">“</w:t>
      </w:r>
      <w:r>
        <w:rPr>
          <w:bCs/>
          <w:b/>
          <w:iCs/>
          <w:i/>
        </w:rPr>
        <w:t xml:space="preserve">Ti</w:t>
      </w:r>
      <w:r>
        <w:rPr>
          <w:vertAlign w:val="superscript"/>
          <w:bCs/>
          <w:b/>
          <w:iCs/>
          <w:i/>
        </w:rPr>
        <w:t xml:space="preserve">3+</w:t>
      </w:r>
      <w:r>
        <w:rPr>
          <w:bCs/>
          <w:b/>
          <w:iCs/>
          <w:i/>
        </w:rPr>
        <w:t xml:space="preserve">/O hole trap</w:t>
      </w:r>
      <w:r>
        <w:rPr>
          <w:bCs/>
          <w:b/>
          <w:iCs/>
          <w:i/>
        </w:rPr>
        <w:t xml:space="preserve">”</w:t>
      </w:r>
      <w:r>
        <w:rPr>
          <w:bCs/>
          <w:b/>
          <w:iCs/>
          <w:i/>
        </w:rPr>
        <w:t xml:space="preserve">; add the vacancy atom index and dopant–V</w:t>
      </w:r>
      <w:r>
        <w:rPr>
          <w:vertAlign w:val="subscript"/>
          <w:bCs/>
          <w:b/>
          <w:iCs/>
          <w:i/>
        </w:rPr>
        <w:t xml:space="preserve">O</w:t>
      </w:r>
      <w:r>
        <w:rPr>
          <w:bCs/>
          <w:b/>
          <w:iCs/>
          <w:i/>
        </w:rPr>
        <w:t xml:space="preserve"> </w:t>
      </w:r>
      <w:r>
        <w:rPr>
          <w:bCs/>
          <w:b/>
          <w:iCs/>
          <w:i/>
        </w:rPr>
        <w:t xml:space="preserve">distance to each panel.]</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the oxygen atom nearest the dopant relative to pristine TiO</w:t>
      </w:r>
      <w:r>
        <w:rPr>
          <w:vertAlign w:val="subscript"/>
        </w:rPr>
        <w:t xml:space="preserve">2</w:t>
      </w:r>
      <w:r>
        <w:t xml:space="preserve">, by 3.45 eV for Pr and 8.80 eV for Rb. The Pr cell remains uphill at this reference, so oxygen removal is not spontaneous; the Rb cell is downhill, so the vacancy-free Rb-substituted cell is unstable against oxygen loss at this reference.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combined k-mesh and rounding uncertainty on each E</w:t>
      </w:r>
      <w:r>
        <w:rPr>
          <w:vertAlign w:val="subscript"/>
          <w:iCs/>
          <w:i/>
        </w:rPr>
        <w:t xml:space="preserve">f</w:t>
      </w:r>
      <w:r>
        <w:rPr>
          <w:iCs/>
          <w:i/>
        </w:rPr>
        <w:t xml:space="preserve"> </w:t>
      </w:r>
      <w:r>
        <w:rPr>
          <w:iCs/>
          <w:i/>
        </w:rPr>
        <w:t xml:space="preserve">is about ±0.15 eV in absolute terms and ±0.05 eV on the Pr–Rb difference; cut-off and relaxation-tolerance contributions have not been quantified (Section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2×2×2 single points were not computed.</w:t>
      </w:r>
      <w:r>
        <w:t xml:space="preserve"> </w:t>
      </w:r>
      <w:r>
        <w:rPr>
          <w:bCs/>
          <w:b/>
        </w:rPr>
        <w:t xml:space="preserve">[AUTHOR ACTION: compute E(Pristine_perfect) and E(Pristine_VO) at 2×2×2 on the Γ geometries, or state in the table that they were not computed.]</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The pristine value lies within the range reported for the neutral bulk vacancy in anatase by other DFT+U and hybrid studies (4.0–5.0 eV at U = 4.2 eV [17]; 5.3–5.5 eV with HSE06 [48,37]), which supports the protocol at the level of absolute formation energies.</w:t>
      </w:r>
      <w:r>
        <w:t xml:space="preserve"> </w:t>
      </w:r>
      <w:r>
        <w:rPr>
          <w:bCs/>
          <w:b/>
        </w:rPr>
        <w:t xml:space="preserve">[AUTHOR ACTION: verify the Arrigoni–Madsen and Boonchun values and conditions against the full texts; the audit could not confirm them.]</w:t>
      </w:r>
      <w:r>
        <w:t xml:space="preserve"> </w:t>
      </w:r>
      <w:r>
        <w:t xml:space="preserve">On the 2×2×2 mesh the individual formation energies shift by −0.10 eV (Pr) and −0.14 eV (Rb) while the contrast moves from 5.36 to 5.39 eV, i.e. by +0.04 eV (defined as the 2×2×2 contrast minus the Γ-only contrast). The comparative conclusion is therefore insensitive to Brillouin-zone sampling at the 0.05 eV level, although the absolute values carry a 0.1–0.15 eV mesh dependence. The sign and direction of the Rb result agree with the experimental finding of Tian et al. that Rb doping lowers the V</w:t>
      </w:r>
      <w:r>
        <w:rPr>
          <w:vertAlign w:val="subscript"/>
        </w:rPr>
        <w:t xml:space="preserve">O</w:t>
      </w:r>
      <w:r>
        <w:t xml:space="preserve"> </w:t>
      </w:r>
      <w:r>
        <w:t xml:space="preserve">formation energy of TiO</w:t>
      </w:r>
      <w:r>
        <w:rPr>
          <w:vertAlign w:val="subscript"/>
        </w:rPr>
        <w:t xml:space="preserve">2</w:t>
      </w:r>
      <w:r>
        <w:t xml:space="preserve"> </w:t>
      </w:r>
      <w:r>
        <w:t xml:space="preserve">[14]; that work supports the mechanism and the sign,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spread over band-edge states with equal spin-up and spin-down weight.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0.281 eV above the non-magnetic solution; the non-magnetic solution is therefore the lower of the two solutions tested, and a broader search over spin seeds and local distortions would be needed to establish it as the ground state. 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a zero-magnetisation start,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With three formal holes in Rb_perfect and one residual hole in Rb_VO (Table 1), the Ti-3d-only Hubbard treatment thus localises one unpaired spin in each Rb cell; the remaining two holes of Rb_perfect are spin-compensated in this treatment, a point that the oxygen-site Hubbard test of Section 3.4 resolves. The excess of m</w:t>
      </w:r>
      <w:r>
        <w:rPr>
          <w:vertAlign w:val="subscript"/>
        </w:rPr>
        <w:t xml:space="preserve">abs</w:t>
      </w:r>
      <w:r>
        <w:t xml:space="preserve"> </w:t>
      </w:r>
      <w:r>
        <w:t xml:space="preserve">over |m| in Rb_VO (0.24 μ</w:t>
      </w:r>
      <w:r>
        <w:rPr>
          <w:vertAlign w:val="subscript"/>
        </w:rPr>
        <w:t xml:space="preserve">B</w:t>
      </w:r>
      <w:r>
        <w:t xml:space="preserve">) indicates minority spin density of the opposite sign, consistent with a partly delocalised hole rather than a single-site moment.</w:t>
      </w:r>
    </w:p>
    <w:p>
      <w:pPr>
        <w:pStyle w:val="BodyText"/>
      </w:pPr>
      <w:r>
        <w:rPr>
          <w:iCs/>
          <w:i/>
          <w:bCs/>
          <w:b/>
        </w:rPr>
        <w:t xml:space="preserve">Table 3. Converged magnetisation and Fermi energy of the production cells (single-U(Ti-3d) = 3.5 eV,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w:t>
            </w:r>
            <w:r>
              <w:t xml:space="preserve"> </w:t>
            </w:r>
            <w:r>
              <w:rPr>
                <w:vertAlign w:val="superscript"/>
              </w:rPr>
              <w:t xml:space="preserve">b</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+0.281 eV</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w:t>
            </w:r>
            <w:r>
              <w:t xml:space="preserve"> </w:t>
            </w:r>
            <w:r>
              <w:rPr>
                <w:vertAlign w:val="superscript"/>
              </w:rPr>
              <w:t xml:space="preserve">b</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b</w:t>
      </w:r>
      <w:r>
        <w:t xml:space="preserve"> </w:t>
      </w:r>
      <w:r>
        <w:rPr>
          <w:bCs/>
          <w:b/>
        </w:rPr>
        <w:t xml:space="preserve">[AUTHOR ACTION: insert E</w:t>
      </w:r>
      <w:r>
        <w:rPr>
          <w:vertAlign w:val="subscript"/>
          <w:bCs/>
          <w:b/>
        </w:rPr>
        <w:t xml:space="preserve">F</w:t>
      </w:r>
      <w:r>
        <w:rPr>
          <w:bCs/>
          <w:b/>
        </w:rPr>
        <w:t xml:space="preserve"> </w:t>
      </w:r>
      <w:r>
        <w:rPr>
          <w:bCs/>
          <w:b/>
        </w:rPr>
        <w:t xml:space="preserve">of Pr_perfect and Rb_perfect from the production output files.]</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Total (|m|) and absolute (m</w:t>
      </w:r>
      <w:r>
        <w:rPr>
          <w:vertAlign w:val="subscript"/>
          <w:iCs/>
          <w:i/>
        </w:rPr>
        <w:t xml:space="preserve">abs</w:t>
      </w:r>
      <w:r>
        <w:rPr>
          <w:iCs/>
          <w:i/>
        </w:rPr>
        <w:t xml:space="preserve">) magnetisation of the production cells and of the O</w:t>
      </w:r>
      <w:r>
        <w:rPr>
          <w:vertAlign w:val="subscript"/>
          <w:iCs/>
          <w:i/>
        </w:rPr>
        <w:t xml:space="preserve">2</w:t>
      </w:r>
      <w:r>
        <w:rPr>
          <w:iCs/>
          <w:i/>
        </w:rPr>
        <w:t xml:space="preserve"> </w:t>
      </w:r>
      <w:r>
        <w:rPr>
          <w:iCs/>
          <w:i/>
        </w:rPr>
        <w:t xml:space="preserve">reference (single-U(Ti-3d) PBE+U relaxations).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localisation of the dopant-induced holes</w:t>
      </w:r>
    </w:p>
    <w:p>
      <w:pPr>
        <w:pStyle w:val="BodyText"/>
      </w:pPr>
      <w:r>
        <w:t xml:space="preserve">Because a Ti-3d-only Hubbard term provides no localising potential for holes on the oxygen sublattice, the vacancy-free cells were re-relaxed with an additional U = 5.5 eV on O-2p (Section 2.2). The results are collected in Table 4. The pristine control remains non-magnetic (m</w:t>
      </w:r>
      <w:r>
        <w:rPr>
          <w:vertAlign w:val="subscript"/>
        </w:rPr>
        <w:t xml:space="preserve">abs</w:t>
      </w:r>
      <w:r>
        <w:t xml:space="preserve"> </w:t>
      </w:r>
      <w:r>
        <w:t xml:space="preserve">= 0.00 μ</w:t>
      </w:r>
      <w:r>
        <w:rPr>
          <w:vertAlign w:val="subscript"/>
        </w:rPr>
        <w:t xml:space="preserve">B</w:t>
      </w:r>
      <w:r>
        <w:t xml:space="preserve">), so the oxygen term does not by itself induce magnetism. Rb_perfect changes from m</w:t>
      </w:r>
      <w:r>
        <w:rPr>
          <w:vertAlign w:val="subscript"/>
        </w:rPr>
        <w:t xml:space="preserve">abs</w:t>
      </w:r>
      <w:r>
        <w:t xml:space="preserve"> </w:t>
      </w:r>
      <w:r>
        <w:t xml:space="preserve">= 1.00 to 3.00 μ</w:t>
      </w:r>
      <w:r>
        <w:rPr>
          <w:vertAlign w:val="subscript"/>
        </w:rPr>
        <w:t xml:space="preserve">B</w:t>
      </w:r>
      <w:r>
        <w:t xml:space="preserve">, i.e. the three formal holes of Table 1 become three localised, parallel oxygen-2p spins once the oxygen term is present; Rb_VO gives 1.00 μ</w:t>
      </w:r>
      <w:r>
        <w:rPr>
          <w:vertAlign w:val="subscript"/>
        </w:rPr>
        <w:t xml:space="preserve">B</w:t>
      </w:r>
      <w:r>
        <w:t xml:space="preserve">, the single residual hole after two have been filled by the vacancy electrons. Pr_perfect changes from the non-magnetic smeared solution to m</w:t>
      </w:r>
      <w:r>
        <w:rPr>
          <w:vertAlign w:val="subscript"/>
        </w:rPr>
        <w:t xml:space="preserve">abs</w:t>
      </w:r>
      <w:r>
        <w:t xml:space="preserve"> </w:t>
      </w:r>
      <w:r>
        <w:t xml:space="preserve">= 1.00 μ</w:t>
      </w:r>
      <w:r>
        <w:rPr>
          <w:vertAlign w:val="subscript"/>
        </w:rPr>
        <w:t xml:space="preserve">B</w:t>
      </w:r>
      <w:r>
        <w:t xml:space="preserve">, with a maximum residual force of 0.0049 Ry/Bohr; the one formal hole of the Pr substitution thus localises on oxygen when the oxygen term is present, and its Fermi energy (6.69 eV) lies 0.53 eV below that of the dual-U pristine cell (7.22 eV), as expected for a localised acceptor state. The electron count of each dual-U cell is reproduced by the spin count: one hole per Pr</w:t>
      </w:r>
      <w:r>
        <w:rPr>
          <w:vertAlign w:val="superscript"/>
        </w:rPr>
        <w:t xml:space="preserve">3+</w:t>
      </w:r>
      <w:r>
        <w:t xml:space="preserve">, three per Rb</w:t>
      </w:r>
      <w:r>
        <w:rPr>
          <w:vertAlign w:val="superscript"/>
        </w:rPr>
        <w:t xml:space="preserve">+</w:t>
      </w:r>
      <w:r>
        <w:t xml:space="preserve">, in line with the Kröger–Vink bookkeeping.</w:t>
      </w:r>
    </w:p>
    <w:p>
      <w:pPr>
        <w:pStyle w:val="BodyText"/>
      </w:pPr>
      <w:r>
        <w:rPr>
          <w:iCs/>
          <w:i/>
          <w:bCs/>
          <w:b/>
        </w:rPr>
        <w:t xml:space="preserve">Table 4. Effect of an oxygen-site Hubbard term (U(O-2p) = 5.5 eV added to U(Ti-3d) = 3.5 eV) on the absolute magnetisation of the vacancy-free and vacancy-containing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w:t>
            </w:r>
          </w:p>
        </w:tc>
        <w:tc>
          <w:tcPr/>
          <w:p>
            <w:pPr>
              <w:pStyle w:val="Compact"/>
              <w:jc w:val="left"/>
            </w:pPr>
            <w:r>
              <w:t xml:space="preserve">3.00</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w:t>
            </w:r>
          </w:p>
        </w:tc>
      </w:tr>
    </w:tbl>
    <w:p>
      <w:pPr>
        <w:pStyle w:val="BodyText"/>
      </w:pPr>
      <w:r>
        <w:t xml:space="preserve">Two consequences follow. First, the spin count of the Rb cells is now consistent across the two Hubbard treatments and with the charged-cell series of Section 3.5. Second, the description of the Pr-substituted parent is method dependent: the hole is delocalised in the Ti-3d-only treatment and localised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Rb_VO (already available), Pr_perfect and Rb_perfect under the dual-U scheme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the absolute magnetisation remains 0.00 μ</w:t>
      </w:r>
      <w:r>
        <w:rPr>
          <w:vertAlign w:val="subscript"/>
        </w:rPr>
        <w:t xml:space="preserve">B</w:t>
      </w:r>
      <w:r>
        <w:t xml:space="preserve"> </w:t>
      </w:r>
      <w:r>
        <w:t xml:space="preserve">at q = 0, +1 and +2: removing one and then two electrons from the smeared non-magnetic solution leaves it non-magnetic. For Rb_VO the absolute magnetisation rises from 1.21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Each electron removed from the Rb cell therefore uncovers one further unpaired oxygen hole, and the q = +2 endpoint corresponds to the three holes per Rb</w:t>
      </w:r>
      <w:r>
        <w:rPr>
          <w:vertAlign w:val="superscript"/>
        </w:rPr>
        <w:t xml:space="preserve">+</w:t>
      </w:r>
      <w:r>
        <w:t xml:space="preserve"> </w:t>
      </w:r>
      <w:r>
        <w:t xml:space="preserve">substitution found independently in the dual-U calculation of Section 3.4.</w:t>
      </w:r>
      <w:r>
        <w:t xml:space="preserve"> </w:t>
      </w:r>
      <w:r>
        <w:rPr>
          <w:bCs/>
          <w:b/>
        </w:rPr>
        <w:t xml:space="preserve">[AUTHOR ACTION: report m and m</w:t>
      </w:r>
      <w:r>
        <w:rPr>
          <w:vertAlign w:val="subscript"/>
          <w:bCs/>
          <w:b/>
        </w:rPr>
        <w:t xml:space="preserve">abs</w:t>
      </w:r>
      <w:r>
        <w:rPr>
          <w:bCs/>
          <w:b/>
        </w:rPr>
        <w:t xml:space="preserve"> </w:t>
      </w:r>
      <w:r>
        <w:rPr>
          <w:bCs/>
          <w:b/>
        </w:rPr>
        <w:t xml:space="preserve">separately for each charge state; the values quoted in the FINAL draft appear to be m</w:t>
      </w:r>
      <w:r>
        <w:rPr>
          <w:vertAlign w:val="subscript"/>
          <w:bCs/>
          <w:b/>
        </w:rPr>
        <w:t xml:space="preserve">abs</w:t>
      </w:r>
      <w:r>
        <w:rPr>
          <w:bCs/>
          <w:b/>
        </w:rPr>
        <w:t xml:space="preserve">.]</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so the differences (+2.10 eV for Pr_VO and −0.76 eV for Rb_VO relative to pristine; 2.86 eV between the two doped vacancy cells) should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a conduction-band filling of this kind would amount to tens of meV at most.</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w:t>
      </w:r>
      <w:r>
        <w:t xml:space="preserve"> </w:t>
      </w:r>
      <w:r>
        <w:t xml:space="preserve">Figure 4 shows the spin-resolved projected densities of states of Pr_VO and Rb_VO from 2×2×2 non-self-consistent calculations on the relaxed cells. In Pr_VO the occupied states near E</w:t>
      </w:r>
      <w:r>
        <w:rPr>
          <w:vertAlign w:val="subscript"/>
        </w:rPr>
        <w:t xml:space="preserve">F</w:t>
      </w:r>
      <w:r>
        <w:t xml:space="preserve"> </w:t>
      </w:r>
      <w:r>
        <w:t xml:space="preserve">are conduction-band states of Ti-3d character, the O-2p valence band lies about 3 eV lower, no feature appears inside the gap at the broadening used, and the Pr-5d projection is small at both band edges; the Pr-4f states are frozen in the core and cannot appear (Section 2.1). In Rb_VO the Fermi level lies at the top of the valence band and a spin-split feature with both O-2p and Ti-3d weight is present within about 0.3 eV of E</w:t>
      </w:r>
      <w:r>
        <w:rPr>
          <w:vertAlign w:val="subscript"/>
        </w:rPr>
        <w:t xml:space="preserve">F</w:t>
      </w:r>
      <w:r>
        <w:t xml:space="preserve"> </w:t>
      </w:r>
      <w:r>
        <w:t xml:space="preserve">(inset); it is occupied in one spin channel and empty in the other, which accounts for the unpaired spin of Table 3. The projection does not by itself fix the orbital character of the hole; the Bader differences of Section 3.7 and the dual-U result of Section 3.4 indicate that it is predominantly O-2p. The Fermi energy of Pr_VO in Figure 4 (10.31 eV, 2×2×2 non-self-consistent) differs from the Γ-only self-consistent value (9.99 eV) because of the k-mesh dependence of the conduction-band filling; the pristine and Rb_VO Fermi energies are mesh-stable.</w:t>
      </w:r>
    </w:p>
    <w:p>
      <w:pPr>
        <w:pStyle w:val="BodyText"/>
      </w:pPr>
      <w:r>
        <w:drawing>
          <wp:inline>
            <wp:extent cx="5334000" cy="5717146"/>
            <wp:effectExtent b="0" l="0" r="0" t="0"/>
            <wp:docPr descr="" title="" id="30" name="Picture"/>
            <a:graphic>
              <a:graphicData uri="http://schemas.openxmlformats.org/drawingml/2006/picture">
                <pic:pic>
                  <pic:nvPicPr>
                    <pic:cNvPr descr="../figures/Fig4_PDOS_relabel_required.png" id="31" name="Picture"/>
                    <pic:cNvPicPr>
                      <a:picLocks noChangeArrowheads="1" noChangeAspect="1"/>
                    </pic:cNvPicPr>
                  </pic:nvPicPr>
                  <pic:blipFill>
                    <a:blip r:embed="rId29"/>
                    <a:stretch>
                      <a:fillRect/>
                    </a:stretch>
                  </pic:blipFill>
                  <pic:spPr bwMode="auto">
                    <a:xfrm>
                      <a:off x="0" y="0"/>
                      <a:ext cx="5334000" cy="5717146"/>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Pr_VO (top) and Rb_VO (bottom) from non-self-consistent 2×2×2 calculations on the relaxed cells (PBE+U, U(Ti-3d) = 3.5 eV). Spin-up plotted upward, spin-down downward. Filled blue: Ti-3d; red: O-2p; purple: dopant 5d (Pr) or 4d (Rb); grey: total. Energies are relative to each cell’s Fermi level. Inset: gap region of Rb_VO showing the spin-split occupied state with mixed O-2p/Ti-3d weight.</w:t>
      </w:r>
      <w:r>
        <w:rPr>
          <w:iCs/>
          <w:i/>
        </w:rPr>
        <w:t xml:space="preserve"> </w:t>
      </w:r>
      <w:r>
        <w:rPr>
          <w:bCs/>
          <w:b/>
          <w:iCs/>
          <w:i/>
        </w:rPr>
        <w:t xml:space="preserve">[AUTHOR ACTION: regenerate from the projwfc.x output with the figure title changed to the caption text, the</w:t>
      </w:r>
      <w:r>
        <w:rPr>
          <w:bCs/>
          <w:b/>
          <w:iCs/>
          <w:i/>
        </w:rPr>
        <w:t xml:space="preserve"> </w:t>
      </w:r>
      <w:r>
        <w:rPr>
          <w:bCs/>
          <w:b/>
          <w:iCs/>
          <w:i/>
        </w:rPr>
        <w:t xml:space="preserve">“</w:t>
      </w:r>
      <w:r>
        <w:rPr>
          <w:bCs/>
          <w:b/>
          <w:iCs/>
          <w:i/>
        </w:rPr>
        <w:t xml:space="preserve">Ti</w:t>
      </w:r>
      <w:r>
        <w:rPr>
          <w:vertAlign w:val="superscript"/>
          <w:bCs/>
          <w:b/>
          <w:iCs/>
          <w:i/>
        </w:rPr>
        <w:t xml:space="preserve">3+</w:t>
      </w:r>
      <w:r>
        <w:rPr>
          <w:bCs/>
          <w:b/>
          <w:iCs/>
          <w:i/>
        </w:rPr>
        <w:t xml:space="preserve"> </w:t>
      </w:r>
      <w:r>
        <w:rPr>
          <w:bCs/>
          <w:b/>
          <w:iCs/>
          <w:i/>
        </w:rPr>
        <w:t xml:space="preserve">trap</w:t>
      </w:r>
      <w:r>
        <w:rPr>
          <w:bCs/>
          <w:b/>
          <w:iCs/>
          <w:i/>
        </w:rPr>
        <w:t xml:space="preserve">”</w:t>
      </w:r>
      <w:r>
        <w:rPr>
          <w:bCs/>
          <w:b/>
          <w:iCs/>
          <w:i/>
        </w:rPr>
        <w:t xml:space="preserve"> </w:t>
      </w:r>
      <w:r>
        <w:rPr>
          <w:bCs/>
          <w:b/>
          <w:iCs/>
          <w:i/>
        </w:rPr>
        <w:t xml:space="preserve">labels removed from the title and inset, the broadening and band count stated, and the source run identifiers recorded in the figure script.]</w:t>
      </w:r>
    </w:p>
    <w:p>
      <w:pPr>
        <w:pStyle w:val="BodyText"/>
      </w:pPr>
      <w:r>
        <w:rPr>
          <w:iCs/>
          <w:i/>
        </w:rPr>
        <w:t xml:space="preserve">Hybrid-functional check on the pristine cell.</w:t>
      </w:r>
      <w:r>
        <w:t xml:space="preserve"> </w:t>
      </w:r>
      <w:r>
        <w:t xml:space="preserve">A single-point HSE06 calculation on the relaxed Pristine_perfect cell (Section 2.8) gave a non-magnetic solution (m</w:t>
      </w:r>
      <w:r>
        <w:rPr>
          <w:vertAlign w:val="subscript"/>
        </w:rPr>
        <w:t xml:space="preserve">abs</w:t>
      </w:r>
      <w:r>
        <w:t xml:space="preserve"> </w:t>
      </w:r>
      <w:r>
        <w:t xml:space="preserve">= 0.00 μ</w:t>
      </w:r>
      <w:r>
        <w:rPr>
          <w:vertAlign w:val="subscript"/>
        </w:rPr>
        <w:t xml:space="preserve">B</w:t>
      </w:r>
      <w:r>
        <w:t xml:space="preserve">), a total energy of −3926.66858 Ry and a Fermi energy of 8.286 eV, 0.40 eV above the PBE+U value. The shift of the printed Fermi energy is not a band-gap measurement. The check establishes only that the non-magnetic pristine state survives the change of functional;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relaxed Pristine_perfect, Pr_VO and Rb_VO cells (Table S1) leave the magnetisations unchanged in kind: Pr_VO non-magnetic at every U; Rb_VO with one unpaired spin at every U (m</w:t>
      </w:r>
      <w:r>
        <w:rPr>
          <w:vertAlign w:val="subscript"/>
        </w:rPr>
        <w:t xml:space="preserve">abs</w:t>
      </w:r>
      <w:r>
        <w:t xml:space="preserve"> </w:t>
      </w:r>
      <w:r>
        <w:t xml:space="preserve">= 1.00 μ</w:t>
      </w:r>
      <w:r>
        <w:rPr>
          <w:vertAlign w:val="subscript"/>
        </w:rPr>
        <w:t xml:space="preserve">B</w:t>
      </w:r>
      <w:r>
        <w:t xml:space="preserve"> </w:t>
      </w:r>
      <w:r>
        <w:t xml:space="preserve">at the three test values and 1.21 μ</w:t>
      </w:r>
      <w:r>
        <w:rPr>
          <w:vertAlign w:val="subscript"/>
        </w:rPr>
        <w:t xml:space="preserve">B</w:t>
      </w:r>
      <w:r>
        <w:t xml:space="preserve"> </w:t>
      </w:r>
      <w:r>
        <w:t xml:space="preserve">at the production value, the latter from the relaxed rather than single-point calculation). The printed Fermi energies vary by at most 0.26 eV across the 1.5 eV range. The qualitative Pr/Rb distinction is therefore not tied to the particular U used.</w:t>
      </w:r>
    </w:p>
    <w:p>
      <w:pPr>
        <w:pStyle w:val="BodyText"/>
      </w:pPr>
      <w:r>
        <w:rPr>
          <w:iCs/>
          <w:i/>
        </w:rPr>
        <w:t xml:space="preserve">k-mesh.</w:t>
      </w:r>
      <w:r>
        <w:t xml:space="preserve"> </w:t>
      </w:r>
      <w:r>
        <w:t xml:space="preserve">For Pristine_perfect, Pr_VO and Rb_VO the total energy was computed at Γ, 2×2×1, 2×2×2 and 3×3×2 meshes at U = 3.5 eV. Relative to 3×3×2 the Γ-only energies are high by 1.05, 1.08 and 1.16 eV per cell (22, 23 and 25 meV per atom), whereas the 2×2×1 energies are within 1.15, 1.05 and 0.42 meV per atom of 3×3×2.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The magnetisations are mesh-independent.</w:t>
      </w:r>
      <w:r>
        <w:t xml:space="preserve"> </w:t>
      </w:r>
      <w:r>
        <w:rPr>
          <w:bCs/>
          <w:b/>
        </w:rPr>
        <w:t xml:space="preserve">[AUTHOR ACTION: Table S2 currently lists only the Γ and 2×2×2 energies of the four doped cells; add the 2×2×1, 2×2×2 and 3×3×2 energies of Pristine_perfect, Pr_VO and Rb_VO quoted in this paragraph, with run identifiers.]</w:t>
      </w:r>
    </w:p>
    <w:p>
      <w:pPr>
        <w:pStyle w:val="BodyText"/>
      </w:pPr>
      <w:r>
        <w:rPr>
          <w:iCs/>
          <w:i/>
        </w:rPr>
        <w:t xml:space="preserve">Dispersion.</w:t>
      </w:r>
      <w:r>
        <w:t xml:space="preserve"> </w:t>
      </w:r>
      <w:r>
        <w:t xml:space="preserve">D3(BJ) single points on the relaxed Pr_VO and Rb_VO cells gave dispersion contributions of −10.29 and −10.09 eV (Table S5; the differences between the D3 and production total energies are −10.25 and −10.08 eV, the small discrepancy reflecting the separate self-consistent cycles).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leave the magnetisations (0.00 and 1.00 μ</w:t>
      </w:r>
      <w:r>
        <w:rPr>
          <w:vertAlign w:val="subscript"/>
        </w:rPr>
        <w:t xml:space="preserve">B</w:t>
      </w:r>
      <w:r>
        <w:t xml:space="preserve">) and Fermi energies (within 0.02 eV) of the production cells unchanged, which is expected for a geometry-dependent energy correction at fixed geometry.</w:t>
      </w:r>
      <w:r>
        <w:t xml:space="preserve"> </w:t>
      </w:r>
      <w:r>
        <w:rPr>
          <w:bCs/>
          <w:b/>
        </w:rPr>
        <w:t xml:space="preserve">[AUTHOR ACTION: run D3 single points on Pr_perfect and Rb_perfect (about 6 h each on the stated hardware) to complete the cycle,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the oxygen nearest to Pr (2.17 Å),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V</w:t>
      </w:r>
      <w:r>
        <w:rPr>
          <w:vertAlign w:val="subscript"/>
        </w:rPr>
        <w:t xml:space="preserve">O</w:t>
      </w:r>
      <w:r>
        <w:t xml:space="preserve"> </w:t>
      </w:r>
      <w:r>
        <w:t xml:space="preserve">adjacent to Pr but is not a global search, and no corresponding sampling was performed for the Rb cell.</w:t>
      </w:r>
      <w:r>
        <w:t xml:space="preserve"> </w:t>
      </w:r>
      <w:r>
        <w:rPr>
          <w:bCs/>
          <w:b/>
        </w:rPr>
        <w:t xml:space="preserve">[AUTHOR ACTION: list the coordinates and minimum-image Pr–V</w:t>
      </w:r>
      <w:r>
        <w:rPr>
          <w:vertAlign w:val="subscript"/>
          <w:bCs/>
          <w:b/>
        </w:rPr>
        <w:t xml:space="preserve">O</w:t>
      </w:r>
      <w:r>
        <w:rPr>
          <w:bCs/>
          <w:b/>
        </w:rPr>
        <w:t xml:space="preserve"> </w:t>
      </w:r>
      <w:r>
        <w:rPr>
          <w:bCs/>
          <w:b/>
        </w:rPr>
        <w:t xml:space="preserve">distances of all four sites in Table S4, and if possible add two Rb_VO sites (nearest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 Relative to the Pr_VO cell, the 31 oxygen atoms of Rb_VO hold 0.97 e less in total, with the depletion concentrated on one oxygen in the second coordination shell of Rb (−0.26 e, O8) and a second oxygen (−0.14 e, O30), five further oxygens contributing −0.05 to −0.09 e each; the 15 Ti atoms show a uniform mean depletion of −0.012 e (−0.18 e in total) and no Ti differs by more than 0.05 e. No Ti site shows the depletion of order 1 e that a localised Ti</w:t>
      </w:r>
      <w:r>
        <w:rPr>
          <w:vertAlign w:val="superscript"/>
        </w:rPr>
        <w:t xml:space="preserve">3+</w:t>
      </w:r>
      <w:r>
        <w:t xml:space="preserve"> </w:t>
      </w:r>
      <w:r>
        <w:t xml:space="preserve">centre in Pr_VO would produce. The comparison is between cells of different composition, so the differences contain chemical polarisation by the dopant as well as carrier redistribution, and Bader charges are not orbital occupations; the result is therefore supporting evidence that the unpaired spin of Rb_VO resides mainly on oxygen, not a quantitative hole count. A same-composition comparison (Rb_VO at q = 0 versus q = +1, or the spin density itself) would be more direct.</w:t>
      </w:r>
      <w:r>
        <w:t xml:space="preserve"> </w:t>
      </w:r>
      <w:r>
        <w:rPr>
          <w:bCs/>
          <w:b/>
        </w:rPr>
        <w:t xml:space="preserve">[AUTHOR ACTION: add the spin-density isosurface of Rb_VO, which the pp.x output already allows, as Figure S4; it is the most direct evidence of where the hole sits.]</w:t>
      </w:r>
      <w:r>
        <w:t xml:space="preserve"> </w:t>
      </w: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several eV per transferred electron are expected and are what is found (3.45 eV for one electron in the Pr cell, 8.80 eV for two in the Rb cell). The per-electron gains are not equal, because the two dopants also differ in the electrostatic and elastic environment they create around the vacancy site; the two-dopant design cannot decompose the formation-energy difference into these contributions.</w:t>
      </w:r>
    </w:p>
    <w:p>
      <w:pPr>
        <w:pStyle w:val="BodyText"/>
      </w:pPr>
      <w:r>
        <w:rPr>
          <w:bCs/>
          <w:b/>
        </w:rPr>
        <w:t xml:space="preserve">4.2 Relation to previous work.</w:t>
      </w:r>
      <w:r>
        <w:t xml:space="preserve"> </w:t>
      </w:r>
      <w:r>
        <w:t xml:space="preserve">The Rb result reproduces,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[29], and it agrees in sign with the experimental vacancy-formation trend reported for Rb-doped TiO</w:t>
      </w:r>
      <w:r>
        <w:rPr>
          <w:vertAlign w:val="subscript"/>
        </w:rPr>
        <w:t xml:space="preserve">2</w:t>
      </w:r>
      <w:r>
        <w:t xml:space="preserve"> </w:t>
      </w:r>
      <w:r>
        <w:t xml:space="preserve">by Tian et al. [14]. Because only one alkali was studied here, the radius dependence found by Carey and Nolan across Li–Rb is not tested. The Pr result is consistent with the trivalent-dopant picture of Iwaszuk and Nolan for rutile [25]: the vacancy is not spontaneous at the oxygen-rich reference, but its cost is reduced by 3.45 eV relative to the pristine host, so V</w:t>
      </w:r>
      <w:r>
        <w:rPr>
          <w:vertAlign w:val="subscript"/>
        </w:rPr>
        <w:t xml:space="preserve">O</w:t>
      </w:r>
      <w:r>
        <w:t xml:space="preserve"> </w:t>
      </w:r>
      <w:r>
        <w:t xml:space="preserve">compensation becomes accessible as the oxygen chemical potential is lowered.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next to Pr becomes exothermic once μ</w:t>
      </w:r>
      <w:r>
        <w:rPr>
          <w:vertAlign w:val="subscript"/>
        </w:rPr>
        <w:t xml:space="preserve">O</w:t>
      </w:r>
      <w:r>
        <w:t xml:space="preserve"> </w:t>
      </w:r>
      <w:r>
        <w:t xml:space="preserve">falls more than 1.29 eV below the O</w:t>
      </w:r>
      <w:r>
        <w:rPr>
          <w:vertAlign w:val="subscript"/>
        </w:rPr>
        <w:t xml:space="preserve">2</w:t>
      </w:r>
      <w:r>
        <w:t xml:space="preserve"> </w:t>
      </w:r>
      <w:r>
        <w:t xml:space="preserve">reference, which is well inside the oxygen-poor range accessible to TiO</w:t>
      </w:r>
      <w:r>
        <w:rPr>
          <w:vertAlign w:val="subscript"/>
        </w:rPr>
        <w:t xml:space="preserve">2</w:t>
      </w:r>
      <w:r>
        <w:t xml:space="preserve"> </w:t>
      </w:r>
      <w:r>
        <w:t xml:space="preserve">before reduction to lower oxides. The preference for the vacancy adjacent to Pr (Section 3.7) agrees with the Pr–V</w:t>
      </w:r>
      <w:r>
        <w:rPr>
          <w:vertAlign w:val="subscript"/>
        </w:rPr>
        <w:t xml:space="preserve">O</w:t>
      </w:r>
      <w:r>
        <w:t xml:space="preserve"> </w:t>
      </w:r>
      <w:r>
        <w:t xml:space="preserve">clustering reported at the anatase (101) surface by Vural et al. [27], with the caveat that only four sites were sampled here. The localisation of the Pr-induced hole on oxygen when an oxygen-site U is present parallels the O-2p hole states reported for other trivalent dopants in TiO</w:t>
      </w:r>
      <w:r>
        <w:rPr>
          <w:vertAlign w:val="subscript"/>
        </w:rPr>
        <w:t xml:space="preserve">2</w:t>
      </w:r>
      <w:r>
        <w:t xml:space="preserve"> </w:t>
      </w:r>
      <w:r>
        <w:t xml:space="preserve">[25,24]; the analogous observation for Cu-doped anatase, where the dopant provides an empty gap state that accepts vacancy electrons [49], is a chemical analogy rather than evidence for the Pr case.</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[28]),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it does not hold size constant, and no strain or fixed-geometry decomposition was computed. The statement that the 5.36 eV contrast is</w:t>
      </w:r>
      <w:r>
        <w:t xml:space="preserve"> </w:t>
      </w:r>
      <w:r>
        <w:t xml:space="preserve">“</w:t>
      </w:r>
      <w:r>
        <w:t xml:space="preserve">larger than any plausible strain contribution</w:t>
      </w:r>
      <w:r>
        <w:t xml:space="preserve">”</w:t>
      </w:r>
      <w:r>
        <w:t xml:space="preserve">, made in an earlier version of this work, is therefore withdrawn; what can be said is that the sign and magnitude of the contrast are those expected from the electron count and that no size-based argument predicts them.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a localised oxygen hole with U on O-2p (Section 3.4). The dual-U result is the one consistent with the electron count and with the behaviour of the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and the earlier description of Pr-substituted anatase as</w:t>
      </w:r>
      <w:r>
        <w:t xml:space="preserve"> </w:t>
      </w:r>
      <w:r>
        <w:t xml:space="preserve">“</w:t>
      </w:r>
      <w:r>
        <w:t xml:space="preserve">closed-shell</w:t>
      </w:r>
      <w:r>
        <w:t xml:space="preserve">”</w:t>
      </w:r>
      <w:r>
        <w:t xml:space="preserve"> </w:t>
      </w:r>
      <w:r>
        <w:t xml:space="preserve">and</w:t>
      </w:r>
      <w:r>
        <w:t xml:space="preserve"> </w:t>
      </w:r>
      <w:r>
        <w:t xml:space="preserve">“</w:t>
      </w:r>
      <w:r>
        <w:t xml:space="preserve">trap-free</w:t>
      </w:r>
      <w:r>
        <w:t xml:space="preserve">”</w:t>
      </w:r>
      <w:r>
        <w:t xml:space="preserve"> </w:t>
      </w:r>
      <w:r>
        <w:t xml:space="preserve">is withdrawn. For the vacancy-containing Pr cell, both treatments agree that the net carrier is one excess electron in conduction-band-derived states (Table 1 and Figure 4), but this conclusion is drawn from a single smeared non-magnetic solution and one magnetic trial, and it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support, within this protocol and host, the use of the formal charge mismatch as the first screening variable for whether a substitutional dopant will promote or resist oxygen-vacancy formation: dopants with |Δq| = 1 leave the vacancy uphill at the oxygen-rich limit, dopants with |Δq| = 3 make it spontaneous. Three further statements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being the electronic mirror image of the alkali case. (iii) The oxygen-hole states generated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and 3.1 % anion substitution. Defect–image interactions are not corrected; absolute formation energies at the dilute limit may differ by several tenths of an eV. (ii)</w:t>
      </w:r>
      <w:r>
        <w:t xml:space="preserve"> </w:t>
      </w:r>
      <w:r>
        <w:rPr>
          <w:iCs/>
          <w:i/>
        </w:rPr>
        <w:t xml:space="preserve">Brillouin-zone sampling.</w:t>
      </w:r>
      <w:r>
        <w:t xml:space="preserve"> </w:t>
      </w:r>
      <w:r>
        <w:t xml:space="preserve">Production relaxations are Γ-only. Total energies are 22–25 meV per atom above the 3×3×2 values; formation energies rely on cancellation within each host, and the 2×2×2 check bounds the residual at 0.10–0.14 eV on each E</w:t>
      </w:r>
      <w:r>
        <w:rPr>
          <w:vertAlign w:val="subscript"/>
        </w:rPr>
        <w:t xml:space="preserve">f</w:t>
      </w:r>
      <w:r>
        <w:t xml:space="preserve"> </w:t>
      </w:r>
      <w:r>
        <w:t xml:space="preserve">and 0.04 eV on ΔE</w:t>
      </w:r>
      <w:r>
        <w:rPr>
          <w:vertAlign w:val="subscript"/>
        </w:rPr>
        <w:t xml:space="preserve">f</w:t>
      </w:r>
      <w:r>
        <w:t xml:space="preserve">. (iii)</w:t>
      </w:r>
      <w:r>
        <w:t xml:space="preserve"> </w:t>
      </w:r>
      <w:r>
        <w:rPr>
          <w:iCs/>
          <w:i/>
        </w:rPr>
        <w:t xml:space="preserve">Plane-wave cut-off.</w:t>
      </w:r>
      <w:r>
        <w:t xml:space="preserve"> </w:t>
      </w:r>
      <w:r>
        <w:t xml:space="preserve">40 Ry was not tested against a higher cut-off; comparable studies use 55 Ry for the same species [16].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effect of tighter relaxation on the energetics and on the localisation results has not been tested. (v)</w:t>
      </w:r>
      <w:r>
        <w:t xml:space="preserve"> </w:t>
      </w:r>
      <w:r>
        <w:rPr>
          <w:iCs/>
          <w:i/>
        </w:rPr>
        <w:t xml:space="preserve">Spin search.</w:t>
      </w:r>
      <w:r>
        <w:t xml:space="preserve"> </w:t>
      </w:r>
      <w:r>
        <w:t xml:space="preserve">One magnetic trial per non-magnetic cell was performed; occupations, smearing and symmetry settings were not varied.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(vii)</w:t>
      </w:r>
      <w:r>
        <w:t xml:space="preserve"> </w:t>
      </w:r>
      <w:r>
        <w:rPr>
          <w:iCs/>
          <w:i/>
        </w:rPr>
        <w:t xml:space="preserve">Oxygen-site U.</w:t>
      </w:r>
      <w:r>
        <w:t xml:space="preserve"> </w:t>
      </w:r>
      <w:r>
        <w:t xml:space="preserve">U(O-2p) = 5.5 eV is transferred, not derived for anatase; the dual-U treatment was applied to the vacancy-free cells and Rb_VO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would give a first-order monopole correction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and competing phases were not evaluated, so no statement about the synthesisable phase of Rb-doped anatase is made. (x)</w:t>
      </w:r>
      <w:r>
        <w:t xml:space="preserve"> </w:t>
      </w:r>
      <w:r>
        <w:rPr>
          <w:iCs/>
          <w:i/>
        </w:rPr>
        <w:t xml:space="preserve">Defect channels.</w:t>
      </w:r>
      <w:r>
        <w:t xml:space="preserve"> </w:t>
      </w:r>
      <w:r>
        <w:t xml:space="preserve">Only the V</w:t>
      </w:r>
      <w:r>
        <w:rPr>
          <w:vertAlign w:val="subscript"/>
        </w:rPr>
        <w:t xml:space="preserve">O</w:t>
      </w:r>
      <w:r>
        <w:t xml:space="preserve"> </w:t>
      </w:r>
      <w:r>
        <w:t xml:space="preserve">channel was computed;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Bader analysis.</w:t>
      </w:r>
      <w:r>
        <w:t xml:space="preserve"> </w:t>
      </w:r>
      <w:r>
        <w:t xml:space="preserve">The comparison is between cells of different composition and is supporting rather than quantitative evidence.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a 5.36 eV contrast that is stable to 0.04 eV against the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oxygen-centred spin in every treatment tested, and a charged-cell series reaches three unpaired spins per Rb</w:t>
      </w:r>
      <w:r>
        <w:rPr>
          <w:vertAlign w:val="superscript"/>
        </w:rPr>
        <w:t xml:space="preserve">+</w:t>
      </w:r>
      <w:r>
        <w:t xml:space="preserve">. The Pr cells converge to non-magnetic smeared solutions with U on Ti-3d only, but the vacancy-free Pr cell develops a localised oxygen hole when U is also placed on O-2p, so the localisation picture for Pr-substituted anatase is method dependent and the</w:t>
      </w:r>
      <w:r>
        <w:t xml:space="preserve"> </w:t>
      </w:r>
      <w:r>
        <w:t xml:space="preserve">“</w:t>
      </w:r>
      <w:r>
        <w:t xml:space="preserve">closed-shell, trap-free</w:t>
      </w:r>
      <w:r>
        <w:t xml:space="preserve">”</w:t>
      </w:r>
      <w:r>
        <w:t xml:space="preserve"> </w:t>
      </w:r>
      <w:r>
        <w:t xml:space="preserve">description used earlier is not supported. The two-dopant comparison is consistent with charge-compensation control of oxygen-vacancy energetics in this host and provides a common-protocol benchmark for the two dopant families,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r>
        <w:t xml:space="preserve"> </w:t>
      </w:r>
      <w:r>
        <w:rPr>
          <w:bCs/>
          <w:b/>
        </w:rPr>
        <w:t xml:space="preserve">[AUTHOR ACTION: add funding sources and grant numbers, if any.]</w:t>
      </w:r>
    </w:p>
    <w:p>
      <w:pPr>
        <w:pStyle w:val="BodyText"/>
      </w:pPr>
      <w:r>
        <w:rPr>
          <w:bCs/>
          <w:b/>
        </w:rPr>
        <w:t xml:space="preserve">Declaration of generative AI use</w:t>
      </w:r>
    </w:p>
    <w:p>
      <w:pPr>
        <w:pStyle w:val="BodyText"/>
      </w:pPr>
      <w:r>
        <w:t xml:space="preserve">During the preparation of this work the authors used Claude (Anthropic) to improve readability and to check the internal consistency of numbers, cross-references and citations. After using this tool the authors reviewed and edited the content as needed and take full responsibility for the content of the publication. All calculations, analyses and conclusions are the authors’ own.</w:t>
      </w:r>
    </w:p>
    <w:p>
      <w:pPr>
        <w:pStyle w:val="BodyText"/>
      </w:pPr>
      <w:r>
        <w:rPr>
          <w:bCs/>
          <w:b/>
        </w:rPr>
        <w:t xml:space="preserve">CRediT author contributions</w:t>
      </w:r>
    </w:p>
    <w:p>
      <w:pPr>
        <w:pStyle w:val="BodyText"/>
      </w:pPr>
      <w:r>
        <w:t xml:space="preserve">M.G.: conceptualisation, methodology, investigation, formal analysis, data curation, visualisation, writing – original draft. A.B.O.: supervision, methodology, validation, writing – review and editing. S.R.B.S.R.: resources, writing – review and editing.</w:t>
      </w:r>
    </w:p>
    <w:p>
      <w:pPr>
        <w:pStyle w:val="BodyText"/>
      </w:pPr>
      <w:r>
        <w:rPr>
          <w:bCs/>
          <w:b/>
        </w:rPr>
        <w:t xml:space="preserve">Data availability</w:t>
      </w:r>
    </w:p>
    <w:p>
      <w:pPr>
        <w:pStyle w:val="BodyText"/>
      </w:pPr>
      <w:r>
        <w:t xml:space="preserve">The Quantum ESPRESSO input files, converged output files, pseudopotential files, Bader output tables, PDOS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no competing financial or personal interests.</w:t>
      </w:r>
    </w:p>
    <w:p>
      <w:pPr>
        <w:pStyle w:val="BodyText"/>
      </w:pPr>
      <w:r>
        <w:rPr>
          <w:bCs/>
          <w:b/>
        </w:rPr>
        <w:t xml:space="preserve">References</w:t>
      </w:r>
    </w:p>
    <w:p>
      <w:pPr>
        <w:numPr>
          <w:ilvl w:val="0"/>
          <w:numId w:val="1002"/>
        </w:numPr>
      </w:pPr>
      <w:r>
        <w:t xml:space="preserve">Pecunia, V.; Occhipinti, L. G.; Hoye, R. L. Z. Emerging Indoor Photovoltaic Technologies for Sustainable Internet of Things. Adv. Energy Mater. 2021, 11, 2100698. DOI: 10.1002/aenm.202100698.</w:t>
      </w:r>
    </w:p>
    <w:p>
      <w:pPr>
        <w:numPr>
          <w:ilvl w:val="0"/>
          <w:numId w:val="1002"/>
        </w:numPr>
      </w:pPr>
      <w:r>
        <w:t xml:space="preserve">Duan, J.; Zhao, Y.; He, B.; Tang, Q. High-Purity Inorganic Perovskite Films for Solar Cells with 9.72% Efficiency. Angew. Chem. Int. Ed. 2018, 57, 3787–3791. DOI: 10.1002/anie.201800019.</w:t>
      </w:r>
    </w:p>
    <w:p>
      <w:pPr>
        <w:numPr>
          <w:ilvl w:val="0"/>
          <w:numId w:val="1002"/>
        </w:numPr>
      </w:pPr>
      <w:r>
        <w:t xml:space="preserve">Kavan, L.; Vlčková Živcová, Z.; Zlámalová, M.; Zakeeruddin, S. M.; Grätzel, M. Electron-Selective Layers for Dye-Sensitized Solar Cells Based on TiO2 and SnO2. J. Phys. Chem. C 2020, 124, 6512–6521. DOI: 10.1021/acs.jpcc.9b11883.</w:t>
      </w:r>
    </w:p>
    <w:p>
      <w:pPr>
        <w:numPr>
          <w:ilvl w:val="0"/>
          <w:numId w:val="1002"/>
        </w:numPr>
      </w:pPr>
      <w:r>
        <w:t xml:space="preserve">Nagar, M. R.; Shahnawaz; Yadav, R. A. K.; Lin, J.-T.; Jou, J.-H. Nanocomposite Electron-Transport Layer Incorporated Highly Efficient OLED. ACS Appl. Electron. Mater. 2020, 2, 1545–1554. DOI: 10.1021/acsaelm.0c00166.</w:t>
      </w:r>
    </w:p>
    <w:p>
      <w:pPr>
        <w:numPr>
          <w:ilvl w:val="0"/>
          <w:numId w:val="1002"/>
        </w:numPr>
      </w:pPr>
      <w:r>
        <w:t xml:space="preserve">Xie, H.; Li, N.; Chen, X.; Jiang, J.; Zhao, X. Surface Oxygen Vacancies Promoted Photodegradation of Benzene on TiO2 Film. Appl. Surf. Sci. 2020, 511, 145597. DOI: 10.1016/j.apsusc.2020.145597.</w:t>
      </w:r>
    </w:p>
    <w:p>
      <w:pPr>
        <w:numPr>
          <w:ilvl w:val="0"/>
          <w:numId w:val="1002"/>
        </w:numPr>
      </w:pPr>
      <w:r>
        <w:t xml:space="preserve">Kreft, S.; Wei, D.; Junge, H.; Beller, M. Recent Advances on TiO2-Based Photocatalytic CO2 Reduction. EnergyChem 2020, 2, 100044. DOI: 10.1016/j.enchem.2020.100044.</w:t>
      </w:r>
    </w:p>
    <w:p>
      <w:pPr>
        <w:numPr>
          <w:ilvl w:val="0"/>
          <w:numId w:val="1002"/>
        </w:numPr>
      </w:pPr>
      <w:r>
        <w:t xml:space="preserve">Yin, W.; Wen, B.; Ge, Q.; Teobaldi, G.; Liu, L. Effect of Crystal Field on the Formation and Diffusion of Oxygen Vacancy at Anatase (101) Surface and Sub-Surface. Prog. Nat. Sci.: Mater. Int. 2020, 30, 128–134. DOI: 10.1016/j.pnsc.2020.01.001.</w:t>
      </w:r>
    </w:p>
    <w:p>
      <w:pPr>
        <w:numPr>
          <w:ilvl w:val="0"/>
          <w:numId w:val="1002"/>
        </w:numPr>
      </w:pPr>
      <w:r>
        <w:t xml:space="preserve">Li, Z.; Zhang, X.; Zhang, L.; Xu, C.; Zhang, Y. Pathway Alteration of Water Splitting via Oxygen Vacancy Formation on Anatase Titanium Dioxide in Photothermal Catalysis. J. Phys. Chem. C 2020, 124, 26214–26221. DOI: 10.1021/acs.jpcc.0c07117.</w:t>
      </w:r>
    </w:p>
    <w:p>
      <w:pPr>
        <w:numPr>
          <w:ilvl w:val="0"/>
          <w:numId w:val="1002"/>
        </w:numPr>
      </w:pPr>
      <w:r>
        <w:t xml:space="preserve">Knez, D.; Dražić, G.; Chaluvadi, S. K.; Rossi, G.; Ciancio, R. Unveiling Oxygen Vacancy Superstructures in Reduced Anatase Thin Films. Nano Lett. 2020, 20, 6444–6451. DOI: 10.1021/acs.nanolett.0c02125.</w:t>
      </w:r>
    </w:p>
    <w:p>
      <w:pPr>
        <w:numPr>
          <w:ilvl w:val="0"/>
          <w:numId w:val="1002"/>
        </w:numPr>
      </w:pPr>
      <w:r>
        <w:t xml:space="preserve">Bigi, C.; Tang, Z.; Pierantozzi, G. M.; Panaccione, G.; Selloni, A. Distinct Behaviour of Localised and Delocalised Carriers in Anatase TiO2 (001) during Reaction with O2. Phys. Rev. Mater. 2020, 4, 025801. DOI: 10.1103/PhysRevMaterials.4.025801.</w:t>
      </w:r>
    </w:p>
    <w:p>
      <w:pPr>
        <w:numPr>
          <w:ilvl w:val="0"/>
          <w:numId w:val="1002"/>
        </w:numPr>
      </w:pPr>
      <w:r>
        <w:t xml:space="preserve">Bai, X.; Jia, J.; Du, Y.; Liu, E.; Fan, J. Multi-Level Trapped Electrons System in Enhancing Photocatalytic Activity of TiO2 Nanosheets for Simultaneous Reduction of Cr(VI) and RhB Degradation. Appl. Surf. Sci. 2020, 504, 144298. DOI: 10.1016/j.apsusc.2019.144298.</w:t>
      </w:r>
    </w:p>
    <w:p>
      <w:pPr>
        <w:numPr>
          <w:ilvl w:val="0"/>
          <w:numId w:val="1002"/>
        </w:numPr>
      </w:pPr>
      <w:r>
        <w:t xml:space="preserve">Yang, Y.; Zhang, Z.; Fang, W.-H.; Fernández-Alberti, S.; Long, R. Unraveling the Quantum Dynamics Origin of High Photocatalytic Activity in Nitrogen-Doped Anatase TiO2: Time-Domain Ab Initio Analysis. J. Mater. Chem. A 2020, 8, 25235–25244. DOI: 10.1039/d0ta08712b.</w:t>
      </w:r>
    </w:p>
    <w:p>
      <w:pPr>
        <w:numPr>
          <w:ilvl w:val="0"/>
          <w:numId w:val="1002"/>
        </w:numPr>
      </w:pPr>
      <w:r>
        <w:t xml:space="preserve">Yin, W.-J.; Wen, B.; Zhou, C.; Selloni, A.; Liu, L.-M. Excess Electrons in Reduced Rutile and Anatase TiO2. Surf. Sci. Rep. 2018, 73, 58–82. DOI: 10.1016/j.surfrep.2018.02.003.</w:t>
      </w:r>
    </w:p>
    <w:p>
      <w:pPr>
        <w:numPr>
          <w:ilvl w:val="0"/>
          <w:numId w:val="1002"/>
        </w:numPr>
      </w:pPr>
      <w:r>
        <w:t xml:space="preserve">Tian, X.; Zeng, Z.; He, Y.; Lei, L.; Yu, C.; Zhang, X. Rb Doping and Lattice Strain Synergistically Engineering Oxygen Vacancies in TiO2 for Stable High-Contrast Photoreversible Colour Switching. Adv. Funct. Mater. 2025, 35, 2423514. DOI: 10.1002/adfm.202423514.</w:t>
      </w:r>
    </w:p>
    <w:p>
      <w:pPr>
        <w:numPr>
          <w:ilvl w:val="0"/>
          <w:numId w:val="1002"/>
        </w:numPr>
      </w:pPr>
      <w:r>
        <w:t xml:space="preserve">Han, X.; Amrane, N.; Zhang, Z.; Benkraouda, M. Interplay between Gd and Oxygen Vacancy on the Electronic Properties and Defect Chemistry of Gd-Doped CeO2: A DFT+U Study. Chem. Phys. 2020, 534, 110741. DOI: 10.1016/j.chemphys.2020.110741.</w:t>
      </w:r>
    </w:p>
    <w:p>
      <w:pPr>
        <w:numPr>
          <w:ilvl w:val="0"/>
          <w:numId w:val="1002"/>
        </w:numPr>
      </w:pPr>
      <w:r>
        <w:t xml:space="preserve">Raghav, A.; Hanindriyo, A. T.; Utimula, K.; Abbasnejad, M.; Maezono, R.; Panda, E. Intrinsic Electronic Defect States of Anatase Using Density Functional Theory. Comput. Mater. Sci. 2020, 184, 109925. DOI: 10.1016/j.commatsci.2020.109925.</w:t>
      </w:r>
    </w:p>
    <w:p>
      <w:pPr>
        <w:numPr>
          <w:ilvl w:val="0"/>
          <w:numId w:val="1002"/>
        </w:numPr>
      </w:pPr>
      <w:r>
        <w:t xml:space="preserve">Arrigoni, M.; Madsen, G. K. H. A Comparative First-Principles Investigation on the Defect Chemistry of TiO2 Anatase. J. Chem. Phys. 2020, 152, 044110. DOI: 10.1063/1.5138902.</w:t>
      </w:r>
    </w:p>
    <w:p>
      <w:pPr>
        <w:numPr>
          <w:ilvl w:val="0"/>
          <w:numId w:val="1002"/>
        </w:numPr>
      </w:pPr>
      <w:r>
        <w:t xml:space="preserve">Morgan, B. J.; Watson, G. W. A DFT+U Description of Oxygen Vacancies at the TiO2 Rutile (110) Surface. Surf. Sci. 2007, 601, 5034–5041. DOI: 10.1016/j.susc.2007.08.025.</w:t>
      </w:r>
    </w:p>
    <w:p>
      <w:pPr>
        <w:numPr>
          <w:ilvl w:val="0"/>
          <w:numId w:val="1002"/>
        </w:numPr>
      </w:pPr>
      <w:r>
        <w:t xml:space="preserve">Polliotto, V.; Albanese, E.; Livraghi, S.; Pacchioni, G.; Giamello, E. Structural, Electronic and Photochemical Properties of Cerium-Doped Zirconium Titanate. Catal. Today 2020, 340, 49–58. DOI: 10.1016/j.cattod.2018.09.026.</w:t>
      </w:r>
    </w:p>
    <w:p>
      <w:pPr>
        <w:numPr>
          <w:ilvl w:val="0"/>
          <w:numId w:val="1002"/>
        </w:numPr>
      </w:pPr>
      <w:r>
        <w:t xml:space="preserve">Mazierski, P.; Mikołajczyk, A.; Grzyb, T.; Zaleska-Medynska, A.; Nadolna, J. On the Excitation Mechanism of Visible Responsible Er-TiO2 System Proved by Experimental and Theoretical Investigations for Boosting Photocatalytic Activity. Appl. Surf. Sci. 2020, 527, 146815. DOI: 10.1016/j.apsusc.2020.146815.</w:t>
      </w:r>
    </w:p>
    <w:p>
      <w:pPr>
        <w:numPr>
          <w:ilvl w:val="0"/>
          <w:numId w:val="1002"/>
        </w:numPr>
      </w:pPr>
      <w:r>
        <w:t xml:space="preserve">Ahmad, A.; Yerlikaya, G.; Ur Rehman, M. Z.; Paksoy, H.; Kardaş, G. Enhanced Photoelectrochemical Water Splitting Using Gadolinium Doped Titanium Dioxide Nanorod Array Photoanodes. Int. J. Hydrogen Energy 2020, 45, 2515–2526. DOI: 10.1016/j.ijhydene.2019.11.117.</w:t>
      </w:r>
    </w:p>
    <w:p>
      <w:pPr>
        <w:numPr>
          <w:ilvl w:val="0"/>
          <w:numId w:val="1002"/>
        </w:numPr>
      </w:pPr>
      <w:r>
        <w:t xml:space="preserve">Chen, W.; Yuan, P.; Zhang, S.; Sun, Q.; Liang, E.; Jia, Y. Electronic Properties of Anatase TiO2 Doped by Lanthanides: A DFT+U Study. Physica B 2012, 407, 1038–1043. DOI: 10.1016/j.physb.2011.12.126.</w:t>
      </w:r>
    </w:p>
    <w:p>
      <w:pPr>
        <w:numPr>
          <w:ilvl w:val="0"/>
          <w:numId w:val="1002"/>
        </w:numPr>
      </w:pPr>
      <w:r>
        <w:t xml:space="preserve">Chen, H.; Yao, L.; Yang, S.; Wang, Y.; Liang, X.; Huang, Y. First-Principles Study on Electronic and Optical Properties in Pr-Doped Anatase TiO2. Adv. Mater. Res. 2014, 924, 260–268. DOI: 10.4028/www.scientific.net/AMR.924.260.</w:t>
      </w:r>
    </w:p>
    <w:p>
      <w:pPr>
        <w:numPr>
          <w:ilvl w:val="0"/>
          <w:numId w:val="1002"/>
        </w:numPr>
      </w:pPr>
      <w:r>
        <w:t xml:space="preserve">Albuquerque, A. R.; Bruix, A.; dos Santos, I. M. G.; Sambrano, J. R.; Illas, F. DFT Study on Ce-Doped Anatase TiO2: Nature of Ce3+ and Ti3+ Centers Triggered by Oxygen Vacancy Formation. J. Phys. Chem. C 2014, 118, 9677–9689. DOI: 10.1021/jp501757f.</w:t>
      </w:r>
    </w:p>
    <w:p>
      <w:pPr>
        <w:numPr>
          <w:ilvl w:val="0"/>
          <w:numId w:val="1002"/>
        </w:numPr>
      </w:pPr>
      <w:r>
        <w:t xml:space="preserve">Iwaszuk, A.; Nolan, M. Charge Compensation in Trivalent Cation Doped Bulk Rutile TiO2. J. Phys.: Condens. Matter 2011, 23, 334207. DOI: 10.1088/0953-8984/23/33/334207.</w:t>
      </w:r>
    </w:p>
    <w:p>
      <w:pPr>
        <w:numPr>
          <w:ilvl w:val="0"/>
          <w:numId w:val="1002"/>
        </w:numPr>
      </w:pPr>
      <w:r>
        <w:t xml:space="preserve">Bahmanrokh, G.; Cazorla, C.; Mofarah, S. S.; Koshy, P.; Sorrell, C. C. Band Gap Engineering of Ce-Doped Anatase TiO2 through Solid Solubility Mechanisms and New Defect Equilibria Formalism. Nanoscale 2020, 12, 4916–4934. DOI: 10.1039/c9nr08604h.</w:t>
      </w:r>
    </w:p>
    <w:p>
      <w:pPr>
        <w:numPr>
          <w:ilvl w:val="0"/>
          <w:numId w:val="1002"/>
        </w:numPr>
      </w:pPr>
      <w:r>
        <w:t xml:space="preserve">Vural, K. B.; Kaderoğlu, Ç.; Ellialtıoğlu, Ş. Density Functional Theory Investigation of Pr Adsorption on the Anatase TiO2(101) Surface for Photovoltaic Applications. Appl. Surf. Sci. 2023, 612, 156042. DOI: 10.1016/j.apsusc.2022.156042.</w:t>
      </w:r>
    </w:p>
    <w:p>
      <w:pPr>
        <w:numPr>
          <w:ilvl w:val="0"/>
          <w:numId w:val="1002"/>
        </w:numPr>
      </w:pPr>
      <w:r>
        <w:t xml:space="preserve">Shannon, R. D. Revised Effective Ionic Radii and Systematic Studies of Interatomic Distances in Halides and Chalcogenides. Acta Crystallogr. A 1976, 32, 751–767. DOI: 10.1107/S0567739476001551. [NEW IN v4: primary ionic-radius source requested by the audit; verify]</w:t>
      </w:r>
    </w:p>
    <w:p>
      <w:pPr>
        <w:numPr>
          <w:ilvl w:val="0"/>
          <w:numId w:val="1002"/>
        </w:numPr>
      </w:pPr>
      <w:r>
        <w:t xml:space="preserve">Carey, J. J.; Nolan, M. Enhancing the Oxygen Vacancy Formation and Migration in Bulk Chromium(III) Oxide by Alkali Metal Doping: A Change from Isotropic to Anisotropic Oxygen Diffusion. J. Mater. Chem. A 2017, 5, 15613–15630. DOI: 10.1039/c7ta00315c.</w:t>
      </w:r>
    </w:p>
    <w:p>
      <w:pPr>
        <w:numPr>
          <w:ilvl w:val="0"/>
          <w:numId w:val="1002"/>
        </w:numPr>
      </w:pPr>
      <w:r>
        <w:t xml:space="preserve">Li, Z.-X.; He, G.-Q.; Kong, B.; Zeng, T.-X.; Zhang, J. Hybrid Density Functional Studies for the Effect of Oxygen Vacancy on the Visible Light Photocatalytic Activity in M (M = Li, Na, K, Rb, Cs)-Doped α-Bi2O3. J. Phys. Chem. Solids 2020, 144, 109581. DOI: 10.1016/j.jpcs.2020.109581.</w:t>
      </w:r>
    </w:p>
    <w:p>
      <w:pPr>
        <w:numPr>
          <w:ilvl w:val="0"/>
          <w:numId w:val="1002"/>
        </w:numPr>
      </w:pPr>
      <w:r>
        <w:t xml:space="preserve">Kröger, F. A.; Vink, H. J. Relations between the Concentrations of Imperfections in Crystalline Solids. Solid State Phys. 1956, 3, 307–435. DOI: 10.1016/S0081-1947(08)60135-6.</w:t>
      </w:r>
    </w:p>
    <w:p>
      <w:pPr>
        <w:numPr>
          <w:ilvl w:val="0"/>
          <w:numId w:val="1002"/>
        </w:numPr>
      </w:pPr>
      <w:r>
        <w:t xml:space="preserve">Giannozzi, P.; Andreussi, O.; Brumme, T.; Bunau, O.; et al. Advanced Capabilities for Materials Modelling with Quantum ESPRESSO. J. Phys.: Condens. Matter 2017, 29, 465901. DOI: 10.1088/1361-648X/aa8f79.</w:t>
      </w:r>
    </w:p>
    <w:p>
      <w:pPr>
        <w:numPr>
          <w:ilvl w:val="0"/>
          <w:numId w:val="1002"/>
        </w:numPr>
      </w:pPr>
      <w:r>
        <w:t xml:space="preserve">Giannozzi, P.; Baseggio, O.; Bonfà, P.; Brunato, D.; et al. Quantum ESPRESSO toward the Exascale. J. Chem. Phys. 2020, 152, 154105. DOI: 10.1063/5.0005082.</w:t>
      </w:r>
    </w:p>
    <w:p>
      <w:pPr>
        <w:numPr>
          <w:ilvl w:val="0"/>
          <w:numId w:val="1002"/>
        </w:numPr>
      </w:pPr>
      <w:r>
        <w:t xml:space="preserve">Perdew, J. P.; Burke, K.; Ernzerhof, M. Generalized Gradient Approximation Made Simple. Phys. Rev. Lett. 1996, 77, 3865–3868. DOI: 10.1103/PhysRevLett.77.3865.</w:t>
      </w:r>
    </w:p>
    <w:p>
      <w:pPr>
        <w:numPr>
          <w:ilvl w:val="0"/>
          <w:numId w:val="1002"/>
        </w:numPr>
      </w:pPr>
      <w:r>
        <w:t xml:space="preserve">Dal Corso, A. Pseudopotentials Periodic Table: From H to Pu. Comput. Mater. Sci. 2014, 95, 337–350. DOI: 10.1016/j.commatsci.2014.07.043. PSlibrary 1.0.0 PAW set, https://www.quantum-espresso.org/pseudopotentials/ and https://github.com/dalcorso/pslibrary (accessed 2026-10-02). [NEW IN v4: primary PSlibrary citation added; verify]</w:t>
      </w:r>
    </w:p>
    <w:p>
      <w:pPr>
        <w:numPr>
          <w:ilvl w:val="0"/>
          <w:numId w:val="1002"/>
        </w:numPr>
      </w:pPr>
      <w:r>
        <w:t xml:space="preserve">Dudarev, S. L.; Botton, G. A.; Savrasov, S. Y.; Humphreys, C. J.; Sutton, A. P. Electron-Energy-Loss Spectra and the Structural Stability of Nickel Oxide: An LSDA+U Study. Phys. Rev. B 1998, 57, 1505–1509. DOI: 10.1103/PhysRevB.57.1505.</w:t>
      </w:r>
    </w:p>
    <w:p>
      <w:pPr>
        <w:numPr>
          <w:ilvl w:val="0"/>
          <w:numId w:val="1002"/>
        </w:numPr>
      </w:pPr>
      <w:r>
        <w:t xml:space="preserve">Deák, P.; Kullgren, J.; Frauenheim, T. Polarons and Oxygen Vacancies at the Surface of Anatase TiO2. Phys. Status Solidi RRL 2014, 8, 583–586. DOI: 10.1002/pssr.201409139. [NEW IN v4: retrieved via Wiley Scholar Gateway; supports U(Ti-3d) ≈ 3.5 eV as an ab-initio-derived anatase value; verify against the full text]</w:t>
      </w:r>
    </w:p>
    <w:p>
      <w:pPr>
        <w:numPr>
          <w:ilvl w:val="0"/>
          <w:numId w:val="1002"/>
        </w:numPr>
      </w:pPr>
      <w:r>
        <w:t xml:space="preserve">Anisimov, V. I.; Zaanen, J.; Andersen, O. K. Band Theory and Mott Insulators: Hubbard U Instead of Stoner I. Phys. Rev. B 1991, 44, 943–954. DOI: 10.1103/PhysRevB.44.943.</w:t>
      </w:r>
    </w:p>
    <w:p>
      <w:pPr>
        <w:numPr>
          <w:ilvl w:val="0"/>
          <w:numId w:val="1002"/>
        </w:numPr>
      </w:pPr>
      <w:r>
        <w:t xml:space="preserve">Cococcioni, M.; de Gironcoli, S. Linear Response Approach to the Calculation of the Effective Interaction Parameters in the LDA+U Method. Phys. Rev. B 2005, 71, 035105. DOI: 10.1103/PhysRevB.71.035105.</w:t>
      </w:r>
    </w:p>
    <w:p>
      <w:pPr>
        <w:numPr>
          <w:ilvl w:val="0"/>
          <w:numId w:val="1002"/>
        </w:numPr>
      </w:pPr>
      <w:r>
        <w:t xml:space="preserve">Freysoldt, C.; Grabowski, B.; Hickel, T.; Neugebauer, J.; Kresse, G.; Janotti, A.; Van de Walle, C. G. First-Principles Calculations for Point Defects in Solids. Rev. Mod. Phys. 2014, 86, 253–305. DOI: 10.1103/RevModPhys.86.253. [NEW IN v4: formation-energy formalism and finite-size corrections; verify]</w:t>
      </w:r>
    </w:p>
    <w:p>
      <w:pPr>
        <w:numPr>
          <w:ilvl w:val="0"/>
          <w:numId w:val="1002"/>
        </w:numPr>
      </w:pPr>
      <w:r>
        <w:t xml:space="preserve">Heyd, J.; Scuseria, G. E.; Ernzerhof, M. Hybrid Functionals Based on a Screened Coulomb Potential. J. Chem. Phys. 2003, 118, 8207–8215. DOI: 10.1063/1.1564060.</w:t>
      </w:r>
    </w:p>
    <w:p>
      <w:pPr>
        <w:numPr>
          <w:ilvl w:val="0"/>
          <w:numId w:val="1002"/>
        </w:numPr>
      </w:pPr>
      <w:r>
        <w:t xml:space="preserve">Krukau, A. V.; Vydrov, O. A.; Izmaylov, A. F.; Scuseria, G. E. Influence of the Exchange Screening Parameter on the Performance of Screened Hybrid Functionals. J. Chem. Phys. 2006, 125, 224106. DOI: 10.1063/1.2404663.</w:t>
      </w:r>
    </w:p>
    <w:p>
      <w:pPr>
        <w:numPr>
          <w:ilvl w:val="0"/>
          <w:numId w:val="1002"/>
        </w:numPr>
      </w:pPr>
      <w:r>
        <w:t xml:space="preserve">Grimme, S.; Antony, J.; Ehrlich, S.; Krieg, H. A Consistent and Accurate Ab Initio Parametrization of Density Functional Dispersion Correction (DFT-D) for the 94 Elements H–Pu. J. Chem. Phys. 2010, 132, 154104. DOI: 10.1063/1.3382344.</w:t>
      </w:r>
    </w:p>
    <w:p>
      <w:pPr>
        <w:numPr>
          <w:ilvl w:val="0"/>
          <w:numId w:val="1002"/>
        </w:numPr>
      </w:pPr>
      <w:r>
        <w:t xml:space="preserve">Grimme, S.; Ehrlich, S.; Goerigk, L. Effect of the Damping Function in Dispersion Corrected Density Functional Theory. J. Comput. Chem. 2011, 32, 1456–1465. DOI: 10.1002/jcc.21759.</w:t>
      </w:r>
    </w:p>
    <w:p>
      <w:pPr>
        <w:numPr>
          <w:ilvl w:val="0"/>
          <w:numId w:val="1002"/>
        </w:numPr>
      </w:pPr>
      <w:r>
        <w:t xml:space="preserve">Torres, A. E.; Rodriguez-Pineda, J.; Zanella, R. Relevance of Dispersion and the Electronic Spin in the DFT+U Approach for the Description of Pristine and Defective TiO2 Anatase. ACS Omega 2021, 6, 23170–23180. DOI: 10.1021/acsomega.1c02818.</w:t>
      </w:r>
    </w:p>
    <w:p>
      <w:pPr>
        <w:numPr>
          <w:ilvl w:val="0"/>
          <w:numId w:val="1002"/>
        </w:numPr>
      </w:pPr>
      <w:r>
        <w:t xml:space="preserve">Henkelman, G.; Arnaldsson, A.; Jónsson, H. A Fast and Robust Algorithm for Bader Decomposition of Charge Density. Comput. Mater. Sci. 2006, 36, 354–360. DOI: 10.1016/j.commatsci.2005.04.010.</w:t>
      </w:r>
    </w:p>
    <w:p>
      <w:pPr>
        <w:numPr>
          <w:ilvl w:val="0"/>
          <w:numId w:val="1002"/>
        </w:numPr>
      </w:pPr>
      <w:r>
        <w:t xml:space="preserve">Tang, W.; Sanville, E.; Henkelman, G. A Grid-Based Bader Analysis Algorithm without Lattice Bias. J. Phys.: Condens. Matter 2009, 21, 084204. DOI: 10.1088/0953-8984/21/8/084204.</w:t>
      </w:r>
    </w:p>
    <w:p>
      <w:pPr>
        <w:numPr>
          <w:ilvl w:val="0"/>
          <w:numId w:val="1002"/>
        </w:numPr>
      </w:pPr>
      <w:r>
        <w:t xml:space="preserve">Boonchun, A.; Reunchan, P.; Umezawa, N. Energetics of Native Defects in Anatase TiO2: A Hybrid Density Functional Study. Phys. Chem. Chem. Phys. 2016, 18, 30040–30046. DOI: 10.1039/C6CP05798E.</w:t>
      </w:r>
    </w:p>
    <w:p>
      <w:pPr>
        <w:numPr>
          <w:ilvl w:val="0"/>
          <w:numId w:val="1002"/>
        </w:numPr>
      </w:pPr>
      <w:r>
        <w:t xml:space="preserve">Wang, Y.; Deng, S.; Liu, B.; Jin, Y. Mechanistic Understanding on the Role of Cu Species over the CuOx/TiO2 Catalyst for CO2 Photoreduction. ACS Omega 2020, 5, 18050–18063. DOI: 10.1021/acsomega.0c01514.</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2026-10-02T08:27:42Z</dcterms:created>
  <dcterms:modified xsi:type="dcterms:W3CDTF">2026-10-02T08:27:42Z</dcterms:modified>
</cp:coreProperties>
</file>

<file path=docProps/custom.xml><?xml version="1.0" encoding="utf-8"?>
<Properties xmlns="http://schemas.openxmlformats.org/officeDocument/2006/custom-properties" xmlns:vt="http://schemas.openxmlformats.org/officeDocument/2006/docPropsVTypes"/>
</file>