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718a29e46ca7e2597bb9ff556054b431f20e25"/>
    <w:p>
      <w:pPr>
        <w:pStyle w:val="Heading1"/>
      </w:pPr>
      <w:r>
        <w:t xml:space="preserve">Submission package — Applied Surface Science (Elsevier)</w:t>
      </w:r>
    </w:p>
    <w:p>
      <w:pPr>
        <w:pStyle w:val="FirstParagraph"/>
      </w:pPr>
      <w:r>
        <w:rPr>
          <w:bCs/>
          <w:b/>
        </w:rPr>
        <w:t xml:space="preserve">Manuscript:</w:t>
      </w:r>
      <w:r>
        <w:t xml:space="preserve"> </w:t>
      </w:r>
      <w:r>
        <w:t xml:space="preserve">Oxygen-Vacancy Energetics and Dopant-Induced Holes in Pr- and Rb-Substituted Anatase TiO₂: A DFT+U Comparison</w:t>
      </w:r>
      <w:r>
        <w:t xml:space="preserve"> </w:t>
      </w:r>
      <w:r>
        <w:rPr>
          <w:bCs/>
          <w:b/>
        </w:rPr>
        <w:t xml:space="preserve">Built:</w:t>
      </w:r>
      <w:r>
        <w:t xml:space="preserve"> </w:t>
      </w:r>
      <w:r>
        <w:t xml:space="preserve">13 October 2026 (round 5, final checks), from branch</w:t>
      </w:r>
      <w:r>
        <w:t xml:space="preserve"> </w:t>
      </w:r>
      <w:r>
        <w:rPr>
          <w:rStyle w:val="VerbatimChar"/>
        </w:rPr>
        <w:t xml:space="preserve">claude/exciting-shannon-z4bl69</w:t>
      </w:r>
      <w:r>
        <w:t xml:space="preserve"> </w:t>
      </w:r>
      <w:r>
        <w:t xml:space="preserve">(PR #5)</w:t>
      </w:r>
    </w:p>
    <w:bookmarkStart w:id="20" w:name="status-ready-to-upload"/>
    <w:p>
      <w:pPr>
        <w:pStyle w:val="Heading2"/>
      </w:pPr>
      <w:r>
        <w:t xml:space="preserve">Status: ready to upload</w:t>
      </w:r>
    </w:p>
    <w:p>
      <w:pPr>
        <w:pStyle w:val="FirstParagraph"/>
      </w:pPr>
      <w:r>
        <w:t xml:space="preserve">Every [AUTHOR ACTION] note has been resolved. The Funding section reads</w:t>
      </w:r>
      <w:r>
        <w:t xml:space="preserve"> </w:t>
      </w:r>
      <w:r>
        <w:t xml:space="preserve">“</w:t>
      </w:r>
      <w:r>
        <w:t xml:space="preserve">This work was supported by the Universiti Malaya Research Grant [grant number RU004-2025H].</w:t>
      </w:r>
      <w:r>
        <w:t xml:space="preserve">”</w:t>
      </w:r>
      <w:r>
        <w:t xml:space="preserve"> </w:t>
      </w:r>
      <w:r>
        <w:rPr>
          <w:rStyle w:val="VerbatimChar"/>
        </w:rPr>
        <w:t xml:space="preserve">tools_package.sh</w:t>
      </w:r>
      <w:r>
        <w:t xml:space="preserve"> </w:t>
      </w:r>
      <w:r>
        <w:t xml:space="preserve">reports 0 markers in the cover letter, manuscript, highlights and SI. The internal</w:t>
      </w:r>
      <w:r>
        <w:t xml:space="preserve"> </w:t>
      </w:r>
      <w:r>
        <w:t xml:space="preserve">“</w:t>
      </w:r>
      <w:r>
        <w:t xml:space="preserve">Revision note</w:t>
      </w:r>
      <w:r>
        <w:t xml:space="preserve">”</w:t>
      </w:r>
      <w:r>
        <w:t xml:space="preserve"> </w:t>
      </w:r>
      <w:r>
        <w:t xml:space="preserve">boxes are removed automatically from the copies in this folder.</w:t>
      </w:r>
    </w:p>
    <w:p>
      <w:pPr>
        <w:pStyle w:val="BodyText"/>
      </w:pPr>
      <w:r>
        <w:t xml:space="preserve">Facts that could not be recovered from the files at hand are now stated as such in the text (</w:t>
      </w:r>
      <w:r>
        <w:t xml:space="preserve">“</w:t>
      </w:r>
      <w:r>
        <w:t xml:space="preserve">not recorded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not extracted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not re-inspected for this revision</w:t>
      </w:r>
      <w:r>
        <w:t xml:space="preserve">”</w:t>
      </w:r>
      <w:r>
        <w:t xml:space="preserve">), which is acceptable to a reviewer; they are listed in group B below in case you want to replace them with real values.</w:t>
      </w:r>
    </w:p>
    <w:p>
      <w:pPr>
        <w:pStyle w:val="BodyText"/>
      </w:pPr>
      <w:r>
        <w:rPr>
          <w:bCs/>
          <w:b/>
        </w:rPr>
        <w:t xml:space="preserve">One substantive finding from the run log (round 5):</w:t>
      </w:r>
      <w:r>
        <w:t xml:space="preserve"> </w:t>
      </w:r>
      <w:r>
        <w:t xml:space="preserve">the production pristine perfect cell is an unrelaxed single point (residual force 0.0225 Ry/Bohr). The manuscript now says so, and the pristine formation energy (+4.74 eV) and the two reductions measured from it are labelled lower bounds in the Abstract, Table 2, Sections 2.6, 3.2, 4.1, 4.2, 5 and the Conclusions, the Highlights, the cover letter and the graphical abstract. Job 0 of</w:t>
      </w:r>
      <w:r>
        <w:t xml:space="preserve"> </w:t>
      </w:r>
      <w:r>
        <w:rPr>
          <w:rStyle w:val="VerbatimChar"/>
        </w:rPr>
        <w:t xml:space="preserve">revision_calculations/</w:t>
      </w:r>
      <w:r>
        <w:t xml:space="preserve"> </w:t>
      </w:r>
      <w:r>
        <w:t xml:space="preserve">relaxes that cell (about 1–3 days) and the analysis script prints the corrected values.</w:t>
      </w:r>
    </w:p>
    <w:bookmarkEnd w:id="20"/>
    <w:bookmarkStart w:id="21" w:name="X708cc566707b90ee8fd5de778b936e29c5a5e86"/>
    <w:p>
      <w:pPr>
        <w:pStyle w:val="Heading2"/>
      </w:pPr>
      <w:r>
        <w:t xml:space="preserve">Files in this folder (what to upload, in Elsevier’s order)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01_Cover_Letter.docx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Addressed to the Editor of Applied Surface 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02_Manuscript.docx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(editable Word)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page, abstract (250 words, counted as Word counts), text, tables, figure captions, references (50).</w:t>
            </w:r>
            <w:r>
              <w:t xml:space="preserve"> </w:t>
            </w:r>
            <w:r>
              <w:rPr>
                <w:rStyle w:val="VerbatimChar"/>
              </w:rPr>
              <w:t xml:space="preserve">02_Manuscript_preview.pdf</w:t>
            </w:r>
            <w:r>
              <w:t xml:space="preserve"> </w:t>
            </w:r>
            <w:r>
              <w:t xml:space="preserve">is for checking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03_Highlights.docx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bullets, each ≤ 85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04_Graphical_Abstract.png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Graphical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1535 × 590 px (Elsevier minimum 1328 × 531 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05_Figures/Figure_1–4.pdf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PDF preferred; PNG at 300 dpi as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06_Supporting_Information.docx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Figures S1–S2 and Tables S1–S10. Preview PDF for checking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07_Data_and_scripts_for_Zenodo/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uploaded to the journal</w:t>
            </w:r>
            <w:r>
              <w:t xml:space="preserve"> </w:t>
            </w:r>
            <w:r>
              <w:t xml:space="preserve">— deposit on Zenodo, then put the DOI in the Data availability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ledger + check script (reproduces every formation energy), figure data and plotting scripts. Add your QE input/output files, pseudopotentials and Bader ACF.dat files to the same deposit</w:t>
            </w:r>
          </w:p>
        </w:tc>
      </w:tr>
    </w:tbl>
    <w:bookmarkEnd w:id="21"/>
    <w:bookmarkStart w:id="22" w:name="a.-optional-before-upload"/>
    <w:p>
      <w:pPr>
        <w:pStyle w:val="Heading2"/>
      </w:pPr>
      <w:r>
        <w:t xml:space="preserve">A. Optional before upload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Zenodo deposit.</w:t>
      </w:r>
      <w:r>
        <w:t xml:space="preserve"> </w:t>
      </w:r>
      <w:r>
        <w:t xml:space="preserve">The Data availability statement now says the files are available on request and will be deposited with a DOI on acceptance. If you deposit folder 07 (plus your QE inputs/outputs, pseudopotentials and ACF.dat files) before submission, replace that sentence with the DOI.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declaration.</w:t>
      </w:r>
      <w:r>
        <w:t xml:space="preserve"> </w:t>
      </w:r>
      <w:r>
        <w:t xml:space="preserve">It now states the facts (text editing, consistency checks, Python plotting scripts; no image generated or altered). Elsevier’s policy on AI-assisted figure scripts is not explicit; asking the editorial office is prudent but not 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 details.</w:t>
      </w:r>
      <w:r>
        <w:t xml:space="preserve"> </w:t>
      </w:r>
      <w:r>
        <w:t xml:space="preserve">Check names, affiliations and the corresponding-author e-mail on the title page.</w:t>
      </w:r>
    </w:p>
    <w:bookmarkEnd w:id="22"/>
    <w:bookmarkStart w:id="23" w:name="X167c2deab7866c8e5c27a9f241f3b5ec793984a"/>
    <w:p>
      <w:pPr>
        <w:pStyle w:val="Heading2"/>
      </w:pPr>
      <w:r>
        <w:t xml:space="preserve">B.</w:t>
      </w:r>
      <w:r>
        <w:t xml:space="preserve"> </w:t>
      </w:r>
      <w:r>
        <w:t xml:space="preserve">“</w:t>
      </w:r>
      <w:r>
        <w:t xml:space="preserve">Not recorded</w:t>
      </w:r>
      <w:r>
        <w:t xml:space="preserve">”</w:t>
      </w:r>
      <w:r>
        <w:t xml:space="preserve"> </w:t>
      </w:r>
      <w:r>
        <w:t xml:space="preserve">entries you can fill later (none blocks submission)</w:t>
      </w:r>
    </w:p>
    <w:p>
      <w:pPr>
        <w:pStyle w:val="FirstParagraph"/>
      </w:pPr>
      <w:r>
        <w:t xml:space="preserve">If you send the WSL bundle (</w:t>
      </w:r>
      <w:r>
        <w:rPr>
          <w:rStyle w:val="VerbatimChar"/>
        </w:rPr>
        <w:t xml:space="preserve">tio2_needed.tar.gz</w:t>
      </w:r>
      <w:r>
        <w:t xml:space="preserve">) I can replace these statements with values: degauss and etot_conv_thr of the production inputs (Section 2.4, 2.6, Table S10); the</w:t>
      </w:r>
      <w:r>
        <w:t xml:space="preserve"> </w:t>
      </w:r>
      <w:r>
        <w:t xml:space="preserve">“</w:t>
      </w:r>
      <w:r>
        <w:t xml:space="preserve">smearing contrib. (−TS)</w:t>
      </w:r>
      <w:r>
        <w:t xml:space="preserve">”</w:t>
      </w:r>
      <w:r>
        <w:t xml:space="preserve"> </w:t>
      </w:r>
      <w:r>
        <w:t xml:space="preserve">lines (Section 2.4, S1); the Pr dataset MD5 (Table S7); the k-mesh, cut-off and residual stress of the bulk vc-relax (Section 2.3); the relaxed Pr_VO coordinates (Figure 1 panel c, Table S8); E</w:t>
      </w:r>
      <w:r>
        <w:rPr>
          <w:vertAlign w:val="subscript"/>
        </w:rPr>
        <w:t xml:space="preserve">F</w:t>
      </w:r>
      <w:r>
        <w:t xml:space="preserve"> </w:t>
      </w:r>
      <w:r>
        <w:t xml:space="preserve">and m</w:t>
      </w:r>
      <w:r>
        <w:rPr>
          <w:vertAlign w:val="subscript"/>
        </w:rPr>
        <w:t xml:space="preserve">abs</w:t>
      </w:r>
      <w:r>
        <w:t xml:space="preserve"> </w:t>
      </w:r>
      <w:r>
        <w:t xml:space="preserve">of Pristine_VO (Table 3); m</w:t>
      </w:r>
      <w:r>
        <w:rPr>
          <w:vertAlign w:val="subscript"/>
        </w:rPr>
        <w:t xml:space="preserve">abs</w:t>
      </w:r>
      <w:r>
        <w:t xml:space="preserve"> </w:t>
      </w:r>
      <w:r>
        <w:t xml:space="preserve">of the dual-U and q = +1 runs; the per-atom Bader table (Table S3; the dopant charges are currently derived from the recorded totals); the HSE06 q-grid/ecutfock (Section 2.8); wall times (Table S6).</w:t>
      </w:r>
    </w:p>
    <w:bookmarkEnd w:id="23"/>
    <w:bookmarkStart w:id="24" w:name="X3809fcd67d5b4e3346eaad3db2a337e0407718a"/>
    <w:p>
      <w:pPr>
        <w:pStyle w:val="Heading2"/>
      </w:pPr>
      <w:r>
        <w:t xml:space="preserve">C. Optional extra calculations (all stated as</w:t>
      </w:r>
      <w:r>
        <w:t xml:space="preserve"> </w:t>
      </w:r>
      <w:r>
        <w:t xml:space="preserve">“</w:t>
      </w:r>
      <w:r>
        <w:t xml:space="preserve">not performed</w:t>
      </w:r>
      <w:r>
        <w:t xml:space="preserve">”</w:t>
      </w:r>
      <w:r>
        <w:t xml:space="preserve"> </w:t>
      </w:r>
      <w:r>
        <w:t xml:space="preserve">in the text)</w:t>
      </w:r>
    </w:p>
    <w:p>
      <w:pPr>
        <w:pStyle w:val="FirstParagraph"/>
      </w:pPr>
      <w:r>
        <w:t xml:space="preserve">Inputs are ready in</w:t>
      </w:r>
      <w:r>
        <w:t xml:space="preserve"> </w:t>
      </w:r>
      <w:r>
        <w:rPr>
          <w:rStyle w:val="VerbatimChar"/>
        </w:rPr>
        <w:t xml:space="preserve">revision_calculations/</w:t>
      </w:r>
      <w:r>
        <w:t xml:space="preserve"> </w:t>
      </w:r>
      <w:r>
        <w:t xml:space="preserve">(job numbers in brackets); run</w:t>
      </w:r>
      <w:r>
        <w:t xml:space="preserve"> </w:t>
      </w:r>
      <w:r>
        <w:rPr>
          <w:rStyle w:val="VerbatimChar"/>
        </w:rPr>
        <w:t xml:space="preserve">launch_revision_queue.sh</w:t>
      </w:r>
      <w:r>
        <w:t xml:space="preserve"> </w:t>
      </w:r>
      <w:r>
        <w:t xml:space="preserve">as its README describes and send back the</w:t>
      </w:r>
      <w:r>
        <w:t xml:space="preserve"> </w:t>
      </w:r>
      <w:r>
        <w:rPr>
          <w:rStyle w:val="VerbatimChar"/>
        </w:rPr>
        <w:t xml:space="preserve">.out</w:t>
      </w:r>
      <w:r>
        <w:t xml:space="preserve"> </w:t>
      </w:r>
      <w:r>
        <w:t xml:space="preserve">files and the analysis output: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recommended, desktop:</w:t>
      </w:r>
      <w:r>
        <w:t xml:space="preserve"> </w:t>
      </w:r>
      <w:r>
        <w:t xml:space="preserve">relaxation of the pristine perfect cell [0]; cut-off 55/70 Ry [1]; Pristine_VO at 2×2×2 [2]; smearing test with −TS [3]; D3 on Pr_perfect, Rb_perfect and O₂ [4]; symmetry-free, O-seeded spin search on the Rb cells [5, then 6 if lower]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longer, desktop:</w:t>
      </w:r>
      <w:r>
        <w:t xml:space="preserve"> </w:t>
      </w:r>
      <w:r>
        <w:t xml:space="preserve">dual-U Pr_VO relaxation [7] (a dual-U formation energy also needs a dual-U O₂ reference and the completed dual-U Rb_VO relaxation); re-relaxation of the four doped cells to 0.001 Ry/Bohr [8]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HPC only:</w:t>
      </w:r>
      <w:r>
        <w:t xml:space="preserve"> </w:t>
      </w:r>
      <w:r>
        <w:t xml:space="preserve">linear-response U with hp.x [9]; 96-atom supercells [10, cost estimate only]</w:t>
      </w:r>
    </w:p>
    <w:p>
      <w:pPr>
        <w:numPr>
          <w:ilvl w:val="0"/>
          <w:numId w:val="1002"/>
        </w:numPr>
        <w:pStyle w:val="Compact"/>
      </w:pPr>
      <w:r>
        <w:t xml:space="preserve">NSCF rerun with</w:t>
      </w:r>
      <w:r>
        <w:t xml:space="preserve"> </w:t>
      </w:r>
      <w:r>
        <w:rPr>
          <w:rStyle w:val="VerbatimChar"/>
        </w:rPr>
        <w:t xml:space="preserve">diago_full_acc = .true.</w:t>
      </w:r>
      <w:r>
        <w:t xml:space="preserve">; Rb_VO spin-density isosurface (optional Figure S4)</w:t>
      </w:r>
    </w:p>
    <w:bookmarkEnd w:id="24"/>
    <w:bookmarkStart w:id="25" w:name="before-you-press-submit"/>
    <w:p>
      <w:pPr>
        <w:pStyle w:val="Heading2"/>
      </w:pPr>
      <w:r>
        <w:t xml:space="preserve">Before you press</w:t>
      </w:r>
      <w:r>
        <w:t xml:space="preserve"> </w:t>
      </w:r>
      <w:r>
        <w:t xml:space="preserve">“</w:t>
      </w:r>
      <w:r>
        <w:t xml:space="preserve">submit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tools_package.sh</w:t>
      </w:r>
      <w:r>
        <w:t xml:space="preserve"> </w:t>
      </w:r>
      <w:r>
        <w:t xml:space="preserve">reports 0</w:t>
      </w:r>
      <w:r>
        <w:t xml:space="preserve"> </w:t>
      </w:r>
      <w:r>
        <w:rPr>
          <w:rStyle w:val="VerbatimChar"/>
        </w:rPr>
        <w:t xml:space="preserve">AUTHOR ACTION</w:t>
      </w:r>
      <w:r>
        <w:t xml:space="preserve"> </w:t>
      </w:r>
      <w:r>
        <w:t xml:space="preserve">markers in the cover letter, manuscript, highlights and SI; if you edit the sources again, re-run it and check those lines.</w:t>
      </w:r>
    </w:p>
    <w:p>
      <w:pPr>
        <w:numPr>
          <w:ilvl w:val="0"/>
          <w:numId w:val="1003"/>
        </w:numPr>
        <w:pStyle w:val="Compact"/>
      </w:pPr>
      <w:r>
        <w:t xml:space="preserve">Check author names, affiliations and the corresponding-author e-mail on the title page.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Suggested reviewers:</w:t>
      </w:r>
      <w:r>
        <w:t xml:space="preserve"> </w:t>
      </w:r>
      <w:r>
        <w:t xml:space="preserve">the cover letter says they are listed in the submission system, so enter 3–5 in Editorial Manager (researchers you cite on DFT+U defects in TiO₂ or alkali/rare-earth doping of oxides; none from Universiti Malaya or recent co-authors).</w:t>
      </w:r>
    </w:p>
    <w:p>
      <w:pPr>
        <w:numPr>
          <w:ilvl w:val="0"/>
          <w:numId w:val="1003"/>
        </w:numPr>
        <w:pStyle w:val="Compact"/>
      </w:pPr>
      <w:r>
        <w:t xml:space="preserve">The companion device-simulation paper (Pr³⁺:SnO₂ / CsPbBr₃)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part of this submission; see</w:t>
      </w:r>
      <w:r>
        <w:t xml:space="preserve"> </w:t>
      </w:r>
      <w:r>
        <w:rPr>
          <w:rStyle w:val="VerbatimChar"/>
        </w:rPr>
        <w:t xml:space="preserve">device_paper_review/Device_Manuscript_Audit.docx</w:t>
      </w:r>
      <w:r>
        <w:t xml:space="preserve"> </w:t>
      </w:r>
      <w:r>
        <w:t xml:space="preserve">before sending it anywhere.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2026-10-13T07:38:05Z</dcterms:created>
  <dcterms:modified xsi:type="dcterms:W3CDTF">2026-10-13T07:38:05Z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