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with 0.59 μ</w:t>
      </w:r>
      <w:r>
        <w:rPr>
          <w:vertAlign w:val="subscript"/>
        </w:rPr>
        <w:t xml:space="preserve">B</w:t>
      </w:r>
      <w:r>
        <w:t xml:space="preserve"> </w:t>
      </w:r>
      <w:r>
        <w:t xml:space="preserve">on one oxygen bonded to Rb; the Rb ion itself moves 1.27 Å towards the vacancy, so relaxation also contributes to the Rb result.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describe this deficit as accommodated electronically, by rehybridisation at the valence-band edge or by a change of dopant oxidation state [19–23]</w:t>
      </w:r>
      <w:r>
        <w:t xml:space="preserve"> </w:t>
      </w:r>
      <w:r>
        <w:rPr>
          <w:bCs/>
          <w:b/>
        </w:rPr>
        <w:t xml:space="preserve">[AUTHOR ACTION: confirm from the full texts that each of these five studies describes electronic accommodation of the dopant charge; Ahmad et al. is an experimental photoelectrochemistry study of Gd-doped TiO</w:t>
      </w:r>
      <w:r>
        <w:rPr>
          <w:vertAlign w:val="subscript"/>
          <w:bCs/>
          <w:b/>
        </w:rPr>
        <w:t xml:space="preserve">2</w:t>
      </w:r>
      <w:r>
        <w:rPr>
          <w:bCs/>
          <w:b/>
        </w:rPr>
        <w:t xml:space="preserve"> </w:t>
      </w:r>
      <w:r>
        <w:rPr>
          <w:bCs/>
          <w:b/>
        </w:rPr>
        <w:t xml:space="preserve">nanorods and Polliotto et al. concern zirconium titanate, so drop any that do not.]</w:t>
      </w:r>
      <w:r>
        <w:t xml:space="preserve">.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[24] and Gd-doped CeO</w:t>
      </w:r>
      <w:r>
        <w:rPr>
          <w:vertAlign w:val="subscript"/>
        </w:rPr>
        <w:t xml:space="preserve">2</w:t>
      </w:r>
      <w:r>
        <w:t xml:space="preserve"> </w:t>
      </w:r>
      <w:r>
        <w:t xml:space="preserve">[18], and Bahmanrokh et al. proposed a defect-equilibria formalism for Ce-doped anatase in which both channels appear [25]</w:t>
      </w:r>
      <w:r>
        <w:t xml:space="preserve"> </w:t>
      </w:r>
      <w:r>
        <w:rPr>
          <w:bCs/>
          <w:b/>
        </w:rPr>
        <w:t xml:space="preserve">[AUTHOR ACTION: confirm from the full text that both electronic and vacancy compensation appear in that formalism.]</w:t>
      </w:r>
      <w:r>
        <w:t xml:space="preserve">. Pr in particular has been treated at the anatase (101) surface [26] and in the bulk [23], and is an attractive test case, here modelled as trivalent with a 4f-in-core dataset (Section 2.1), because its ionic radius (0.99 Å in six-fold coordination [27])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[28],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[29]: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[30,31] (hardware and wall times in Table S6) using the PBE exchange–correlation functional [32] and projector-augmented-wave (PAW) datasets from PSlibrary 1.0.0 [33]: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and the atomic wavefunctions that projwfc.x reads from each dataset (Ti 3s/3p/3d, O 2s/2p, Pr 5p/5d, Rb 4s); the Pr dataset contains no 4f wavefunction.</w:t>
      </w:r>
      <w:r>
        <w:t xml:space="preserve"> </w:t>
      </w:r>
      <w:r>
        <w:rPr>
          <w:bCs/>
          <w:b/>
        </w:rPr>
        <w:t xml:space="preserve">[AUTHOR ACTION: add the MD5 checksum of the Pr dataset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[34],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Deák et al. note that this value is close to an ab initio determination of U for anatase [35], and it has been used for Er-doped anatase [20] and for anatase (101) defect chemistry [7]; other anatase work uses U = 4.2 eV [13], a value originally fitted for the rutile (110) surface [36], or larger values [14]. Literature U values obtained with other projector schemes are not strictly transferable to the ortho-atomic projectors used here, and the sensitivity of the present results to U is reported in Section 3.7.</w:t>
      </w:r>
      <w:r>
        <w:t xml:space="preserve"> </w:t>
      </w:r>
      <w:r>
        <w:rPr>
          <w:bCs/>
          <w:b/>
        </w:rPr>
        <w:t xml:space="preserve">[AUTHOR ACTION: verify against the full texts that Mazierski et al. and Yin et al. used U(Ti-3d) = 3.5 eV and that Deák et al. quote an ab initio anatase value near 3.5 eV.]</w:t>
      </w:r>
      <w:r>
        <w:t xml:space="preserve"> </w:t>
      </w:r>
      <w:r>
        <w:t xml:space="preserve">The DFT+U approach rests on the formulation of Anisimov et al. [37]; linear-response determination of U [38]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the two doped cells have identical atom ordering in their outputs, consistent with the same vacancy. Three alternative sites in the Pr cell are examined in Section 3.7; a second first-shell candidate (index O3 of the orchestration script) was planned but not computed.</w:t>
      </w:r>
      <w:r>
        <w:t xml:space="preserve"> </w:t>
      </w:r>
      <w:r>
        <w:rPr>
          <w:bCs/>
          <w:b/>
        </w:rPr>
        <w:t xml:space="preserve">[AUTHOR ACTION: confirm from the Pr_VO input that the same oxygen was removed, and give the relaxed first-shell Pr–O distances in Table S8; the value ≈2.17 Å quoted for the production site in earlier drafts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a choice made in earlier work on larger (108-atom) anatase defect cells only for hybrid-functional calculations [14].</w:t>
      </w:r>
      <w:r>
        <w:t xml:space="preserve"> </w:t>
      </w:r>
      <w:r>
        <w:rPr>
          <w:bCs/>
          <w:b/>
        </w:rPr>
        <w:t xml:space="preserve">[AUTHOR ACTION: confirm this against the published version of Arrigoni and Madsen; their arXiv preprint (1912.07260) uses denser meshes for DFT+U and a Γ-only grid only for the hybrid calculations.]</w:t>
      </w:r>
      <w:r>
        <w:t xml:space="preserve"> </w:t>
      </w:r>
      <w:r>
        <w:t xml:space="preserve">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w:t>
      </w:r>
      <w:r>
        <w:t xml:space="preserve"> </w:t>
      </w:r>
      <w:r>
        <w:rPr>
          <w:bCs/>
          <w:b/>
        </w:rPr>
        <w:t xml:space="preserve">[AUTHOR ACTION: confirm degauss = 0.005 Ry in the production relaxation inputs.]</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not set for any species. From a spin-symmetric start a moment develops only if the symmetric solution is unstable and numerical noise (here the randomised starting wavefunctions) breaks the symmetry, as happened for both Rb cells; the same start can leave a calculation in a non-magnetic solution when a magnetic one exists.</w:t>
      </w:r>
      <w:r>
        <w:t xml:space="preserve"> </w:t>
      </w:r>
      <w:r>
        <w:rPr>
          <w:bCs/>
          <w:b/>
        </w:rPr>
        <w:t xml:space="preserve">[AUTHOR ACTION: confirm the starting_magnetization values from the production input files.]</w:t>
      </w:r>
      <w:r>
        <w:t xml:space="preserve"> </w:t>
      </w:r>
      <w:r>
        <w:t xml:space="preserve">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run log lists an earlier pristine perfect run as a single-point calculation with a residual force of 0.0225 Ry/Bohr (0.58 eV/Å); if the production pristine energy is also unrelaxed, relaxing it would lower E(Pristine_perfect) and raise the pristine formation energy of Table 2 by the relaxation energy.</w:t>
      </w:r>
      <w:r>
        <w:t xml:space="preserve"> </w:t>
      </w:r>
      <w:r>
        <w:rPr>
          <w:bCs/>
          <w:b/>
        </w:rPr>
        <w:t xml:space="preserve">[AUTHOR ACTION: state whether the production Pristine_perfect energy (−4275.01530 Ry) comes from a relaxed geometry and give its maximum residual force; if not, relax it and update Table 2.]</w:t>
      </w:r>
      <w:r>
        <w:t xml:space="preserve"> </w:t>
      </w:r>
      <w:r>
        <w:t xml:space="preserve">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[42,43], without three-body terms, following the DFT+U+D3 protocol used for defective anatase by Torres et al. [44];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[45,46].</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so structural relaxation is part of the energy released when the vacancy forms next to Rb (Sections 3.2 and 4.3).</w:t>
      </w:r>
      <w:r>
        <w:t xml:space="preserve"> </w:t>
      </w:r>
      <w:r>
        <w:rPr>
          <w:bCs/>
          <w:b/>
        </w:rPr>
        <w:t xml:space="preserve">[AUTHOR ACTION: the relaxed Pr_VO coordinates were not available for this revision; place the pw.x output of the relaxed Pr_VO cell in figures/data/ so that make_fig1_structures.py adds panel (c), and state the Pr displacement and Pr–O distances here.]</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Part of the Rb reduction is structural: the Rb ion moves 1.27 Å into the space vacated by the oxygen (Section 3.1), and the energy of this relaxation has not been separated from the electronic contribution.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4.0–5.0 eV range reported for the neutral bulk vacancy in anatase with DFT+U [14] and below the 5.3–5.5 eV obtained with HSE06 at the oxygen-rich limit [35,47]</w:t>
      </w:r>
      <w:r>
        <w:t xml:space="preserve"> </w:t>
      </w:r>
      <w:r>
        <w:rPr>
          <w:bCs/>
          <w:b/>
        </w:rPr>
        <w:t xml:space="preserve">[NEEDS CITATION: the bulk-anatase hybrid-functional V</w:t>
      </w:r>
      <w:r>
        <w:rPr>
          <w:vertAlign w:val="subscript"/>
          <w:bCs/>
          <w:b/>
        </w:rPr>
        <w:t xml:space="preserve">O</w:t>
      </w:r>
      <w:r>
        <w:rPr>
          <w:bCs/>
          <w:b/>
        </w:rPr>
        <w:t xml:space="preserve"> </w:t>
      </w:r>
      <w:r>
        <w:rPr>
          <w:bCs/>
          <w:b/>
        </w:rPr>
        <w:t xml:space="preserve">study of Deák et al. is Deák, Aradi and Frauenheim, Phys. Rev. B 92 (2015) 045204 (cited as such by Arrigoni and Madsen), rather than the surface paper cited here; if the value is taken from that study, add it to refs.py and cite it in place of Deak2014.]</w:t>
      </w:r>
      <w:r>
        <w:t xml:space="preserve">, as expected for a semi-local functional with a PBE O</w:t>
      </w:r>
      <w:r>
        <w:rPr>
          <w:vertAlign w:val="subscript"/>
        </w:rPr>
        <w:t xml:space="preserve">2</w:t>
      </w:r>
      <w:r>
        <w:t xml:space="preserve"> </w:t>
      </w:r>
      <w:r>
        <w:t xml:space="preserve">reference. This is a consistency check, not a validation of the protocol.</w:t>
      </w:r>
      <w:r>
        <w:t xml:space="preserve"> </w:t>
      </w:r>
      <w:r>
        <w:rPr>
          <w:bCs/>
          <w:b/>
        </w:rPr>
        <w:t xml:space="preserve">[AUTHOR ACTION: verify the Arrigoni–Madsen, Boonchun and Deák values and their oxygen-chemical-potential conditions against the full texts. Note that Arrigoni and Madsen used a larger U (5.8 eV in their arXiv preprint), fitted elemental-energy corrections to their DFT+U energies and a reduced exact-exchange fraction (HSE15) in their hybrid calculations, so their values are not directly comparable with an uncorrected PBE+U value at a PBE O</w:t>
      </w:r>
      <w:r>
        <w:rPr>
          <w:vertAlign w:val="subscript"/>
          <w:bCs/>
          <w:b/>
        </w:rPr>
        <w:t xml:space="preserve">2</w:t>
      </w:r>
      <w:r>
        <w:rPr>
          <w:bCs/>
          <w:b/>
        </w:rPr>
        <w:t xml:space="preserve"> </w:t>
      </w:r>
      <w:r>
        <w:rPr>
          <w:bCs/>
          <w:b/>
        </w:rPr>
        <w:t xml:space="preserve">reference.]</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smeared character is documented by the projected densities of states, in which the occupied conduction-band states have equal weight in the two spin channels, and by the Löwdin analysis, in which no site carries more than 0.001 μ</w:t>
      </w:r>
      <w:r>
        <w:rPr>
          <w:vertAlign w:val="subscript"/>
        </w:rPr>
        <w:t xml:space="preserve">B</w:t>
      </w:r>
      <w:r>
        <w:t xml:space="preserve"> </w:t>
      </w:r>
      <w:r>
        <w:t xml:space="preserve">(Section 3.6).</w:t>
      </w:r>
      <w:r>
        <w:t xml:space="preserve"> </w:t>
      </w:r>
      <w:r>
        <w:rPr>
          <w:bCs/>
          <w:b/>
        </w:rPr>
        <w:t xml:space="preserve">[AUTHOR ACTION: document the occupations of the non-magnetic Pr_perfect solution in the same way.]</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 S2a). The self-consistent run that preceded the projected densities of states, started from 0.3 on Ti, reproduced the production Fermi energy and is taken to be the production solution, with the opposite (arbitrary) sign of m.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part of the excess.</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values were not available for this revision.</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w:t>
      </w:r>
      <w:r>
        <w:t xml:space="preserve"> </w:t>
      </w:r>
      <w:r>
        <w:rPr>
          <w:bCs/>
          <w:b/>
        </w:rPr>
        <w:t xml:space="preserve">[AUTHOR ACTION: confirm from the output whether the dual-U Rb_VO relaxation finished, and give its final energy, m and m</w:t>
      </w:r>
      <w:r>
        <w:rPr>
          <w:vertAlign w:val="subscript"/>
          <w:bCs/>
          <w:b/>
        </w:rPr>
        <w:t xml:space="preserve">abs</w:t>
      </w:r>
      <w:r>
        <w:rPr>
          <w:bCs/>
          <w:b/>
        </w:rPr>
        <w:t xml:space="preserve">.]</w:t>
      </w:r>
      <w:r>
        <w:t xml:space="preserve"> </w:t>
      </w:r>
      <w:r>
        <w:t xml:space="preserve">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w:t>
      </w:r>
      <w:r>
        <w:rPr>
          <w:vertAlign w:val="subscript"/>
          <w:bCs/>
          <w:b/>
        </w:rPr>
        <w:t xml:space="preserve">abs</w:t>
      </w:r>
      <w:r>
        <w:rPr>
          <w:bCs/>
          <w:b/>
        </w:rPr>
        <w:t xml:space="preserve"> </w:t>
      </w:r>
      <w:r>
        <w:rPr>
          <w:bCs/>
          <w:b/>
        </w:rPr>
        <w:t xml:space="preserve">and the Löwdin site moments of dual-U Rb_perfect and Pr_perfect (projwfc.x on the existing outputs).]</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add m</w:t>
      </w:r>
      <w:r>
        <w:rPr>
          <w:vertAlign w:val="subscript"/>
          <w:bCs/>
          <w:b/>
        </w:rPr>
        <w:t xml:space="preserve">abs</w:t>
      </w:r>
      <w:r>
        <w:rPr>
          <w:bCs/>
          <w:b/>
        </w:rPr>
        <w:t xml:space="preserve"> </w:t>
      </w:r>
      <w:r>
        <w:rPr>
          <w:bCs/>
          <w:b/>
        </w:rPr>
        <w:t xml:space="preserve">of the q = +1 Rb_VO cell from its output.]</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−0.76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within 0.6 eV below E</w:t>
      </w:r>
      <w:r>
        <w:rPr>
          <w:vertAlign w:val="subscript"/>
        </w:rPr>
        <w:t xml:space="preserve">F</w:t>
      </w:r>
      <w:r>
        <w:t xml:space="preserve"> </w:t>
      </w:r>
      <w:r>
        <w:t xml:space="preserve">have equal weight in the two spin channels (0.70 states each in the broadened DOS, 95 % Ti-3d), no feature appears inside the gap at this broadening, and the Pr-5d projection is small at both band edges. No site carries a Löwdin spin polarisation above 0.001 μ</w:t>
      </w:r>
      <w:r>
        <w:rPr>
          <w:vertAlign w:val="subscript"/>
        </w:rPr>
        <w:t xml:space="preserve">B</w:t>
      </w:r>
      <w:r>
        <w:t xml:space="preserve">, so the net excess electron is spin-paired over delocalised conduction-band states: this is the smeared solution of Section 3.3. The Pr-4f states are frozen in the core and cannot appear (Section 2.1). In Rb_VO the Fermi level lies at the top of the O-2p valence band and an empty state lies just above it in one spin channel only: between E</w:t>
      </w:r>
      <w:r>
        <w:rPr>
          <w:vertAlign w:val="subscript"/>
        </w:rPr>
        <w:t xml:space="preserve">F</w:t>
      </w:r>
      <w:r>
        <w:t xml:space="preserve"> </w:t>
      </w:r>
      <w:r>
        <w:t xml:space="preserve">and E</w:t>
      </w:r>
      <w:r>
        <w:rPr>
          <w:vertAlign w:val="subscript"/>
        </w:rPr>
        <w:t xml:space="preserve">F</w:t>
      </w:r>
      <w:r>
        <w:t xml:space="preserve"> </w:t>
      </w:r>
      <w:r>
        <w:t xml:space="preserve">+ 0.6 eV the minority channel holds 0.79 states and the majority channel none, and 93 % of the minority weight is O-2p (Ti-3d 5 %). This empty minority-spin state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3.40 Å from the vacant site; it is also the oxygen with the largest Bader depletion (Section 3.7). The residual hole is therefore an O-2p hole centred on one oxygen next to the dopant, with smaller weight on its oxygen neighbours and no Ti</w:t>
      </w:r>
      <w:r>
        <w:rPr>
          <w:vertAlign w:val="superscript"/>
        </w:rPr>
        <w:t xml:space="preserve">3+</w:t>
      </w:r>
      <w:r>
        <w:t xml:space="preserve"> </w:t>
      </w:r>
      <w:r>
        <w:t xml:space="preserve">character.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separation between the valence-band top and the conduction-band onset is about 2.4–2.5 eV in both cells (onsets taken where the total DOS reaches 0.5 states eV</w:t>
      </w:r>
      <w:r>
        <w:rPr>
          <w:vertAlign w:val="superscript"/>
        </w:rPr>
        <w:t xml:space="preserve">−1</w:t>
      </w:r>
      <w:r>
        <w:t xml:space="preserve">). In the run used for Figure 4 the net moment is positive, so the hole appears in the spin-down channel; the sign of m is arbitrary in a collinear calculation, and the production relaxation (m = −0.97 μ</w:t>
      </w:r>
      <w:r>
        <w:rPr>
          <w:vertAlign w:val="subscript"/>
        </w:rPr>
        <w:t xml:space="preserve">B</w:t>
      </w:r>
      <w:r>
        <w:t xml:space="preserve">) corresponds to the same solution with the spins interchanged (Section 3.3). 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(optional): add the Rb_VO spin-density isosurface (pp.x, plot_num = 6) as Figure S4 to complement the Löwdin moments.]</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(0.70 states each between −0.6 eV and E</w:t>
      </w:r>
      <w:r>
        <w:rPr>
          <w:vertAlign w:val="subscript"/>
          <w:iCs/>
          <w:i/>
        </w:rPr>
        <w:t xml:space="preserve">F</w:t>
      </w:r>
      <w:r>
        <w:rPr>
          <w:iCs/>
          <w:i/>
        </w:rPr>
        <w:t xml:space="preserve">, 95 % Ti-3d). In (d) the empty state just above E</w:t>
      </w:r>
      <w:r>
        <w:rPr>
          <w:vertAlign w:val="subscript"/>
          <w:iCs/>
          <w:i/>
        </w:rPr>
        <w:t xml:space="preserve">F</w:t>
      </w:r>
      <w:r>
        <w:rPr>
          <w:iCs/>
          <w:i/>
        </w:rPr>
        <w:t xml:space="preserve"> </w:t>
      </w:r>
      <w:r>
        <w:rPr>
          <w:iCs/>
          <w:i/>
        </w:rPr>
        <w:t xml:space="preserve">appears in the spin-down channel only (0.79 states between E</w:t>
      </w:r>
      <w:r>
        <w:rPr>
          <w:vertAlign w:val="subscript"/>
          <w:iCs/>
          <w:i/>
        </w:rPr>
        <w:t xml:space="preserve">F</w:t>
      </w:r>
      <w:r>
        <w:rPr>
          <w:iCs/>
          <w:i/>
        </w:rPr>
        <w:t xml:space="preserve"> </w:t>
      </w:r>
      <w:r>
        <w:rPr>
          <w:iCs/>
          <w:i/>
        </w:rPr>
        <w:t xml:space="preserve">and +0.6 eV, 93 % O-2p; spin up 0.00).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which lie within the stated mesh dependence.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belongs to the from-scratch SCF solution of the smeared Pr_VO cell and not to the D3 term.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production site is itself a first-shell oxygen of the dopant site (Section 2.3); a second first-shell candidate was not computed, site multiplicities are not given, and no corresponding sampling was performed for the Rb cell. The positions of the removed oxygens are listed in Table S4.</w:t>
      </w:r>
      <w:r>
        <w:t xml:space="preserve"> </w:t>
      </w:r>
      <w:r>
        <w:rPr>
          <w:bCs/>
          <w:b/>
        </w:rPr>
        <w:t xml:space="preserve">[AUTHOR ACTION: if possible, add two Rb_VO sites (a second first-shell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 ]</w:t>
      </w:r>
      <w:r>
        <w:t xml:space="preserve"> </w:t>
      </w:r>
      <w:r>
        <w:t xml:space="preserve">Relative to the Pr_VO cell, the 31 oxygen atoms of Rb_VO hold 0.97 e less in total, with the depletion concentrated on one oxygen bonded to the displaced Rb ion (−0.26 e, O8; Rb–O8 = 2.56 Å, 3.40 Å from the vacant site) and a second oxygen (−0.14 e, O30; 3.07 Å from Rb),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 The valence-to-conduction-band separation in the projected densities of states of the two vacancy cells is about 2.4–2.5 eV (Section 3.6), smaller than either per-electron reduction (3.45 eV for Pr, 4.40 eV per electron for Rb), so electron transfer across the gap does not account for the reductions on its own. The remainder must come from the electrostatic interaction between the vacancy and the dopant, which the dependence of E</w:t>
      </w:r>
      <w:r>
        <w:rPr>
          <w:vertAlign w:val="subscript"/>
        </w:rPr>
        <w:t xml:space="preserve">f</w:t>
      </w:r>
      <w:r>
        <w:t xml:space="preserve"> </w:t>
      </w:r>
      <w:r>
        <w:t xml:space="preserve">on the vacancy site in the Pr cell indicates (Section 3.7), and from lattice relaxation, which in the Rb cell includes a 1.27 Å displacement of the Rb ion into the space vacated by the oxygen (Section 3.1);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The preference for the production vacancy site over the two more distant sites sampled (Section 3.7) is in the same direction as the Pr–V</w:t>
      </w:r>
      <w:r>
        <w:rPr>
          <w:vertAlign w:val="subscript"/>
        </w:rPr>
        <w:t xml:space="preserve">O</w:t>
      </w:r>
      <w:r>
        <w:t xml:space="preserve"> </w:t>
      </w:r>
      <w:r>
        <w:t xml:space="preserve">association reported for Pr adsorbed at the anatase (101) surface by Vural et al. [26], although adsorption and bulk substitution are different situations and only four sites were sampled here.</w:t>
      </w:r>
      <w:r>
        <w:t xml:space="preserve"> </w:t>
      </w:r>
      <w:r>
        <w:rPr>
          <w:bCs/>
          <w:b/>
        </w:rPr>
        <w:t xml:space="preserve">[AUTHOR ACTION: confirm from the full text of Vural et al., with a page or figure reference, that they report a Pr–V</w:t>
      </w:r>
      <w:r>
        <w:rPr>
          <w:vertAlign w:val="subscript"/>
          <w:bCs/>
          <w:b/>
        </w:rPr>
        <w:t xml:space="preserve">O</w:t>
      </w:r>
      <w:r>
        <w:rPr>
          <w:bCs/>
          <w:b/>
        </w:rPr>
        <w:t xml:space="preserve"> </w:t>
      </w:r>
      <w:r>
        <w:rPr>
          <w:bCs/>
          <w:b/>
        </w:rPr>
        <w:t xml:space="preserve">association; the institutional records of their abstract describe Pr-induced gap states, optical activity and benzoic-acid adsorption but do not mention oxygen vacancies. If the association is not reported there, delete this sentence.]</w:t>
      </w:r>
      <w:r>
        <w:t xml:space="preserve"> </w:t>
      </w:r>
      <w:r>
        <w:t xml:space="preserve">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[27]),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gives a direct indication of the elastic part: the Rb ion moves 1.27 Å off the cation site into the space vacated by the adjacent oxygen (Section 3.1), a relaxation channel that only an adjacent vacancy opens and that a smaller ion would exploit less, but whose energy has not been separated from the electronic contribution.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[27])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Whether the production pristine perfect cell was relaxed has to be confirmed (Section 2.6); if it was not, the pristine formation energy and the reductions relative to it are underestimated by its relaxation energy.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The production relaxations started from zero magnetisation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(in-plane value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state whose Löwdin moment sits mainly on one oxygen bonded to the Rb ion (0.59 of 1.01 μ</w:t>
      </w:r>
      <w:r>
        <w:rPr>
          <w:vertAlign w:val="subscript"/>
        </w:rPr>
        <w:t xml:space="preserve">B</w:t>
      </w:r>
      <w:r>
        <w:t xml:space="preserve">), and the Rb ion has moved 1.27 Å towards the vacancy, so lattice relaxation contributes to the Rb energetics;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plotting scripts that draw Figures 1–4, S1 and S2 and the graphical abstract directly from the authors’ Quantum ESPRESSO outputs and computed values, without altering any data.</w:t>
      </w:r>
      <w:r>
        <w:t xml:space="preserve"> </w:t>
      </w:r>
      <w:r>
        <w:rPr>
          <w:bCs/>
          <w:b/>
        </w:rPr>
        <w:t xml:space="preserve">[AUTHOR ACTION: Figure S3 is still interim artwork whose text labels were raster-patched by figures/patch_labels.py; regenerate it from the force data of the relaxation outputs. Elsevier does not permit generative-AI or AI-assisted tools to create or alter images or to produce graphical-abstract artwork; confirm with the editorial office that data plots drawn by AI-assisted plotting scripts are acceptable, or regenerate them with the authors’ own scripts, and amend this statement accordingly.]</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W.-J.; Wen, B.; Ge, Q.; Wei, X.; Teobaldi, G.; Liu, L.-M.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Polliotto, V.; Albanese, E.; Livraghi, S.; Pacchioni, G.; Giamello, E. Structural, Electronic and Photochemical Properties of Cerium-Doped Zirconium Titanate. Catal. Today 2020, 340, 49–57. DOI: 10.1016/j.cattod.2018.09.026.</w:t>
      </w:r>
    </w:p>
    <w:p>
      <w:pPr>
        <w:pStyle w:val="BodyText"/>
      </w:pPr>
      <w:r>
        <w:t xml:space="preserve">[20] 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Ahmad, A.; Yerlikaya, G.; Ur Rehman, M. Z.; Paksoy, H.; Kardaş, G. Enhanced Photoelectrochemical Water Splitting Using Gadolinium Doped Titanium Dioxide Nanorod Array Photoanodes. Int. J. Hydrogen Energy 2020, 45, 2709. DOI: 10.1016/j.ijhydene.2019.11.117.</w:t>
      </w:r>
    </w:p>
    <w:p>
      <w:pPr>
        <w:pStyle w:val="BodyText"/>
      </w:pPr>
      <w:r>
        <w:t xml:space="preserve">[22] Chen, W.; Yuan, P.; Zhang, S.; Sun, Q.; Liang, E.; Jia, Y. Electronic Properties of Anatase TiO2 Doped by Lanthanides: A DFT+U Study. Physica B 2012, 407, 1038–1043. DOI: 10.1016/j.physb.2012.01.085.</w:t>
      </w:r>
    </w:p>
    <w:p>
      <w:pPr>
        <w:pStyle w:val="BodyText"/>
      </w:pPr>
      <w:r>
        <w:t xml:space="preserve">[23] Chen, H.; Yao, L.; Yang, S.; Wang, Y.; Liang, X.; Huang, Y. First-Principles Study on Electronic and Optical Properties in Pr-Doped Anatase TiO2. Adv. Mater. Res. 2014, 924, 260–268. DOI: 10.4028/www.scientific.net/AMR.924.260.</w:t>
      </w:r>
    </w:p>
    <w:p>
      <w:pPr>
        <w:pStyle w:val="BodyText"/>
      </w:pPr>
      <w:r>
        <w:t xml:space="preserve">[24]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[25] Bahmanrokh, G.; Cazorla, C.; Mofarah, S. S.; Koshy, P.; Sorrell, C. C. Band Gap Engineering of Ce-Doped Anatase TiO2 through Solid Solubility Mechanisms and New Defect Equilibria Formalism. Nanoscale 2020, 12, 4916–4934. DOI: 10.1039/c9nr08604h.</w:t>
      </w:r>
    </w:p>
    <w:p>
      <w:pPr>
        <w:pStyle w:val="BodyText"/>
      </w:pPr>
      <w:r>
        <w:t xml:space="preserve">[26]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[27] Shannon, R. D. Revised Effective Ionic Radii and Systematic Studies of Interatomic Distances in Halides and Chalcogenides. Acta Crystallogr., Sect. A 1976, 32, 751–767. DOI: 10.1107/S0567739476001551.</w:t>
      </w:r>
    </w:p>
    <w:p>
      <w:pPr>
        <w:pStyle w:val="BodyText"/>
      </w:pPr>
      <w:r>
        <w:t xml:space="preserve">[28]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[29] Kröger, F. A.; Vink, H. J. Relations between the Concentrations of Imperfections in Crystalline Solids. Solid State Phys. 1956, 3, 307–435. DOI: 10.1016/S0081-1947(08)60135-6.</w:t>
      </w:r>
    </w:p>
    <w:p>
      <w:pPr>
        <w:pStyle w:val="BodyText"/>
      </w:pPr>
      <w:r>
        <w:t xml:space="preserve">[30] Giannozzi, P.; Andreussi, O.; Brumme, T.; Bunau, O.; et al. Advanced Capabilities for Materials Modelling with Quantum ESPRESSO. J. Phys.: Condens. Matter 2017, 29, 465901. DOI: 10.1088/1361-648X/aa8f79.</w:t>
      </w:r>
    </w:p>
    <w:p>
      <w:pPr>
        <w:pStyle w:val="BodyText"/>
      </w:pPr>
      <w:r>
        <w:t xml:space="preserve">[31] Giannozzi, P.; Baseggio, O.; Bonfà, P.; Brunato, D.; et al. Quantum ESPRESSO toward the Exascale. J. Chem. Phys. 2020, 152, 154105. DOI: 10.1063/5.0005082.</w:t>
      </w:r>
    </w:p>
    <w:p>
      <w:pPr>
        <w:pStyle w:val="BodyText"/>
      </w:pPr>
      <w:r>
        <w:t xml:space="preserve">[32] Perdew, J. P.; Burke, K.; Ernzerhof, M. Generalized Gradient Approximation Made Simple. Phys. Rev. Lett. 1996, 77, 3865–3868. DOI: 10.1103/PhysRevLett.77.3865.</w:t>
      </w:r>
    </w:p>
    <w:p>
      <w:pPr>
        <w:pStyle w:val="BodyText"/>
      </w:pPr>
      <w:r>
        <w:t xml:space="preserve">[33]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[34] Dudarev, S. L.; Botton, G. A.; Savrasov, S. Y.; Humphreys, C. J.; Sutton, A. P. Electron-Energy-Loss Spectra and the Structural Stability of Nickel Oxide: An LSDA+U Study. Phys. Rev. B 1998, 57, 1505–1509. DOI: 10.1103/PhysRevB.57.1505.</w:t>
      </w:r>
    </w:p>
    <w:p>
      <w:pPr>
        <w:pStyle w:val="BodyText"/>
      </w:pPr>
      <w:r>
        <w:t xml:space="preserve">[35] Deák, P.; Kullgren, J.; Frauenheim, T. Polarons and Oxygen Vacancies at the Surface of Anatase TiO2. Phys. Status Solidi RRL 2014, 8, 583–586. DOI: 10.1002/pssr.201409139.</w:t>
      </w:r>
    </w:p>
    <w:p>
      <w:pPr>
        <w:pStyle w:val="BodyText"/>
      </w:pPr>
      <w:r>
        <w:t xml:space="preserve">[36] Morgan, B. J.; Watson, G. W. A DFT+U Description of Oxygen Vacancies at the TiO2 Rutile (110) Surface. Surf. Sci. 2007, 601, 5034–5041. DOI: 10.1016/j.susc.2007.08.025.</w:t>
      </w:r>
    </w:p>
    <w:p>
      <w:pPr>
        <w:pStyle w:val="BodyText"/>
      </w:pPr>
      <w:r>
        <w:t xml:space="preserve">[37] Anisimov, V. I.; Zaanen, J.; Andersen, O. K. Band Theory and Mott Insulators: Hubbard U Instead of Stoner I. Phys. Rev. B 1991, 44, 943–954. DOI: 10.1103/PhysRevB.44.943.</w:t>
      </w:r>
    </w:p>
    <w:p>
      <w:pPr>
        <w:pStyle w:val="BodyText"/>
      </w:pPr>
      <w:r>
        <w:t xml:space="preserve">[38] Cococcioni, M.; de Gironcoli, S. Linear Response Approach to the Calculation of the Effective Interaction Parameters in the LDA+U Method. Phys. Rev. B 2005, 71, 035105. DOI: 10.1103/PhysRevB.71.035105.</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2026-10-03T03:40:55Z</dcterms:created>
  <dcterms:modified xsi:type="dcterms:W3CDTF">2026-10-03T03:40:55Z</dcterms:modified>
</cp:coreProperties>
</file>

<file path=docProps/custom.xml><?xml version="1.0" encoding="utf-8"?>
<Properties xmlns="http://schemas.openxmlformats.org/officeDocument/2006/custom-properties" xmlns:vt="http://schemas.openxmlformats.org/officeDocument/2006/docPropsVTypes"/>
</file>