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+1.29 and −4.06 eV for pristine, Pr-substituted and Rb-substituted anatase at the oxygen-rich reference, so that both dopants lower the vacancy cost while only Rb makes it spontaneous, a 5.36 eV contrast that changes by 0.04 eV between Γ-only and 2×2×2 sampling; (ii) the ordering matches the formal charge count, one hole per Pr</w:t>
      </w:r>
      <w:r>
        <w:rPr>
          <w:vertAlign w:val="superscript"/>
        </w:rPr>
        <w:t xml:space="preserve">3+</w:t>
      </w:r>
      <w:r>
        <w:t xml:space="preserve"> </w:t>
      </w:r>
      <w:r>
        <w:t xml:space="preserve">and three per Rb</w:t>
      </w:r>
      <w:r>
        <w:rPr>
          <w:vertAlign w:val="superscript"/>
        </w:rPr>
        <w:t xml:space="preserve">+</w:t>
      </w:r>
      <w:r>
        <w:t xml:space="preserve">, with which the spin counts of the Rb cells under an oxygen-site Hubbard term agree, although it is also the order of cation size; (iii) in the Rb cell with a vacancy, the residual hole is an empty O-2p state whose spin sits mainly on one oxygen bonded to Rb, while the Rb ion moves 1.27 Å towards the vacancy, so lattice relaxation contributes to the Rb result; and (iv) the spin state of the Pr-induced hole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All input files, output files, pseudopotential datasets, analysis tables and figure scripts are deposited in a public repository (DOI given in the Data Availability statement) so that every reported number can be traced.</w:t>
      </w:r>
    </w:p>
    <w:p>
      <w:pPr>
        <w:pStyle w:val="BodyText"/>
      </w:pPr>
      <w:r>
        <w:t xml:space="preserve">The manuscript is original, has not been published previously and is not under consideration elsewhere. All authors have approved the submission. We declare no competing interests. A generative-AI tool was used to restructure and edit the text, to check internal consistency and to write plotting scripts from our computed values, as declared in the manuscript.</w:t>
      </w:r>
    </w:p>
    <w:p>
      <w:pPr>
        <w:pStyle w:val="BodyText"/>
      </w:pPr>
      <w:r>
        <w:rPr>
          <w:bCs/>
          <w:b/>
        </w:rPr>
        <w:t xml:space="preserve">[AUTHOR ACTION: add 3–5 suggested reviewers with affiliation and e-mail, none from Universiti Malaya or recent co-authors, e.g. researchers active on DFT+U defect chemistry of TiO</w:t>
      </w:r>
      <w:r>
        <w:rPr>
          <w:vertAlign w:val="subscript"/>
          <w:bCs/>
          <w:b/>
        </w:rPr>
        <w:t xml:space="preserve">2</w:t>
      </w:r>
      <w:r>
        <w:rPr>
          <w:bCs/>
          <w:b/>
        </w:rPr>
        <w:t xml:space="preserve"> </w:t>
      </w:r>
      <w:r>
        <w:rPr>
          <w:bCs/>
          <w:b/>
        </w:rPr>
        <w:t xml:space="preserve">and on alkali/rare-earth doping of oxides; and list any opposed reviewers.]</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2026-10-03T03:42:45Z</dcterms:created>
  <dcterms:modified xsi:type="dcterms:W3CDTF">2026-10-03T03:42:45Z</dcterms:modified>
</cp:coreProperties>
</file>

<file path=docProps/custom.xml><?xml version="1.0" encoding="utf-8"?>
<Properties xmlns="http://schemas.openxmlformats.org/officeDocument/2006/custom-properties" xmlns:vt="http://schemas.openxmlformats.org/officeDocument/2006/docPropsVTypes"/>
</file>