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DFT+U; anatase TiO</w:t>
      </w:r>
      <w:r w:rsidRPr="004E6412">
        <w:rPr>
          <w:rFonts w:asciiTheme="majorBidi" w:hAnsiTheme="majorBidi" w:cstheme="majorBidi"/>
          <w:vertAlign w:val="subscript"/>
        </w:rPr>
        <w:t>2</w:t>
      </w:r>
      <w:r w:rsidRPr="004E6412">
        <w:rPr>
          <w:rFonts w:asciiTheme="majorBidi" w:hAnsiTheme="majorBidi" w:cstheme="majorBidi"/>
        </w:rPr>
        <w:t>; oxygen vacancy; aliovalent substitution; hole localisation; electron-transport layer.</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revision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1_structures_v4.png"/>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Grey: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which start from scratch and therefore include small offsets from the relaxation endpoints (Section 3.7).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 b</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a</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The 2×2×2 pristine value uses the single point of the unrelaxed pristine perfect cell (Table S2a), whose relaxation energy at Γ is −9 meV. </w:t>
      </w:r>
      <w:r w:rsidRPr="004E6412">
        <w:rPr>
          <w:rFonts w:asciiTheme="majorBidi" w:hAnsiTheme="majorBidi" w:cstheme="majorBidi"/>
          <w:i/>
          <w:iCs/>
          <w:vertAlign w:val="superscript"/>
        </w:rPr>
        <w:t>b</w:t>
      </w:r>
      <w:r w:rsidRPr="004E6412">
        <w:rPr>
          <w:rFonts w:asciiTheme="majorBidi" w:hAnsiTheme="majorBidi" w:cstheme="majorBidi"/>
          <w:i/>
          <w:iCs/>
        </w:rPr>
        <w:t xml:space="preserve"> Relaxed in this work (Section 2.6); the single point on unrelaxed positions gives +4.74 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2_formation_energies_v4.png"/>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w:t>
      </w:r>
      <w:r w:rsidRPr="004E6412">
        <w:rPr>
          <w:rFonts w:asciiTheme="majorBidi" w:hAnsiTheme="majorBidi" w:cstheme="majorBidi"/>
          <w:i/>
          <w:iCs/>
        </w:rPr>
        <w:lastRenderedPageBreak/>
        <w:t>positive and the Rb cell becomes negative. Open diamonds: the lowest-energy spin solutions with narrower smearing (σ → 0 estimate; Section 3.3).</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f</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c</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e</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magnetic at 0.002 Ry e</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c</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e</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 </w:t>
      </w:r>
      <w:r w:rsidRPr="004E6412">
        <w:rPr>
          <w:rFonts w:asciiTheme="majorBidi" w:hAnsiTheme="majorBidi" w:cstheme="majorBidi"/>
          <w:i/>
          <w:iCs/>
          <w:vertAlign w:val="superscript"/>
        </w:rPr>
        <w:t>f</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3_magnetisation_v4.png"/>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At the production smearing of 0.01 Ry the Pr cells and the pristine perfect cell converge to non-magnetic solutions; both Rb cells carry one unpaired spin, and Rb_VO shows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51066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4_PDOS_v4.png"/>
                    <pic:cNvPicPr>
                      <a:picLocks noChangeAspect="1" noChangeArrowheads="1"/>
                    </pic:cNvPicPr>
                  </pic:nvPicPr>
                  <pic:blipFill>
                    <a:blip r:embed="rId10"/>
                    <a:stretch>
                      <a:fillRect/>
                    </a:stretch>
                  </pic:blipFill>
                  <pic:spPr bwMode="auto">
                    <a:xfrm>
                      <a:off x="0" y="0"/>
                      <a:ext cx="5334000" cy="4510667"/>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so a complete cycle now exists at 2×2×2 for all three hosts.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arXiv:2011.03269 [cond-mat.mtrl-sci], 2020.</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p w14:paraId="64591239" w14:textId="3A4D9E58" w:rsidR="00304BD1" w:rsidRDefault="00304BD1">
      <w:pPr>
        <w:pStyle w:val="BodyText"/>
        <w:jc w:val="both"/>
        <w:rPr>
          <w:rFonts w:asciiTheme="majorBidi" w:hAnsiTheme="majorBidi" w:cstheme="majorBidi"/>
        </w:rPr>
      </w:pPr>
    </w:p>
    <w:p w14:paraId="4EC074AD" w14:textId="69467FD2" w:rsidR="00304BD1" w:rsidRDefault="00304BD1">
      <w:pPr>
        <w:pStyle w:val="BodyText"/>
        <w:jc w:val="both"/>
        <w:rPr>
          <w:rFonts w:asciiTheme="majorBidi" w:hAnsiTheme="majorBidi" w:cstheme="majorBidi"/>
        </w:rPr>
      </w:pPr>
    </w:p>
    <w:p w14:paraId="50A28EAE" w14:textId="4FB52263" w:rsidR="00304BD1" w:rsidRDefault="00304BD1">
      <w:pPr>
        <w:pStyle w:val="BodyText"/>
        <w:jc w:val="both"/>
        <w:rPr>
          <w:rFonts w:asciiTheme="majorBidi" w:hAnsiTheme="majorBidi" w:cstheme="majorBidi"/>
        </w:rPr>
      </w:pPr>
    </w:p>
    <w:p w14:paraId="72F51677" w14:textId="2D410B11" w:rsidR="00304BD1" w:rsidRDefault="00304BD1">
      <w:pPr>
        <w:pStyle w:val="BodyText"/>
        <w:jc w:val="both"/>
        <w:rPr>
          <w:rFonts w:asciiTheme="majorBidi" w:hAnsiTheme="majorBidi" w:cstheme="majorBidi"/>
        </w:rPr>
      </w:pPr>
    </w:p>
    <w:p w14:paraId="33526145" w14:textId="0318AA9E" w:rsidR="00304BD1" w:rsidRDefault="00304BD1">
      <w:pPr>
        <w:pStyle w:val="BodyText"/>
        <w:jc w:val="both"/>
        <w:rPr>
          <w:rFonts w:asciiTheme="majorBidi" w:hAnsiTheme="majorBidi" w:cstheme="majorBidi"/>
        </w:rPr>
      </w:pPr>
    </w:p>
    <w:p w14:paraId="64563262" w14:textId="58B26281" w:rsidR="00304BD1" w:rsidRDefault="00826212">
      <w:pPr>
        <w:pStyle w:val="BodyText"/>
        <w:jc w:val="both"/>
        <w:rPr>
          <w:rFonts w:asciiTheme="majorBidi" w:hAnsiTheme="majorBidi" w:cstheme="majorBidi"/>
        </w:rPr>
      </w:pPr>
      <w:r>
        <w:rPr>
          <w:rFonts w:asciiTheme="majorBidi" w:hAnsiTheme="majorBidi" w:cstheme="majorBidi"/>
        </w:rPr>
        <w:t>%%%%%%%%%%%%%%%%%%%%%%%%%%%%%%%%</w:t>
      </w:r>
    </w:p>
    <w:p w14:paraId="4E79D836" w14:textId="2758AABB" w:rsidR="00826212" w:rsidRDefault="00826212">
      <w:pPr>
        <w:pStyle w:val="BodyText"/>
        <w:jc w:val="both"/>
        <w:rPr>
          <w:rFonts w:asciiTheme="majorBidi" w:hAnsiTheme="majorBidi" w:cstheme="majorBidi"/>
        </w:rPr>
      </w:pPr>
      <w:r w:rsidRPr="00826212">
        <w:rPr>
          <w:rFonts w:asciiTheme="majorBidi" w:hAnsiTheme="majorBidi" w:cstheme="majorBidi"/>
        </w:rPr>
        <w:lastRenderedPageBreak/>
        <w:drawing>
          <wp:inline distT="0" distB="0" distL="0" distR="0" wp14:anchorId="2EA94C3D" wp14:editId="6F15833D">
            <wp:extent cx="5943600" cy="3341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41370"/>
                    </a:xfrm>
                    <a:prstGeom prst="rect">
                      <a:avLst/>
                    </a:prstGeom>
                  </pic:spPr>
                </pic:pic>
              </a:graphicData>
            </a:graphic>
          </wp:inline>
        </w:drawing>
      </w:r>
    </w:p>
    <w:p w14:paraId="0F9A8D3F" w14:textId="2842883E" w:rsidR="00826212" w:rsidRDefault="00826212">
      <w:pPr>
        <w:pStyle w:val="BodyText"/>
        <w:jc w:val="both"/>
        <w:rPr>
          <w:rFonts w:asciiTheme="majorBidi" w:hAnsiTheme="majorBidi" w:cstheme="majorBidi"/>
        </w:rPr>
      </w:pPr>
    </w:p>
    <w:p w14:paraId="1B7184F2" w14:textId="5B319D7E" w:rsidR="00826212" w:rsidRDefault="00826212">
      <w:pPr>
        <w:pStyle w:val="BodyText"/>
        <w:jc w:val="both"/>
        <w:rPr>
          <w:rFonts w:asciiTheme="majorBidi" w:hAnsiTheme="majorBidi" w:cstheme="majorBidi"/>
        </w:rPr>
      </w:pPr>
    </w:p>
    <w:p w14:paraId="1973C7D6" w14:textId="3E433363" w:rsidR="00826212" w:rsidRDefault="00826212">
      <w:pPr>
        <w:pStyle w:val="BodyText"/>
        <w:jc w:val="both"/>
        <w:rPr>
          <w:rFonts w:asciiTheme="majorBidi" w:hAnsiTheme="majorBidi" w:cstheme="majorBidi"/>
        </w:rPr>
      </w:pPr>
    </w:p>
    <w:p w14:paraId="4F4C3B20" w14:textId="77777777" w:rsidR="00826212" w:rsidRDefault="00826212" w:rsidP="00826212">
      <w:pPr>
        <w:pStyle w:val="NormalWeb"/>
      </w:pPr>
      <w:r>
        <w:t>My recommendation as a scientific editor: the graphical abstract should communicate one central finding immediately — Pr and Rb substitution both lower oxygen-vacancy formation energy, but only Rb makes vacancy formation energetically favorable under the stated reference conditions.</w:t>
      </w:r>
    </w:p>
    <w:p w14:paraId="3A8522ED" w14:textId="77777777" w:rsidR="00826212" w:rsidRDefault="00826212" w:rsidP="00826212">
      <w:pPr>
        <w:pStyle w:val="NormalWeb"/>
      </w:pPr>
      <w:r>
        <w:t>The redesigned version above has a clearer five-step workflow and stronger visual hierarchy. Before journal submission, I would make three final checks:</w:t>
      </w:r>
    </w:p>
    <w:p w14:paraId="2099B1F2" w14:textId="77777777" w:rsidR="00826212" w:rsidRDefault="00826212" w:rsidP="00826212">
      <w:pPr>
        <w:pStyle w:val="NormalWeb"/>
        <w:numPr>
          <w:ilvl w:val="0"/>
          <w:numId w:val="3"/>
        </w:numPr>
      </w:pPr>
      <w:r>
        <w:t>Verify every numerical value against the DFT calculations, especially the Pr values of +1.29 eV and +0.99 eV.</w:t>
      </w:r>
    </w:p>
    <w:p w14:paraId="434C4E35" w14:textId="77777777" w:rsidR="00826212" w:rsidRDefault="00826212" w:rsidP="00826212">
      <w:pPr>
        <w:pStyle w:val="NormalWeb"/>
        <w:numPr>
          <w:ilvl w:val="0"/>
          <w:numId w:val="3"/>
        </w:numPr>
      </w:pPr>
      <w:r>
        <w:t>Clarify the charge bookkeeping and ensure the electron/hole symbols are consistent with the calculated charge states and electronic structure.</w:t>
      </w:r>
    </w:p>
    <w:p w14:paraId="6161110E" w14:textId="77777777" w:rsidR="00826212" w:rsidRDefault="00826212" w:rsidP="00826212">
      <w:pPr>
        <w:pStyle w:val="NormalWeb"/>
        <w:numPr>
          <w:ilvl w:val="0"/>
          <w:numId w:val="3"/>
        </w:numPr>
      </w:pPr>
      <w:r>
        <w:t>Export a publication-ready version at the journal's required dimensions and resolution, preferably as editable vector artwork (PDF/SVG) rather than relying solely on a raster image.</w:t>
      </w:r>
    </w:p>
    <w:p w14:paraId="63D84311" w14:textId="77777777" w:rsidR="00826212" w:rsidRDefault="00826212" w:rsidP="00826212">
      <w:pPr>
        <w:pStyle w:val="NormalWeb"/>
      </w:pPr>
      <w:r>
        <w:t>No graphical abstract can guarantee acceptance, and the scientific consistency matters more than visual polish. The strongest next step is to verify the figure against the manuscript's methods and results before submission.</w:t>
      </w:r>
    </w:p>
    <w:p w14:paraId="33172ABE" w14:textId="393DCCFB" w:rsidR="00826212" w:rsidRDefault="00826212">
      <w:pPr>
        <w:pStyle w:val="BodyText"/>
        <w:jc w:val="both"/>
        <w:rPr>
          <w:rFonts w:asciiTheme="majorBidi" w:hAnsiTheme="majorBidi" w:cstheme="majorBidi"/>
        </w:rPr>
      </w:pPr>
    </w:p>
    <w:p w14:paraId="12ED7C79" w14:textId="77777777" w:rsidR="00826212" w:rsidRPr="004E6412" w:rsidRDefault="00826212">
      <w:pPr>
        <w:pStyle w:val="BodyText"/>
        <w:jc w:val="both"/>
        <w:rPr>
          <w:rFonts w:asciiTheme="majorBidi" w:hAnsiTheme="majorBidi" w:cstheme="majorBidi"/>
        </w:rPr>
      </w:pP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