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00254dd2641a23414e60d32e4e391993530cc68"/>
    <w:p>
      <w:pPr>
        <w:pStyle w:val="Heading1"/>
      </w:pPr>
      <w:r>
        <w:t xml:space="preserve">Journal shortlist for the Pr/Rb-anatase DFT+U manuscript (v4)</w:t>
      </w:r>
    </w:p>
    <w:p>
      <w:pPr>
        <w:pStyle w:val="FirstParagraph"/>
      </w:pPr>
      <w:r>
        <w:rPr>
          <w:bCs/>
          <w:b/>
        </w:rPr>
        <w:t xml:space="preserve">Prepared 2 October 2026.</w:t>
      </w:r>
      <w:r>
        <w:t xml:space="preserve"> </w:t>
      </w:r>
      <w:r>
        <w:t xml:space="preserve">The metrics below were gathered by web search from aggregator pages (resurchify.com, journalmetrics.org, manusights.com, scijournal.org, researcher.life) because the Scimago, Clarivate and publisher sites could not be opened from the preparation environment. Treat every number as a snapshot to be re-checked on scimagojr.com (SJR quartile by category) and on the journal’s own page (JCR impact factor) before the cover letter is finalised. The year of each figure is given; where sources disagreed both values are shown.</w:t>
      </w:r>
      <w:r>
        <w:t xml:space="preserve"> </w:t>
      </w:r>
      <w:r>
        <w:t xml:space="preserve">“</w:t>
      </w:r>
      <w:r>
        <w:t xml:space="preserve">Q1</w:t>
      </w:r>
      <w:r>
        <w:t xml:space="preserve">”</w:t>
      </w:r>
      <w:r>
        <w:t xml:space="preserve"> </w:t>
      </w:r>
      <w:r>
        <w:t xml:space="preserve">is category-dependent: confirm which list (Scopus/Scimago or Web of Science/JCR) Universiti Malaya counts for this submission, because at least one candidate below is Q1 on one list and Q3 on the other.</w:t>
      </w:r>
    </w:p>
    <w:bookmarkStart w:id="20" w:name="what-the-manuscript-is-after-revision"/>
    <w:p>
      <w:pPr>
        <w:pStyle w:val="Heading2"/>
      </w:pPr>
      <w:r>
        <w:t xml:space="preserve">What the manuscript is, after revision</w:t>
      </w:r>
    </w:p>
    <w:p>
      <w:pPr>
        <w:pStyle w:val="FirstParagraph"/>
      </w:pPr>
      <w:r>
        <w:t xml:space="preserve">A bounded bulk DFT+U comparison (48-atom cell, Γ-only, one dopant each) of oxygen-vacancy energetics and hole localisation for a trivalent rare-earth and a monovalent alkali substituent in anatase, with an explicit electron ledger and sensitivity tests. No experiment, no interface or device calculation. Scope words for the search:</w:t>
      </w:r>
      <w:r>
        <w:t xml:space="preserve"> </w:t>
      </w:r>
      <w:r>
        <w:rPr>
          <w:iCs/>
          <w:i/>
        </w:rPr>
        <w:t xml:space="preserve">defect chemistry, DFT+U, doped TiO</w:t>
      </w:r>
      <w:r>
        <w:rPr>
          <w:vertAlign w:val="subscript"/>
          <w:iCs/>
          <w:i/>
        </w:rPr>
        <w:t xml:space="preserve">2</w:t>
      </w:r>
      <w:r>
        <w:rPr>
          <w:iCs/>
          <w:i/>
        </w:rPr>
        <w:t xml:space="preserve">, oxygen vacancy, charge compensation, polaron</w:t>
      </w:r>
      <w:r>
        <w:t xml:space="preserve">.</w:t>
      </w:r>
    </w:p>
    <w:bookmarkEnd w:id="20"/>
    <w:bookmarkStart w:id="21" w:name="candidates"/>
    <w:p>
      <w:pPr>
        <w:pStyle w:val="Heading2"/>
      </w:pPr>
      <w:r>
        <w:t xml:space="preserve">Candidates</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w:t>
            </w:r>
          </w:p>
        </w:tc>
        <w:tc>
          <w:tcPr/>
          <w:p>
            <w:pPr>
              <w:pStyle w:val="Compact"/>
              <w:jc w:val="left"/>
            </w:pPr>
            <w:r>
              <w:t xml:space="preserve">Journal (publisher)</w:t>
            </w:r>
          </w:p>
        </w:tc>
        <w:tc>
          <w:tcPr/>
          <w:p>
            <w:pPr>
              <w:pStyle w:val="Compact"/>
              <w:jc w:val="left"/>
            </w:pPr>
            <w:r>
              <w:t xml:space="preserve">Tier</w:t>
            </w:r>
          </w:p>
        </w:tc>
        <w:tc>
          <w:tcPr/>
          <w:p>
            <w:pPr>
              <w:pStyle w:val="Compact"/>
              <w:jc w:val="left"/>
            </w:pPr>
            <w:r>
              <w:t xml:space="preserve">Scimago quartile and category (year)</w:t>
            </w:r>
          </w:p>
        </w:tc>
        <w:tc>
          <w:tcPr/>
          <w:p>
            <w:pPr>
              <w:pStyle w:val="Compact"/>
              <w:jc w:val="left"/>
            </w:pPr>
            <w:r>
              <w:t xml:space="preserve">Impact factor (year)</w:t>
            </w:r>
          </w:p>
        </w:tc>
        <w:tc>
          <w:tcPr/>
          <w:p>
            <w:pPr>
              <w:pStyle w:val="Compact"/>
              <w:jc w:val="left"/>
            </w:pPr>
            <w:r>
              <w:t xml:space="preserve">Indexing</w:t>
            </w:r>
          </w:p>
        </w:tc>
        <w:tc>
          <w:tcPr/>
          <w:p>
            <w:pPr>
              <w:pStyle w:val="Compact"/>
              <w:jc w:val="left"/>
            </w:pPr>
            <w:r>
              <w:t xml:space="preserve">APC / free route</w:t>
            </w:r>
          </w:p>
        </w:tc>
        <w:tc>
          <w:tcPr/>
          <w:p>
            <w:pPr>
              <w:pStyle w:val="Compact"/>
              <w:jc w:val="left"/>
            </w:pPr>
            <w:r>
              <w:t xml:space="preserve">Fit and risks</w:t>
            </w:r>
          </w:p>
        </w:tc>
        <w:tc>
          <w:tcPr/>
          <w:p>
            <w:pPr>
              <w:pStyle w:val="Compact"/>
              <w:jc w:val="left"/>
            </w:pPr>
            <w:r>
              <w:t xml:space="preserve">Source</w:t>
            </w:r>
          </w:p>
        </w:tc>
      </w:tr>
      <w:tr>
        <w:tc>
          <w:tcPr/>
          <w:p>
            <w:pPr>
              <w:pStyle w:val="Compact"/>
              <w:jc w:val="left"/>
            </w:pPr>
            <w:r>
              <w:t xml:space="preserve">1</w:t>
            </w:r>
          </w:p>
        </w:tc>
        <w:tc>
          <w:tcPr/>
          <w:p>
            <w:pPr>
              <w:pStyle w:val="Compact"/>
              <w:jc w:val="left"/>
            </w:pPr>
            <w:r>
              <w:rPr>
                <w:bCs/>
                <w:b/>
              </w:rPr>
              <w:t xml:space="preserve">Applied Surface Science</w:t>
            </w:r>
            <w:r>
              <w:t xml:space="preserve"> </w:t>
            </w:r>
            <w:r>
              <w:t xml:space="preserve">(Elsevier)</w:t>
            </w:r>
          </w:p>
        </w:tc>
        <w:tc>
          <w:tcPr/>
          <w:p>
            <w:pPr>
              <w:pStyle w:val="Compact"/>
              <w:jc w:val="left"/>
            </w:pPr>
            <w:r>
              <w:t xml:space="preserve">Realistic-high,</w:t>
            </w:r>
            <w:r>
              <w:t xml:space="preserve"> </w:t>
            </w:r>
            <w:r>
              <w:rPr>
                <w:bCs/>
                <w:b/>
              </w:rPr>
              <w:t xml:space="preserve">recommended primary</w:t>
            </w:r>
          </w:p>
        </w:tc>
        <w:tc>
          <w:tcPr/>
          <w:p>
            <w:pPr>
              <w:pStyle w:val="Compact"/>
              <w:jc w:val="left"/>
            </w:pPr>
            <w:r>
              <w:t xml:space="preserve">Q1 in Chemistry (misc.), Condensed Matter Physics, Physics &amp; Astronomy (misc.), Surfaces &amp; Interfaces, Surfaces/Coatings/Films (2024); SJR 1.31</w:t>
            </w:r>
          </w:p>
        </w:tc>
        <w:tc>
          <w:tcPr/>
          <w:p>
            <w:pPr>
              <w:pStyle w:val="Compact"/>
              <w:jc w:val="left"/>
            </w:pPr>
            <w:r>
              <w:t xml:space="preserve">6.9 (2024); one source gives 6.3</w:t>
            </w:r>
          </w:p>
        </w:tc>
        <w:tc>
          <w:tcPr/>
          <w:p>
            <w:pPr>
              <w:pStyle w:val="Compact"/>
              <w:jc w:val="left"/>
            </w:pPr>
            <w:r>
              <w:t xml:space="preserve">Scopus, WoS</w:t>
            </w:r>
          </w:p>
        </w:tc>
        <w:tc>
          <w:tcPr/>
          <w:p>
            <w:pPr>
              <w:pStyle w:val="Compact"/>
              <w:jc w:val="left"/>
            </w:pPr>
            <w:r>
              <w:t xml:space="preserve">Subscription route free; OA optional</w:t>
            </w:r>
          </w:p>
        </w:tc>
        <w:tc>
          <w:tcPr/>
          <w:p>
            <w:pPr>
              <w:pStyle w:val="Compact"/>
              <w:jc w:val="left"/>
            </w:pPr>
            <w:r>
              <w:t xml:space="preserve">Strong topical fit: the manuscript cites five Appl. Surf. Sci. papers including DFT+U work on Er-doped and Pr/anatase systems. Risk: bulk rather than surface study; the cover letter must make the ETL-interface motivation and the dopant-site chemistry explicit.</w:t>
            </w:r>
          </w:p>
        </w:tc>
        <w:tc>
          <w:tcPr/>
          <w:p>
            <w:pPr>
              <w:pStyle w:val="Compact"/>
              <w:jc w:val="left"/>
            </w:pPr>
            <w:r>
              <w:t xml:space="preserve">resurchify.com/impact/details/28983; manusights.com/blog/applied-surface-science-impact-factor</w:t>
            </w:r>
          </w:p>
        </w:tc>
      </w:tr>
      <w:tr>
        <w:tc>
          <w:tcPr/>
          <w:p>
            <w:pPr>
              <w:pStyle w:val="Compact"/>
              <w:jc w:val="left"/>
            </w:pPr>
            <w:r>
              <w:t xml:space="preserve">2</w:t>
            </w:r>
          </w:p>
        </w:tc>
        <w:tc>
          <w:tcPr/>
          <w:p>
            <w:pPr>
              <w:pStyle w:val="Compact"/>
              <w:jc w:val="left"/>
            </w:pPr>
            <w:r>
              <w:rPr>
                <w:bCs/>
                <w:b/>
              </w:rPr>
              <w:t xml:space="preserve">Journal of Alloys and Compounds</w:t>
            </w:r>
            <w:r>
              <w:t xml:space="preserve"> </w:t>
            </w:r>
            <w:r>
              <w:t xml:space="preserve">(Elsevier)</w:t>
            </w:r>
          </w:p>
        </w:tc>
        <w:tc>
          <w:tcPr/>
          <w:p>
            <w:pPr>
              <w:pStyle w:val="Compact"/>
              <w:jc w:val="left"/>
            </w:pPr>
            <w:r>
              <w:t xml:space="preserve">Realistic-high, alternate</w:t>
            </w:r>
          </w:p>
        </w:tc>
        <w:tc>
          <w:tcPr/>
          <w:p>
            <w:pPr>
              <w:pStyle w:val="Compact"/>
              <w:jc w:val="left"/>
            </w:pPr>
            <w:r>
              <w:t xml:space="preserve">Q1 across materials/metallurgy categories (2024); SJR 1.19</w:t>
            </w:r>
          </w:p>
        </w:tc>
        <w:tc>
          <w:tcPr/>
          <w:p>
            <w:pPr>
              <w:pStyle w:val="Compact"/>
              <w:jc w:val="left"/>
            </w:pPr>
            <w:r>
              <w:t xml:space="preserve">6.5 (2024)</w:t>
            </w:r>
          </w:p>
        </w:tc>
        <w:tc>
          <w:tcPr/>
          <w:p>
            <w:pPr>
              <w:pStyle w:val="Compact"/>
              <w:jc w:val="left"/>
            </w:pPr>
            <w:r>
              <w:t xml:space="preserve">Scopus, WoS</w:t>
            </w:r>
          </w:p>
        </w:tc>
        <w:tc>
          <w:tcPr/>
          <w:p>
            <w:pPr>
              <w:pStyle w:val="Compact"/>
              <w:jc w:val="left"/>
            </w:pPr>
            <w:r>
              <w:t xml:space="preserve">Subscription route free</w:t>
            </w:r>
          </w:p>
        </w:tc>
        <w:tc>
          <w:tcPr/>
          <w:p>
            <w:pPr>
              <w:pStyle w:val="Compact"/>
              <w:jc w:val="left"/>
            </w:pPr>
            <w:r>
              <w:t xml:space="preserve">Publishes many DFT+U doped-oxide defect studies; scope (</w:t>
            </w:r>
            <w:r>
              <w:t xml:space="preserve">“</w:t>
            </w:r>
            <w:r>
              <w:t xml:space="preserve">compounds</w:t>
            </w:r>
            <w:r>
              <w:t xml:space="preserve">”</w:t>
            </w:r>
            <w:r>
              <w:t xml:space="preserve">) fits a bulk doped-TiO</w:t>
            </w:r>
            <w:r>
              <w:rPr>
                <w:vertAlign w:val="subscript"/>
              </w:rPr>
              <w:t xml:space="preserve">2</w:t>
            </w:r>
            <w:r>
              <w:t xml:space="preserve"> </w:t>
            </w:r>
            <w:r>
              <w:t xml:space="preserve">study without strain. Lower prestige in the physics community than #1.</w:t>
            </w:r>
          </w:p>
        </w:tc>
        <w:tc>
          <w:tcPr/>
          <w:p>
            <w:pPr>
              <w:pStyle w:val="Compact"/>
              <w:jc w:val="left"/>
            </w:pPr>
            <w:r>
              <w:t xml:space="preserve">resurchify.com/impact/details/12325</w:t>
            </w:r>
          </w:p>
        </w:tc>
      </w:tr>
      <w:tr>
        <w:tc>
          <w:tcPr/>
          <w:p>
            <w:pPr>
              <w:pStyle w:val="Compact"/>
              <w:jc w:val="left"/>
            </w:pPr>
            <w:r>
              <w:t xml:space="preserve">3</w:t>
            </w:r>
          </w:p>
        </w:tc>
        <w:tc>
          <w:tcPr/>
          <w:p>
            <w:pPr>
              <w:pStyle w:val="Compact"/>
              <w:jc w:val="left"/>
            </w:pPr>
            <w:r>
              <w:rPr>
                <w:bCs/>
                <w:b/>
              </w:rPr>
              <w:t xml:space="preserve">Journal of Materials Chemistry A</w:t>
            </w:r>
            <w:r>
              <w:t xml:space="preserve"> </w:t>
            </w:r>
            <w:r>
              <w:t xml:space="preserve">(RSC)</w:t>
            </w:r>
          </w:p>
        </w:tc>
        <w:tc>
          <w:tcPr/>
          <w:p>
            <w:pPr>
              <w:pStyle w:val="Compact"/>
              <w:jc w:val="left"/>
            </w:pPr>
            <w:r>
              <w:t xml:space="preserve">Reach</w:t>
            </w:r>
          </w:p>
        </w:tc>
        <w:tc>
          <w:tcPr/>
          <w:p>
            <w:pPr>
              <w:pStyle w:val="Compact"/>
              <w:jc w:val="left"/>
            </w:pPr>
            <w:r>
              <w:t xml:space="preserve">Q1 in Chemistry (misc.), Materials Science (misc.), Renewable Energy (2024); SJR 2.46</w:t>
            </w:r>
          </w:p>
        </w:tc>
        <w:tc>
          <w:tcPr/>
          <w:p>
            <w:pPr>
              <w:pStyle w:val="Compact"/>
              <w:jc w:val="left"/>
            </w:pPr>
            <w:r>
              <w:t xml:space="preserve">9.5 (2024); 5-yr 10.3</w:t>
            </w:r>
          </w:p>
        </w:tc>
        <w:tc>
          <w:tcPr/>
          <w:p>
            <w:pPr>
              <w:pStyle w:val="Compact"/>
              <w:jc w:val="left"/>
            </w:pPr>
            <w:r>
              <w:t xml:space="preserve">Scopus, WoS</w:t>
            </w:r>
          </w:p>
        </w:tc>
        <w:tc>
          <w:tcPr/>
          <w:p>
            <w:pPr>
              <w:pStyle w:val="Compact"/>
              <w:jc w:val="left"/>
            </w:pPr>
            <w:r>
              <w:t xml:space="preserve">Subscription route free</w:t>
            </w:r>
          </w:p>
        </w:tc>
        <w:tc>
          <w:tcPr/>
          <w:p>
            <w:pPr>
              <w:pStyle w:val="Compact"/>
              <w:jc w:val="left"/>
            </w:pPr>
            <w:r>
              <w:t xml:space="preserve">The SI shows this was the original target. With the narrowed claims and no device evidence the editors are likely to ask what the energy-materials advance is; realistic only after the dual-U cycles, tighter relaxations and a second dopant series are added.</w:t>
            </w:r>
          </w:p>
        </w:tc>
        <w:tc>
          <w:tcPr/>
          <w:p>
            <w:pPr>
              <w:pStyle w:val="Compact"/>
              <w:jc w:val="left"/>
            </w:pPr>
            <w:r>
              <w:t xml:space="preserve">resurchify.com/impact/details/21100232403; manusights.com/blog/journal-of-materials-chemistry-a-impact-factor</w:t>
            </w:r>
          </w:p>
        </w:tc>
      </w:tr>
      <w:tr>
        <w:tc>
          <w:tcPr/>
          <w:p>
            <w:pPr>
              <w:pStyle w:val="Compact"/>
              <w:jc w:val="left"/>
            </w:pPr>
            <w:r>
              <w:t xml:space="preserve">4</w:t>
            </w:r>
          </w:p>
        </w:tc>
        <w:tc>
          <w:tcPr/>
          <w:p>
            <w:pPr>
              <w:pStyle w:val="Compact"/>
              <w:jc w:val="left"/>
            </w:pPr>
            <w:r>
              <w:rPr>
                <w:bCs/>
                <w:b/>
              </w:rPr>
              <w:t xml:space="preserve">ACS Applied Energy Materials</w:t>
            </w:r>
            <w:r>
              <w:t xml:space="preserve"> </w:t>
            </w:r>
            <w:r>
              <w:t xml:space="preserve">(ACS)</w:t>
            </w:r>
          </w:p>
        </w:tc>
        <w:tc>
          <w:tcPr/>
          <w:p>
            <w:pPr>
              <w:pStyle w:val="Compact"/>
              <w:jc w:val="left"/>
            </w:pPr>
            <w:r>
              <w:t xml:space="preserve">Reach–realistic</w:t>
            </w:r>
          </w:p>
        </w:tc>
        <w:tc>
          <w:tcPr/>
          <w:p>
            <w:pPr>
              <w:pStyle w:val="Compact"/>
              <w:jc w:val="left"/>
            </w:pPr>
            <w:r>
              <w:t xml:space="preserve">Q1 in Chemical Engineering (misc.), Electrical &amp; Electronic Eng., Electrochemistry, Energy Eng., Materials Chemistry (2024); SJR 1.38</w:t>
            </w:r>
          </w:p>
        </w:tc>
        <w:tc>
          <w:tcPr/>
          <w:p>
            <w:pPr>
              <w:pStyle w:val="Compact"/>
              <w:jc w:val="left"/>
            </w:pPr>
            <w:r>
              <w:t xml:space="preserve">5.6 (2024)</w:t>
            </w:r>
          </w:p>
        </w:tc>
        <w:tc>
          <w:tcPr/>
          <w:p>
            <w:pPr>
              <w:pStyle w:val="Compact"/>
              <w:jc w:val="left"/>
            </w:pPr>
            <w:r>
              <w:t xml:space="preserve">Scopus, WoS</w:t>
            </w:r>
          </w:p>
        </w:tc>
        <w:tc>
          <w:tcPr/>
          <w:p>
            <w:pPr>
              <w:pStyle w:val="Compact"/>
              <w:jc w:val="left"/>
            </w:pPr>
            <w:r>
              <w:t xml:space="preserve">Subscription route free</w:t>
            </w:r>
          </w:p>
        </w:tc>
        <w:tc>
          <w:tcPr/>
          <w:p>
            <w:pPr>
              <w:pStyle w:val="Compact"/>
              <w:jc w:val="left"/>
            </w:pPr>
            <w:r>
              <w:t xml:space="preserve">Energy-application framing required; a pure bulk-defect paper is at the edge of scope. Workable if the ETL hypotheses of Section 4.5 are kept prominent.</w:t>
            </w:r>
          </w:p>
        </w:tc>
        <w:tc>
          <w:tcPr/>
          <w:p>
            <w:pPr>
              <w:pStyle w:val="Compact"/>
              <w:jc w:val="left"/>
            </w:pPr>
            <w:r>
              <w:t xml:space="preserve">resurchify.com/impact/details/21100904205</w:t>
            </w:r>
          </w:p>
        </w:tc>
      </w:tr>
      <w:tr>
        <w:tc>
          <w:tcPr/>
          <w:p>
            <w:pPr>
              <w:pStyle w:val="Compact"/>
              <w:jc w:val="left"/>
            </w:pPr>
            <w:r>
              <w:t xml:space="preserve">5</w:t>
            </w:r>
          </w:p>
        </w:tc>
        <w:tc>
          <w:tcPr/>
          <w:p>
            <w:pPr>
              <w:pStyle w:val="Compact"/>
              <w:jc w:val="left"/>
            </w:pPr>
            <w:r>
              <w:rPr>
                <w:bCs/>
                <w:b/>
              </w:rPr>
              <w:t xml:space="preserve">Materials Today Energy</w:t>
            </w:r>
            <w:r>
              <w:t xml:space="preserve"> </w:t>
            </w:r>
            <w:r>
              <w:t xml:space="preserve">(Elsevier)</w:t>
            </w:r>
          </w:p>
        </w:tc>
        <w:tc>
          <w:tcPr/>
          <w:p>
            <w:pPr>
              <w:pStyle w:val="Compact"/>
              <w:jc w:val="left"/>
            </w:pPr>
            <w:r>
              <w:t xml:space="preserve">Reach (not recommended)</w:t>
            </w:r>
          </w:p>
        </w:tc>
        <w:tc>
          <w:tcPr/>
          <w:p>
            <w:pPr>
              <w:pStyle w:val="Compact"/>
              <w:jc w:val="left"/>
            </w:pPr>
            <w:r>
              <w:t xml:space="preserve">Q1 in Energy, Fuel Technology, Materials Science (misc.) (2024); SJR 2.12</w:t>
            </w:r>
          </w:p>
        </w:tc>
        <w:tc>
          <w:tcPr/>
          <w:p>
            <w:pPr>
              <w:pStyle w:val="Compact"/>
              <w:jc w:val="left"/>
            </w:pPr>
            <w:r>
              <w:t xml:space="preserve">9.2 (2024)</w:t>
            </w:r>
          </w:p>
        </w:tc>
        <w:tc>
          <w:tcPr/>
          <w:p>
            <w:pPr>
              <w:pStyle w:val="Compact"/>
              <w:jc w:val="left"/>
            </w:pPr>
            <w:r>
              <w:t xml:space="preserve">Scopus, WoS</w:t>
            </w:r>
          </w:p>
        </w:tc>
        <w:tc>
          <w:tcPr/>
          <w:p>
            <w:pPr>
              <w:pStyle w:val="Compact"/>
              <w:jc w:val="left"/>
            </w:pPr>
            <w:r>
              <w:t xml:space="preserve">Subscription route free</w:t>
            </w:r>
          </w:p>
        </w:tc>
        <w:tc>
          <w:tcPr/>
          <w:p>
            <w:pPr>
              <w:pStyle w:val="Compact"/>
              <w:jc w:val="left"/>
            </w:pPr>
            <w:r>
              <w:t xml:space="preserve">High IF but expects energy-device relevance demonstrated; the revised manuscript explicitly disclaims device claims. Listed only because the IF is attractive.</w:t>
            </w:r>
          </w:p>
        </w:tc>
        <w:tc>
          <w:tcPr/>
          <w:p>
            <w:pPr>
              <w:pStyle w:val="Compact"/>
              <w:jc w:val="left"/>
            </w:pPr>
            <w:r>
              <w:t xml:space="preserve">resurchify.com/impact/details/21100810501</w:t>
            </w:r>
          </w:p>
        </w:tc>
      </w:tr>
      <w:tr>
        <w:tc>
          <w:tcPr/>
          <w:p>
            <w:pPr>
              <w:pStyle w:val="Compact"/>
              <w:jc w:val="left"/>
            </w:pPr>
            <w:r>
              <w:t xml:space="preserve">6</w:t>
            </w:r>
          </w:p>
        </w:tc>
        <w:tc>
          <w:tcPr/>
          <w:p>
            <w:pPr>
              <w:pStyle w:val="Compact"/>
              <w:jc w:val="left"/>
            </w:pPr>
            <w:r>
              <w:rPr>
                <w:bCs/>
                <w:b/>
              </w:rPr>
              <w:t xml:space="preserve">Physical Review Materials</w:t>
            </w:r>
            <w:r>
              <w:t xml:space="preserve"> </w:t>
            </w:r>
            <w:r>
              <w:t xml:space="preserve">(APS)</w:t>
            </w:r>
          </w:p>
        </w:tc>
        <w:tc>
          <w:tcPr/>
          <w:p>
            <w:pPr>
              <w:pStyle w:val="Compact"/>
              <w:jc w:val="left"/>
            </w:pPr>
            <w:r>
              <w:t xml:space="preserve">Realistic</w:t>
            </w:r>
          </w:p>
        </w:tc>
        <w:tc>
          <w:tcPr/>
          <w:p>
            <w:pPr>
              <w:pStyle w:val="Compact"/>
              <w:jc w:val="left"/>
            </w:pPr>
            <w:r>
              <w:t xml:space="preserve">Q1 in Materials Science (misc.) and Physics &amp; Astronomy (misc.) (Scimago, 2024); JCR Q2 reported; SJR 0.95</w:t>
            </w:r>
          </w:p>
        </w:tc>
        <w:tc>
          <w:tcPr/>
          <w:p>
            <w:pPr>
              <w:pStyle w:val="Compact"/>
              <w:jc w:val="left"/>
            </w:pPr>
            <w:r>
              <w:t xml:space="preserve">3.4 (2024/25)</w:t>
            </w:r>
          </w:p>
        </w:tc>
        <w:tc>
          <w:tcPr/>
          <w:p>
            <w:pPr>
              <w:pStyle w:val="Compact"/>
              <w:jc w:val="left"/>
            </w:pPr>
            <w:r>
              <w:t xml:space="preserve">Scopus, WoS</w:t>
            </w:r>
          </w:p>
        </w:tc>
        <w:tc>
          <w:tcPr/>
          <w:p>
            <w:pPr>
              <w:pStyle w:val="Compact"/>
              <w:jc w:val="left"/>
            </w:pPr>
            <w:r>
              <w:t xml:space="preserve">Subscription route free</w:t>
            </w:r>
          </w:p>
        </w:tc>
        <w:tc>
          <w:tcPr/>
          <w:p>
            <w:pPr>
              <w:pStyle w:val="Compact"/>
              <w:jc w:val="left"/>
            </w:pPr>
            <w:r>
              <w:t xml:space="preserve">Excellent fit for a careful defect-energetics paper with explicit limitations; referees will expect the finite-size and tolerance issues addressed. Lower IF.</w:t>
            </w:r>
          </w:p>
        </w:tc>
        <w:tc>
          <w:tcPr/>
          <w:p>
            <w:pPr>
              <w:pStyle w:val="Compact"/>
              <w:jc w:val="left"/>
            </w:pPr>
            <w:r>
              <w:t xml:space="preserve">resurchify.com/impact/details/21100894055; journalmetrics.org/journal/physical-review-materials</w:t>
            </w:r>
          </w:p>
        </w:tc>
      </w:tr>
      <w:tr>
        <w:tc>
          <w:tcPr/>
          <w:p>
            <w:pPr>
              <w:pStyle w:val="Compact"/>
              <w:jc w:val="left"/>
            </w:pPr>
            <w:r>
              <w:t xml:space="preserve">7</w:t>
            </w:r>
          </w:p>
        </w:tc>
        <w:tc>
          <w:tcPr/>
          <w:p>
            <w:pPr>
              <w:pStyle w:val="Compact"/>
              <w:jc w:val="left"/>
            </w:pPr>
            <w:r>
              <w:rPr>
                <w:bCs/>
                <w:b/>
              </w:rPr>
              <w:t xml:space="preserve">The Journal of Physical Chemistry C</w:t>
            </w:r>
            <w:r>
              <w:t xml:space="preserve"> </w:t>
            </w:r>
            <w:r>
              <w:t xml:space="preserve">(ACS)</w:t>
            </w:r>
          </w:p>
        </w:tc>
        <w:tc>
          <w:tcPr/>
          <w:p>
            <w:pPr>
              <w:pStyle w:val="Compact"/>
              <w:jc w:val="left"/>
            </w:pPr>
            <w:r>
              <w:t xml:space="preserve">Safe (Scimago Q1;</w:t>
            </w:r>
            <w:r>
              <w:t xml:space="preserve"> </w:t>
            </w:r>
            <w:r>
              <w:rPr>
                <w:bCs/>
                <w:b/>
              </w:rPr>
              <w:t xml:space="preserve">JCR Q3</w:t>
            </w:r>
            <w:r>
              <w:t xml:space="preserve">)</w:t>
            </w:r>
          </w:p>
        </w:tc>
        <w:tc>
          <w:tcPr/>
          <w:p>
            <w:pPr>
              <w:pStyle w:val="Compact"/>
              <w:jc w:val="left"/>
            </w:pPr>
            <w:r>
              <w:t xml:space="preserve">Q1 (Scimago, 2023–24); SJR 0.91</w:t>
            </w:r>
          </w:p>
        </w:tc>
        <w:tc>
          <w:tcPr/>
          <w:p>
            <w:pPr>
              <w:pStyle w:val="Compact"/>
              <w:jc w:val="left"/>
            </w:pPr>
            <w:r>
              <w:t xml:space="preserve">3.2 (2024/25); listed JCR Q3</w:t>
            </w:r>
          </w:p>
        </w:tc>
        <w:tc>
          <w:tcPr/>
          <w:p>
            <w:pPr>
              <w:pStyle w:val="Compact"/>
              <w:jc w:val="left"/>
            </w:pPr>
            <w:r>
              <w:t xml:space="preserve">Scopus, WoS</w:t>
            </w:r>
          </w:p>
        </w:tc>
        <w:tc>
          <w:tcPr/>
          <w:p>
            <w:pPr>
              <w:pStyle w:val="Compact"/>
              <w:jc w:val="left"/>
            </w:pPr>
            <w:r>
              <w:t xml:space="preserve">Subscription route free</w:t>
            </w:r>
          </w:p>
        </w:tc>
        <w:tc>
          <w:tcPr/>
          <w:p>
            <w:pPr>
              <w:pStyle w:val="Compact"/>
              <w:jc w:val="left"/>
            </w:pPr>
            <w:r>
              <w:t xml:space="preserve">Natural home for DFT+U doped-TiO</w:t>
            </w:r>
            <w:r>
              <w:rPr>
                <w:vertAlign w:val="subscript"/>
              </w:rPr>
              <w:t xml:space="preserve">2</w:t>
            </w:r>
            <w:r>
              <w:t xml:space="preserve"> </w:t>
            </w:r>
            <w:r>
              <w:t xml:space="preserve">work (the manuscript cites three JPCC papers). Counts as Q1 only on the Scopus/Scimago list.</w:t>
            </w:r>
          </w:p>
        </w:tc>
        <w:tc>
          <w:tcPr/>
          <w:p>
            <w:pPr>
              <w:pStyle w:val="Compact"/>
              <w:jc w:val="left"/>
            </w:pPr>
            <w:r>
              <w:t xml:space="preserve">journalmetrics.org/journal/journal-of-physical-chemistry-c; manusights.com/blog/journal-of-physical-chemistry-c-impact-factor</w:t>
            </w:r>
          </w:p>
        </w:tc>
      </w:tr>
      <w:tr>
        <w:tc>
          <w:tcPr/>
          <w:p>
            <w:pPr>
              <w:pStyle w:val="Compact"/>
              <w:jc w:val="left"/>
            </w:pPr>
            <w:r>
              <w:t xml:space="preserve">8</w:t>
            </w:r>
          </w:p>
        </w:tc>
        <w:tc>
          <w:tcPr/>
          <w:p>
            <w:pPr>
              <w:pStyle w:val="Compact"/>
              <w:jc w:val="left"/>
            </w:pPr>
            <w:r>
              <w:rPr>
                <w:bCs/>
                <w:b/>
              </w:rPr>
              <w:t xml:space="preserve">Physical Chemistry Chemical Physics</w:t>
            </w:r>
            <w:r>
              <w:t xml:space="preserve"> </w:t>
            </w:r>
            <w:r>
              <w:t xml:space="preserve">(RSC)</w:t>
            </w:r>
          </w:p>
        </w:tc>
        <w:tc>
          <w:tcPr/>
          <w:p>
            <w:pPr>
              <w:pStyle w:val="Compact"/>
              <w:jc w:val="left"/>
            </w:pPr>
            <w:r>
              <w:t xml:space="preserve">Safe</w:t>
            </w:r>
          </w:p>
        </w:tc>
        <w:tc>
          <w:tcPr/>
          <w:p>
            <w:pPr>
              <w:pStyle w:val="Compact"/>
              <w:jc w:val="left"/>
            </w:pPr>
            <w:r>
              <w:t xml:space="preserve">Quartile not confirmed in this search; SJR 0.70 (2024)</w:t>
            </w:r>
          </w:p>
        </w:tc>
        <w:tc>
          <w:tcPr/>
          <w:p>
            <w:pPr>
              <w:pStyle w:val="Compact"/>
              <w:jc w:val="left"/>
            </w:pPr>
            <w:r>
              <w:t xml:space="preserve">2.9 (2024); one source 2.84</w:t>
            </w:r>
          </w:p>
        </w:tc>
        <w:tc>
          <w:tcPr/>
          <w:p>
            <w:pPr>
              <w:pStyle w:val="Compact"/>
              <w:jc w:val="left"/>
            </w:pPr>
            <w:r>
              <w:t xml:space="preserve">Scopus, WoS</w:t>
            </w:r>
          </w:p>
        </w:tc>
        <w:tc>
          <w:tcPr/>
          <w:p>
            <w:pPr>
              <w:pStyle w:val="Compact"/>
              <w:jc w:val="left"/>
            </w:pPr>
            <w:r>
              <w:t xml:space="preserve">Subscription route free</w:t>
            </w:r>
          </w:p>
        </w:tc>
        <w:tc>
          <w:tcPr/>
          <w:p>
            <w:pPr>
              <w:pStyle w:val="Compact"/>
              <w:jc w:val="left"/>
            </w:pPr>
            <w:r>
              <w:t xml:space="preserve">Good methodological fit; the Boonchun anatase-defect benchmark the manuscript cites is a PCCP paper. Confirm the Scimago category quartile before relying on</w:t>
            </w:r>
            <w:r>
              <w:t xml:space="preserve"> </w:t>
            </w:r>
            <w:r>
              <w:t xml:space="preserve">“</w:t>
            </w:r>
            <w:r>
              <w:t xml:space="preserve">Q1</w:t>
            </w:r>
            <w:r>
              <w:t xml:space="preserve">”</w:t>
            </w:r>
            <w:r>
              <w:t xml:space="preserve">.</w:t>
            </w:r>
          </w:p>
        </w:tc>
        <w:tc>
          <w:tcPr/>
          <w:p>
            <w:pPr>
              <w:pStyle w:val="Compact"/>
              <w:jc w:val="left"/>
            </w:pPr>
            <w:r>
              <w:t xml:space="preserve">rsc.org/journals-books-databases/about-journals/PCCP; resurchify.com/impact/details/26584</w:t>
            </w:r>
          </w:p>
        </w:tc>
      </w:tr>
      <w:tr>
        <w:tc>
          <w:tcPr/>
          <w:p>
            <w:pPr>
              <w:pStyle w:val="Compact"/>
              <w:jc w:val="left"/>
            </w:pPr>
            <w:r>
              <w:t xml:space="preserve">9</w:t>
            </w:r>
          </w:p>
        </w:tc>
        <w:tc>
          <w:tcPr/>
          <w:p>
            <w:pPr>
              <w:pStyle w:val="Compact"/>
              <w:jc w:val="left"/>
            </w:pPr>
            <w:r>
              <w:rPr>
                <w:bCs/>
                <w:b/>
              </w:rPr>
              <w:t xml:space="preserve">Computational Materials Science</w:t>
            </w:r>
            <w:r>
              <w:t xml:space="preserve"> </w:t>
            </w:r>
            <w:r>
              <w:t xml:space="preserve">(Elsevier)</w:t>
            </w:r>
          </w:p>
        </w:tc>
        <w:tc>
          <w:tcPr/>
          <w:p>
            <w:pPr>
              <w:pStyle w:val="Compact"/>
              <w:jc w:val="left"/>
            </w:pPr>
            <w:r>
              <w:t xml:space="preserve">Safe</w:t>
            </w:r>
          </w:p>
        </w:tc>
        <w:tc>
          <w:tcPr/>
          <w:p>
            <w:pPr>
              <w:pStyle w:val="Compact"/>
              <w:jc w:val="left"/>
            </w:pPr>
            <w:r>
              <w:t xml:space="preserve">Q1 in Computer Science (misc.), Mechanics of Materials, Physics &amp; Astronomy (misc.); Q2 in Chemistry, Materials Science (misc.) (2024); SJR 0.78</w:t>
            </w:r>
          </w:p>
        </w:tc>
        <w:tc>
          <w:tcPr/>
          <w:p>
            <w:pPr>
              <w:pStyle w:val="Compact"/>
              <w:jc w:val="left"/>
            </w:pPr>
            <w:r>
              <w:t xml:space="preserve">3.6 (2024)</w:t>
            </w:r>
          </w:p>
        </w:tc>
        <w:tc>
          <w:tcPr/>
          <w:p>
            <w:pPr>
              <w:pStyle w:val="Compact"/>
              <w:jc w:val="left"/>
            </w:pPr>
            <w:r>
              <w:t xml:space="preserve">Scopus, WoS</w:t>
            </w:r>
          </w:p>
        </w:tc>
        <w:tc>
          <w:tcPr/>
          <w:p>
            <w:pPr>
              <w:pStyle w:val="Compact"/>
              <w:jc w:val="left"/>
            </w:pPr>
            <w:r>
              <w:t xml:space="preserve">Subscription route free</w:t>
            </w:r>
          </w:p>
        </w:tc>
        <w:tc>
          <w:tcPr/>
          <w:p>
            <w:pPr>
              <w:pStyle w:val="Compact"/>
              <w:jc w:val="left"/>
            </w:pPr>
            <w:r>
              <w:t xml:space="preserve">The Raghav et al. anatase-defect benchmark cited in the manuscript appeared here. Lowest risk of scope rejection; Q1 only in some categories.</w:t>
            </w:r>
          </w:p>
        </w:tc>
        <w:tc>
          <w:tcPr/>
          <w:p>
            <w:pPr>
              <w:pStyle w:val="Compact"/>
              <w:jc w:val="left"/>
            </w:pPr>
            <w:r>
              <w:t xml:space="preserve">resurchify.com/impact/details/24364</w:t>
            </w:r>
          </w:p>
        </w:tc>
      </w:tr>
    </w:tbl>
    <w:p>
      <w:pPr>
        <w:pStyle w:val="BodyText"/>
      </w:pPr>
      <w:r>
        <w:t xml:space="preserve">Two further Q1 Elsevier titles were checked and are not recommended:</w:t>
      </w:r>
      <w:r>
        <w:t xml:space="preserve"> </w:t>
      </w:r>
      <w:r>
        <w:rPr>
          <w:iCs/>
          <w:i/>
        </w:rPr>
        <w:t xml:space="preserve">Surfaces and Interfaces</w:t>
      </w:r>
      <w:r>
        <w:t xml:space="preserve"> </w:t>
      </w:r>
      <w:r>
        <w:t xml:space="preserve">(IF ≈ 6.3–6.5, 2024/25) has the same surface-scope strain as #1 with less tradition of bulk DFT work;</w:t>
      </w:r>
      <w:r>
        <w:t xml:space="preserve"> </w:t>
      </w:r>
      <w:r>
        <w:rPr>
          <w:iCs/>
          <w:i/>
        </w:rPr>
        <w:t xml:space="preserve">Materials Science in Semiconductor Processing</w:t>
      </w:r>
      <w:r>
        <w:t xml:space="preserve"> </w:t>
      </w:r>
      <w:r>
        <w:t xml:space="preserve">(IF 4.6, 2024) is Q1 mainly in engineering categories and is processing-oriented.</w:t>
      </w:r>
    </w:p>
    <w:p>
      <w:pPr>
        <w:pStyle w:val="BodyText"/>
      </w:pPr>
      <w:r>
        <w:t xml:space="preserve">Predatory-venue screen: all nine candidates are long-established society or major-publisher titles with verifiable editorial boards and Scopus/WoS indexing; none shows the warning signs (solicitation, promised review in days, look-alike titles).</w:t>
      </w:r>
      <w:r>
        <w:t xml:space="preserve"> </w:t>
      </w:r>
      <w:r>
        <w:rPr>
          <w:iCs/>
          <w:i/>
        </w:rPr>
        <w:t xml:space="preserve">Journal of Physics: Condensed Matter</w:t>
      </w:r>
      <w:r>
        <w:t xml:space="preserve"> </w:t>
      </w:r>
      <w:r>
        <w:t xml:space="preserve">(IOP; IF 2.6–2.9; JCR Q3) was considered and dropped on quartile grounds only.</w:t>
      </w:r>
    </w:p>
    <w:bookmarkEnd w:id="21"/>
    <w:bookmarkStart w:id="22" w:name="recommendation"/>
    <w:p>
      <w:pPr>
        <w:pStyle w:val="Heading2"/>
      </w:pPr>
      <w:r>
        <w:t xml:space="preserve">Recommendation</w:t>
      </w:r>
    </w:p>
    <w:p>
      <w:pPr>
        <w:numPr>
          <w:ilvl w:val="0"/>
          <w:numId w:val="1001"/>
        </w:numPr>
        <w:pStyle w:val="Compact"/>
      </w:pPr>
      <w:r>
        <w:rPr>
          <w:bCs/>
          <w:b/>
        </w:rPr>
        <w:t xml:space="preserve">Submit to Applied Surface Science</w:t>
      </w:r>
      <w:r>
        <w:t xml:space="preserve"> </w:t>
      </w:r>
      <w:r>
        <w:t xml:space="preserve">once the Part E items 1–4 of the response document are closed (dual-U cycles, D3 parents, k-mesh table, spin density). These take roughly one week of compute on the stated hardware and remove the audit’s two remaining</w:t>
      </w:r>
      <w:r>
        <w:t xml:space="preserve"> </w:t>
      </w:r>
      <w:r>
        <w:t xml:space="preserve">“</w:t>
      </w:r>
      <w:r>
        <w:t xml:space="preserve">critical</w:t>
      </w:r>
      <w:r>
        <w:t xml:space="preserve">”</w:t>
      </w:r>
      <w:r>
        <w:t xml:space="preserve"> </w:t>
      </w:r>
      <w:r>
        <w:t xml:space="preserve">scientific gaps (R06, R13).</w:t>
      </w:r>
    </w:p>
    <w:p>
      <w:pPr>
        <w:numPr>
          <w:ilvl w:val="0"/>
          <w:numId w:val="1001"/>
        </w:numPr>
        <w:pStyle w:val="Compact"/>
      </w:pPr>
      <w:r>
        <w:t xml:space="preserve">If Applied Surface Science returns the manuscript on scope, transfer to</w:t>
      </w:r>
      <w:r>
        <w:t xml:space="preserve"> </w:t>
      </w:r>
      <w:r>
        <w:rPr>
          <w:bCs/>
          <w:b/>
        </w:rPr>
        <w:t xml:space="preserve">Journal of Alloys and Compounds</w:t>
      </w:r>
      <w:r>
        <w:t xml:space="preserve"> </w:t>
      </w:r>
      <w:r>
        <w:t xml:space="preserve">(same Elsevier submission system; the cover letter needs only the fit paragraph changed).</w:t>
      </w:r>
    </w:p>
    <w:p>
      <w:pPr>
        <w:numPr>
          <w:ilvl w:val="0"/>
          <w:numId w:val="1001"/>
        </w:numPr>
        <w:pStyle w:val="Compact"/>
      </w:pPr>
      <w:r>
        <w:t xml:space="preserve">Hold</w:t>
      </w:r>
      <w:r>
        <w:t xml:space="preserve"> </w:t>
      </w:r>
      <w:r>
        <w:rPr>
          <w:bCs/>
          <w:b/>
        </w:rPr>
        <w:t xml:space="preserve">Journal of Materials Chemistry A</w:t>
      </w:r>
      <w:r>
        <w:t xml:space="preserve"> </w:t>
      </w:r>
      <w:r>
        <w:t xml:space="preserve">for a second paper that adds a matched-valence dopant series (La/Y/Sc, K/Na) and corrected charge-transition levels; the present evidence base does not support a JMCA-level claim.</w:t>
      </w:r>
    </w:p>
    <w:p>
      <w:pPr>
        <w:numPr>
          <w:ilvl w:val="0"/>
          <w:numId w:val="1001"/>
        </w:numPr>
        <w:pStyle w:val="Compact"/>
      </w:pPr>
      <w:r>
        <w:rPr>
          <w:bCs/>
          <w:b/>
        </w:rPr>
        <w:t xml:space="preserve">Physical Review Materials</w:t>
      </w:r>
      <w:r>
        <w:t xml:space="preserve"> </w:t>
      </w:r>
      <w:r>
        <w:t xml:space="preserve">or</w:t>
      </w:r>
      <w:r>
        <w:t xml:space="preserve"> </w:t>
      </w:r>
      <w:r>
        <w:rPr>
          <w:bCs/>
          <w:b/>
        </w:rPr>
        <w:t xml:space="preserve">J. Phys. Chem. C</w:t>
      </w:r>
      <w:r>
        <w:t xml:space="preserve"> </w:t>
      </w:r>
      <w:r>
        <w:t xml:space="preserve">are appropriate if the authors prefer a physics/physical-chemistry readership over impact factor, or if UM accepts Scopus-list Q1.</w:t>
      </w:r>
    </w:p>
    <w:bookmarkEnd w:id="22"/>
    <w:bookmarkStart w:id="23" w:name="X1fab233e824c07e93ac8f07b5e3a887dcb3472f"/>
    <w:p>
      <w:pPr>
        <w:pStyle w:val="Heading2"/>
      </w:pPr>
      <w:r>
        <w:t xml:space="preserve">Pre-submission checklist (Elsevier generic; confirm against the journal’s current Guide for Authors, which could not be opened from this environment)</w:t>
      </w:r>
    </w:p>
    <w:p>
      <w:pPr>
        <w:numPr>
          <w:ilvl w:val="0"/>
          <w:numId w:val="1002"/>
        </w:numPr>
        <w:pStyle w:val="Compact"/>
      </w:pPr>
      <w:r>
        <w:t xml:space="preserve">☐ Title, abstract (≤ 250 words is typical; v4 abstract is ≈ 310 words and should be trimmed to the journal cap) and 3–5 highlights (≤ 85 characters each, including spaces)</w:t>
      </w:r>
    </w:p>
    <w:p>
      <w:pPr>
        <w:numPr>
          <w:ilvl w:val="0"/>
          <w:numId w:val="1002"/>
        </w:numPr>
        <w:pStyle w:val="Compact"/>
      </w:pPr>
      <w:r>
        <w:t xml:space="preserve">☐ Graphical abstract (rebuilt Figure 2 is suitable after adding a one-line title)</w:t>
      </w:r>
    </w:p>
    <w:p>
      <w:pPr>
        <w:numPr>
          <w:ilvl w:val="0"/>
          <w:numId w:val="1002"/>
        </w:numPr>
        <w:pStyle w:val="Compact"/>
      </w:pPr>
      <w:r>
        <w:t xml:space="preserve">☐ All [AUTHOR ACTION] markers resolved and the revision-note paragraph deleted</w:t>
      </w:r>
    </w:p>
    <w:p>
      <w:pPr>
        <w:numPr>
          <w:ilvl w:val="0"/>
          <w:numId w:val="1002"/>
        </w:numPr>
        <w:pStyle w:val="Compact"/>
      </w:pPr>
      <w:r>
        <w:t xml:space="preserve">☐ Figures 1, 4, S1 and S3 regenerated with the corrected labels; stale Figures 3/4 of the FINAL draft not used anywhere</w:t>
      </w:r>
    </w:p>
    <w:p>
      <w:pPr>
        <w:numPr>
          <w:ilvl w:val="0"/>
          <w:numId w:val="1002"/>
        </w:numPr>
        <w:pStyle w:val="Compact"/>
      </w:pPr>
      <w:r>
        <w:t xml:space="preserve">☐ Reference list in the journal’s style (currently ACS-like); DOIs present for all 49 entries; the four unverified entries checked against the publisher record</w:t>
      </w:r>
    </w:p>
    <w:p>
      <w:pPr>
        <w:numPr>
          <w:ilvl w:val="0"/>
          <w:numId w:val="1002"/>
        </w:numPr>
        <w:pStyle w:val="Compact"/>
      </w:pPr>
      <w:r>
        <w:t xml:space="preserve">☐ Declarations present: CRediT, competing interests, data availability, funding, generative-AI use (all drafted in v4)</w:t>
      </w:r>
    </w:p>
    <w:p>
      <w:pPr>
        <w:numPr>
          <w:ilvl w:val="0"/>
          <w:numId w:val="1002"/>
        </w:numPr>
        <w:pStyle w:val="Compact"/>
      </w:pPr>
      <w:r>
        <w:t xml:space="preserve">☐ Data package deposited (Zenodo) with DOI inserted; include UPF files, inputs, outputs, ACF.dat, PDOS data, scripts, Table S10</w:t>
      </w:r>
    </w:p>
    <w:p>
      <w:pPr>
        <w:numPr>
          <w:ilvl w:val="0"/>
          <w:numId w:val="1002"/>
        </w:numPr>
        <w:pStyle w:val="Compact"/>
      </w:pPr>
      <w:r>
        <w:t xml:space="preserve">☐ Cover letter with suggested reviewers (3–5, no co-authors or UM affiliations in the last 3 years) — names to be supplied by the authors</w:t>
      </w:r>
    </w:p>
    <w:p>
      <w:pPr>
        <w:numPr>
          <w:ilvl w:val="0"/>
          <w:numId w:val="1002"/>
        </w:numPr>
        <w:pStyle w:val="Compact"/>
      </w:pPr>
      <w:r>
        <w:t xml:space="preserve">☐ Line numbers and page numbers on the manuscript PDF; figures and tables cited in order (v4: Tables 1–4, Figures 1–4 in order)</w:t>
      </w:r>
    </w:p>
    <w:p>
      <w:pPr>
        <w:numPr>
          <w:ilvl w:val="0"/>
          <w:numId w:val="1002"/>
        </w:numPr>
        <w:pStyle w:val="Compact"/>
      </w:pPr>
      <w:r>
        <w:t xml:space="preserve">☐ Submitting author is the corresponding author (A. B. Omar) or has her written approval; all co-authors have approved the final text</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2026-10-02T08:24:21Z</dcterms:created>
  <dcterms:modified xsi:type="dcterms:W3CDTF">2026-10-02T08:24:21Z</dcterms:modified>
</cp:coreProperties>
</file>

<file path=docProps/custom.xml><?xml version="1.0" encoding="utf-8"?>
<Properties xmlns="http://schemas.openxmlformats.org/officeDocument/2006/custom-properties" xmlns:vt="http://schemas.openxmlformats.org/officeDocument/2006/docPropsVTypes"/>
</file>