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upporting-information"/>
    <w:p>
      <w:pPr>
        <w:pStyle w:val="Heading1"/>
      </w:pPr>
      <w:r>
        <w:t xml:space="preserve">Supporting Information</w:t>
      </w:r>
    </w:p>
    <w:bookmarkStart w:id="40" w:name="X719daeccec14eb1c959fe53294ad11eb49a393f"/>
    <w:p>
      <w:pPr>
        <w:pStyle w:val="Heading2"/>
      </w:pPr>
      <w:r>
        <w:t xml:space="preserve">Oxygen-Vacancy Energetics and Hole Localization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 S3 Hubbard-U sweep · S4 k-mesh verification · S5 Bader analysis · S6 Alternative V</w:t>
      </w:r>
      <w:r>
        <w:rPr>
          <w:vertAlign w:val="subscript"/>
        </w:rPr>
        <w:t xml:space="preserve">O</w:t>
      </w:r>
      <w:r>
        <w:t xml:space="preserve"> </w:t>
      </w:r>
      <w:r>
        <w:t xml:space="preserve">sites · S7 Hybrid, dual-U and dispersion single points · S8 Methods details and file inventory · S9 Full-precision energy ledger · S10 Run manifest · S11 Force-convergence trajectories</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the production protocol with the default mixing (mixing_mode = local-TF, mixing_beta = 0.3) and oscillated, with the SCF accuracy estimate moving between 0.05 and 0.14 Ry over iterations 14–17, a known instability of the half-filled two-electron conduction-band manifold of the neutral vacancy in anatase. The second attempt (run Pristine_VO_v3) changed seven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w:t>
      </w:r>
      <w:r>
        <w:t xml:space="preserve"> </w:t>
      </w:r>
      <w:r>
        <w:rPr>
          <w:bCs/>
          <w:b/>
        </w:rPr>
        <w:t xml:space="preserve">[AUTHOR ACTION: state whether the production doped-cell relaxations used degauss = 0.005 or 0.01 Ry; if the pristine V</w:t>
      </w:r>
      <w:r>
        <w:rPr>
          <w:vertAlign w:val="subscript"/>
          <w:bCs/>
          <w:b/>
        </w:rPr>
        <w:t xml:space="preserve">O</w:t>
      </w:r>
      <w:r>
        <w:rPr>
          <w:bCs/>
          <w:b/>
        </w:rPr>
        <w:t xml:space="preserve"> </w:t>
      </w:r>
      <w:r>
        <w:rPr>
          <w:bCs/>
          <w:b/>
        </w:rPr>
        <w:t xml:space="preserve">cell used a different smearing from the doped cells, say so in Section 2.4 of the main text.]</w:t>
      </w:r>
    </w:p>
    <w:bookmarkEnd w:id="20"/>
    <w:bookmarkStart w:id="27" w:name="Xf7c833b920909eccf44fd26ff5bd6363caad309"/>
    <w:p>
      <w:pPr>
        <w:pStyle w:val="Heading3"/>
      </w:pPr>
      <w:r>
        <w:t xml:space="preserve">S2. Additional projected densities of states</w:t>
      </w:r>
    </w:p>
    <w:p>
      <w:pPr>
        <w:pStyle w:val="FirstParagraph"/>
      </w:pPr>
      <w:r>
        <w:rPr>
          <w:bCs/>
          <w:b/>
        </w:rPr>
        <w:t xml:space="preserve">S2.1 Pr_VO with dopant channels.</w:t>
      </w:r>
      <w:r>
        <w:t xml:space="preserve"> </w:t>
      </w:r>
      <w:r>
        <w:t xml:space="preserve">Figure S1 shows the PDOS of the Pr_VO cell with the Pr-5d and Pr-5p channels plotted separately from Ti-3d and O-2p. The conduction band is dominated by Ti-3d; the Fermi level lies inside the conduction band because the cell carries one net excess electron (Table 1 of the main text). The Pr.pbe-spdn-kjpaw_psl.1.0.0 dataset has Z</w:t>
      </w:r>
      <w:r>
        <w:rPr>
          <w:vertAlign w:val="subscript"/>
        </w:rPr>
        <w:t xml:space="preserve">val</w:t>
      </w:r>
      <w:r>
        <w:t xml:space="preserve"> </w:t>
      </w:r>
      <w:r>
        <w:t xml:space="preserve">= 11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with the 4f electrons frozen in the core, so no 4f projection exists; the</w:t>
      </w:r>
      <w:r>
        <w:t xml:space="preserve"> </w:t>
      </w:r>
      <w:r>
        <w:t xml:space="preserve">“</w:t>
      </w:r>
      <w:r>
        <w:t xml:space="preserve">Pr 4f</w:t>
      </w:r>
      <w:r>
        <w:t xml:space="preserve">”</w:t>
      </w:r>
      <w:r>
        <w:t xml:space="preserve"> </w:t>
      </w:r>
      <w:r>
        <w:t xml:space="preserve">curve present in the earlier version of this figure was an empty channel and must be removed.</w:t>
      </w:r>
      <w:r>
        <w:t xml:space="preserve"> </w:t>
      </w:r>
      <w:r>
        <w:rPr>
          <w:bCs/>
          <w:b/>
        </w:rPr>
        <w:t xml:space="preserve">[AUTHOR ACTION: regenerate Figure S1 from projwfc.x output with channels Ti-3d, O-2p, Pr-5d, Pr-5p and total only; state the Gaussian broadening; remove the green text box.]</w:t>
      </w:r>
      <w:r>
        <w:t xml:space="preserve"> </w:t>
      </w:r>
      <w:r>
        <w:t xml:space="preserve">The small residual between the total DOS and the sum of the projected channels arises from the incompleteness of the atomic projectors, not from a missing 4f channel.</w:t>
      </w:r>
    </w:p>
    <w:p>
      <w:pPr>
        <w:pStyle w:val="BodyText"/>
      </w:pPr>
      <w:r>
        <w:drawing>
          <wp:inline>
            <wp:extent cx="5334000" cy="3256168"/>
            <wp:effectExtent b="0" l="0" r="0" t="0"/>
            <wp:docPr descr="" title="" id="22" name="Picture"/>
            <a:graphic>
              <a:graphicData uri="http://schemas.openxmlformats.org/drawingml/2006/picture">
                <pic:pic>
                  <pic:nvPicPr>
                    <pic:cNvPr descr="../figures/FigS1_PrVO_PDOS_relabel_required.png" id="23" name="Picture"/>
                    <pic:cNvPicPr>
                      <a:picLocks noChangeArrowheads="1" noChangeAspect="1"/>
                    </pic:cNvPicPr>
                  </pic:nvPicPr>
                  <pic:blipFill>
                    <a:blip r:embed="rId21"/>
                    <a:stretch>
                      <a:fillRect/>
                    </a:stretch>
                  </pic:blipFill>
                  <pic:spPr bwMode="auto">
                    <a:xfrm>
                      <a:off x="0" y="0"/>
                      <a:ext cx="5334000" cy="3256168"/>
                    </a:xfrm>
                    <a:prstGeom prst="rect">
                      <a:avLst/>
                    </a:prstGeom>
                    <a:noFill/>
                    <a:ln w="9525">
                      <a:noFill/>
                      <a:headEnd/>
                      <a:tailEnd/>
                    </a:ln>
                  </pic:spPr>
                </pic:pic>
              </a:graphicData>
            </a:graphic>
          </wp:inline>
        </w:drawing>
      </w:r>
    </w:p>
    <w:p>
      <w:pPr>
        <w:pStyle w:val="BodyText"/>
      </w:pPr>
      <w:r>
        <w:rPr>
          <w:iCs/>
          <w:i/>
        </w:rPr>
        <w:t xml:space="preserve">Figure S1. Projected density of states of the Pr_VO cell (PBE+U, U(Ti-3d) = 3.5 eV, 2×2×2 non-self-consistent, E</w:t>
      </w:r>
      <w:r>
        <w:rPr>
          <w:vertAlign w:val="subscript"/>
          <w:iCs/>
          <w:i/>
        </w:rPr>
        <w:t xml:space="preserve">F</w:t>
      </w:r>
      <w:r>
        <w:rPr>
          <w:iCs/>
          <w:i/>
        </w:rPr>
        <w:t xml:space="preserve"> </w:t>
      </w:r>
      <w:r>
        <w:rPr>
          <w:iCs/>
          <w:i/>
        </w:rPr>
        <w:t xml:space="preserve">= 10.306 eV). Channels: Ti-3d summed over 15 Ti; O-2p summed over 31 O; Pr-5d; Pr-5p; total. (Artwork to be regenerated as noted above.)</w:t>
      </w:r>
    </w:p>
    <w:p>
      <w:pPr>
        <w:pStyle w:val="BodyText"/>
      </w:pPr>
      <w:r>
        <w:rPr>
          <w:bCs/>
          <w:b/>
        </w:rPr>
        <w:t xml:space="preserve">S2.2 Total DOS, Pr_VO versus Rb_VO.</w:t>
      </w:r>
      <w:r>
        <w:t xml:space="preserve"> </w:t>
      </w:r>
      <w:r>
        <w:t xml:space="preserve">Figure S2 shows the non-spin-resolved companion of Figure 4 of the main text. Pr_VO: E</w:t>
      </w:r>
      <w:r>
        <w:rPr>
          <w:vertAlign w:val="subscript"/>
        </w:rPr>
        <w:t xml:space="preserve">F</w:t>
      </w:r>
      <w:r>
        <w:t xml:space="preserve"> </w:t>
      </w:r>
      <w:r>
        <w:t xml:space="preserve">= 10.31 eV inside the Ti-3d conduction band. Rb_VO: E</w:t>
      </w:r>
      <w:r>
        <w:rPr>
          <w:vertAlign w:val="subscript"/>
        </w:rPr>
        <w:t xml:space="preserve">F</w:t>
      </w:r>
      <w:r>
        <w:t xml:space="preserve"> </w:t>
      </w:r>
      <w:r>
        <w:t xml:space="preserve">= 7.14 eV at the top of the O-2p valence band, with a small occupied feature at E</w:t>
      </w:r>
      <w:r>
        <w:rPr>
          <w:vertAlign w:val="subscript"/>
        </w:rPr>
        <w:t xml:space="preserve">F</w:t>
      </w:r>
      <w:r>
        <w:t xml:space="preserve">.</w:t>
      </w:r>
    </w:p>
    <w:p>
      <w:pPr>
        <w:pStyle w:val="BodyText"/>
      </w:pPr>
      <w:r>
        <w:drawing>
          <wp:inline>
            <wp:extent cx="5334000" cy="5191158"/>
            <wp:effectExtent b="0" l="0" r="0" t="0"/>
            <wp:docPr descr="" title="" id="25" name="Picture"/>
            <a:graphic>
              <a:graphicData uri="http://schemas.openxmlformats.org/drawingml/2006/picture">
                <pic:pic>
                  <pic:nvPicPr>
                    <pic:cNvPr descr="../figures/FigS2_total_PDOS.png" id="26" name="Picture"/>
                    <pic:cNvPicPr>
                      <a:picLocks noChangeArrowheads="1" noChangeAspect="1"/>
                    </pic:cNvPicPr>
                  </pic:nvPicPr>
                  <pic:blipFill>
                    <a:blip r:embed="rId24"/>
                    <a:stretch>
                      <a:fillRect/>
                    </a:stretch>
                  </pic:blipFill>
                  <pic:spPr bwMode="auto">
                    <a:xfrm>
                      <a:off x="0" y="0"/>
                      <a:ext cx="5334000" cy="5191158"/>
                    </a:xfrm>
                    <a:prstGeom prst="rect">
                      <a:avLst/>
                    </a:prstGeom>
                    <a:noFill/>
                    <a:ln w="9525">
                      <a:noFill/>
                      <a:headEnd/>
                      <a:tailEnd/>
                    </a:ln>
                  </pic:spPr>
                </pic:pic>
              </a:graphicData>
            </a:graphic>
          </wp:inline>
        </w:drawing>
      </w:r>
    </w:p>
    <w:p>
      <w:pPr>
        <w:pStyle w:val="BodyText"/>
      </w:pPr>
      <w:r>
        <w:rPr>
          <w:iCs/>
          <w:i/>
        </w:rPr>
        <w:t xml:space="preserve">Figure S2. Projected density of states of Pr_VO (top) and Rb_VO (bottom) without spin decomposition. Filled: Ti-3d; red: O-2p; purple: dopant d;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The maximum variation of the printed Fermi energy across the sweep is 0.26 eV.</w:t>
      </w:r>
    </w:p>
    <w:p>
      <w:pPr>
        <w:pStyle w:val="BodyText"/>
      </w:pPr>
      <w:r>
        <w:rPr>
          <w:iCs/>
          <w:i/>
          <w:bCs/>
          <w:b/>
        </w:rPr>
        <w:t xml:space="preserve">Table S1. Absolute magnetisation m</w:t>
      </w:r>
      <w:r>
        <w:rPr>
          <w:vertAlign w:val="subscript"/>
          <w:iCs/>
          <w:i/>
          <w:bCs/>
          <w:b/>
        </w:rPr>
        <w:t xml:space="preserve">abs</w:t>
      </w:r>
      <w:r>
        <w:rPr>
          <w:iCs/>
          <w:i/>
          <w:bCs/>
          <w:b/>
        </w:rPr>
        <w:t xml:space="preserve"> </w:t>
      </w:r>
      <w:r>
        <w:rPr>
          <w:iCs/>
          <w:i/>
          <w:bCs/>
          <w:b/>
        </w:rPr>
        <w:t xml:space="preserve">(μ</w:t>
      </w:r>
      <w:r>
        <w:rPr>
          <w:vertAlign w:val="subscript"/>
          <w:iCs/>
          <w:i/>
          <w:bCs/>
          <w:b/>
        </w:rPr>
        <w:t xml:space="preserve">B</w:t>
      </w:r>
      <w:r>
        <w:rPr>
          <w:iCs/>
          <w:i/>
          <w:bCs/>
          <w:b/>
        </w:rPr>
        <w:t xml:space="preserve">) across the U(Ti-3d) sweep.</w:t>
      </w:r>
      <w:r>
        <w:t xml:space="preserve"> </w:t>
      </w:r>
      <w:r>
        <w:rPr>
          <w:iCs/>
          <w:i/>
        </w:rPr>
        <w:t xml:space="preserve">The production (3.5 eV) column is from the relaxed calculation; the others are single points on the same geometry.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Pr_VO</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Rb_VO</w:t>
            </w:r>
          </w:p>
        </w:tc>
        <w:tc>
          <w:tcPr/>
          <w:p>
            <w:pPr>
              <w:pStyle w:val="Compact"/>
              <w:jc w:val="left"/>
            </w:pPr>
            <w:r>
              <w:t xml:space="preserve">1.00</w:t>
            </w:r>
          </w:p>
        </w:tc>
        <w:tc>
          <w:tcPr/>
          <w:p>
            <w:pPr>
              <w:pStyle w:val="Compact"/>
              <w:jc w:val="left"/>
            </w:pPr>
            <w:r>
              <w:t xml:space="preserve">1.21</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[AUTHOR ACTION: add the total energies and Fermi energies of the nine single points as additional columns, with run identifiers.]</w:t>
      </w:r>
    </w:p>
    <w:bookmarkEnd w:id="28"/>
    <w:bookmarkStart w:id="29" w:name="s4.-k-mesh-verification"/>
    <w:p>
      <w:pPr>
        <w:pStyle w:val="Heading3"/>
      </w:pPr>
      <w:r>
        <w:t xml:space="preserve">S4. k-mesh verification</w:t>
      </w:r>
    </w:p>
    <w:p>
      <w:pPr>
        <w:pStyle w:val="FirstParagraph"/>
      </w:pPr>
      <w:r>
        <w:t xml:space="preserve">Single-point SCF energies on the Γ-relaxed geometries at a 2×2×2 Monkhorst–Pack mesh (40 Ry, U(Ti-3d) = 3.5 eV).</w:t>
      </w:r>
    </w:p>
    <w:p>
      <w:pPr>
        <w:pStyle w:val="BodyText"/>
      </w:pPr>
      <w:r>
        <w:rPr>
          <w:iCs/>
          <w:i/>
          <w:bCs/>
          <w:b/>
        </w:rPr>
        <w:t xml:space="preserve">Table S2. Total energies at Γ-only and 2×2×2 (Ry) and the resulting formation energies (eV).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main text (Section 3.7) also quotes energies for Pristine_perfect, Pr_VO and Rb_VO at 2×2×1 and 3×3×2 meshes (Γ − 3×3×2 = 1.05, 1.08, 1.16 eV; 2×2×1 − 3×3×2 = 1.15, 1.05, 0.42 meV/atom).</w:t>
      </w:r>
      <w:r>
        <w:t xml:space="preserve"> </w:t>
      </w:r>
      <w:r>
        <w:rPr>
          <w:bCs/>
          <w:b/>
        </w:rPr>
        <w:t xml:space="preserve">[AUTHOR ACTION: add those energies to this table with run identifiers, and either add the pristine 2×2×2 single points or state that they were not computed. Table S6 lists</w:t>
      </w:r>
      <w:r>
        <w:rPr>
          <w:bCs/>
          <w:b/>
        </w:rPr>
        <w:t xml:space="preserve"> </w:t>
      </w:r>
      <w:r>
        <w:rPr>
          <w:bCs/>
          <w:b/>
        </w:rPr>
        <w:t xml:space="preserve">“</w:t>
      </w:r>
      <w:r>
        <w:rPr>
          <w:bCs/>
          <w:b/>
        </w:rPr>
        <w:t xml:space="preserve">Pr_perfect, Rb_perfect, Pr_VO OK</w:t>
      </w:r>
      <w:r>
        <w:rPr>
          <w:bCs/>
          <w:b/>
        </w:rPr>
        <w:t xml:space="preserve">”</w:t>
      </w:r>
      <w:r>
        <w:rPr>
          <w:bCs/>
          <w:b/>
        </w:rPr>
        <w:t xml:space="preserve"> </w:t>
      </w:r>
      <w:r>
        <w:rPr>
          <w:bCs/>
          <w:b/>
        </w:rPr>
        <w:t xml:space="preserve">for this stage but the Rb_VO value above is also reported; reconcile.]</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w:t>
      </w:r>
      <w:r>
        <w:t xml:space="preserve"> </w:t>
      </w:r>
      <w:r>
        <w:rPr>
          <w:bCs/>
          <w:b/>
        </w:rPr>
        <w:t xml:space="preserve">[AUTHOR ACTION: state the FFT grid dimensions and whether the all-electron PAW density was reconstructed; if not, say that the comparison uses the smooth valence density.]</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population (Bader charge)</w:t>
            </w:r>
          </w:p>
        </w:tc>
        <w:tc>
          <w:tcPr/>
          <w:p>
            <w:pPr>
              <w:pStyle w:val="Compact"/>
              <w:jc w:val="left"/>
            </w:pPr>
            <w:r>
              <w:t xml:space="preserve">Pr: +2.14 e</w:t>
            </w:r>
          </w:p>
        </w:tc>
        <w:tc>
          <w:tcPr/>
          <w:p>
            <w:pPr>
              <w:pStyle w:val="Compact"/>
              <w:jc w:val="left"/>
            </w:pPr>
            <w:r>
              <w:t xml:space="preserve">Rb: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(2nd shell of Rb)</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 The full ACF.dat tables (47 rows each) are in the data deposit.</w:t>
      </w:r>
      <w:r>
        <w:t xml:space="preserve"> </w:t>
      </w:r>
      <w:r>
        <w:rPr>
          <w:bCs/>
          <w:b/>
        </w:rPr>
        <w:t xml:space="preserve">[AUTHOR ACTION: add the spin-density isosurface of Rb_VO as Figure S4.]</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single-U Ti-3d, Γ-only, 40 Ry).</w:t>
      </w:r>
      <w:r>
        <w:t xml:space="preserve"> </w:t>
      </w:r>
      <w:r>
        <w:rPr>
          <w:iCs/>
          <w:i/>
        </w:rPr>
        <w:t xml:space="preserve">Sites O1 and O17 are symmetry-equivalent; their agreement to 0.1 meV is an internal consistency check.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Site (index in production input)</w:t>
            </w:r>
          </w:p>
        </w:tc>
        <w:tc>
          <w:tcPr/>
          <w:p>
            <w:pPr>
              <w:pStyle w:val="Compact"/>
              <w:jc w:val="left"/>
            </w:pPr>
            <w:r>
              <w:t xml:space="preserve">Pr–O distance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(nearest O to Pr)</w:t>
            </w:r>
          </w:p>
        </w:tc>
        <w:tc>
          <w:tcPr/>
          <w:p>
            <w:pPr>
              <w:pStyle w:val="Compact"/>
              <w:jc w:val="left"/>
            </w:pPr>
            <w:r>
              <w:t xml:space="preserve">≈ 2.17 (1st shell)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O1 (2nd shell)</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O7 (distant)</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O17 (2nd shell, equivalent to O1)</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bCs/>
          <w:b/>
        </w:rPr>
        <w:t xml:space="preserve">[AUTHOR ACTION: add the Cartesian coordinates of the four removed oxygen atoms and the minimum-image Pr–V</w:t>
      </w:r>
      <w:r>
        <w:rPr>
          <w:vertAlign w:val="subscript"/>
          <w:bCs/>
          <w:b/>
        </w:rPr>
        <w:t xml:space="preserve">O</w:t>
      </w:r>
      <w:r>
        <w:rPr>
          <w:bCs/>
          <w:b/>
        </w:rPr>
        <w:t xml:space="preserve"> </w:t>
      </w:r>
      <w:r>
        <w:rPr>
          <w:bCs/>
          <w:b/>
        </w:rPr>
        <w:t xml:space="preserve">distances; state the index of the production vacancy.]</w:t>
      </w:r>
    </w:p>
    <w:bookmarkEnd w:id="31"/>
    <w:bookmarkStart w:id="32" w:name="X0f24f44228b895db7229d4622c4b04a1d0890c4"/>
    <w:p>
      <w:pPr>
        <w:pStyle w:val="Heading3"/>
      </w:pPr>
      <w:r>
        <w:t xml:space="preserve">S7. Hybrid-functional, dual-Hubbard and dispersion single points</w:t>
      </w:r>
    </w:p>
    <w:p>
      <w:pPr>
        <w:pStyle w:val="FirstParagraph"/>
      </w:pPr>
      <w:r>
        <w:rPr>
          <w:iCs/>
          <w:i/>
          <w:bCs/>
          <w:b/>
        </w:rPr>
        <w:t xml:space="preserve">Table S5. Results of the additional calculations (Sections 3.4, 3.6 and 3.7 of the main text).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w:t>
            </w:r>
            <w:r>
              <w:rPr>
                <w:vertAlign w:val="subscript"/>
              </w:rPr>
              <w:t xml:space="preserve">abs</w:t>
            </w:r>
            <w:r>
              <w:t xml:space="preserve"> </w:t>
            </w:r>
            <w:r>
              <w:t xml:space="preserve">= 0</w:t>
            </w:r>
          </w:p>
        </w:tc>
      </w:tr>
      <w:tr>
        <w:tc>
          <w:tcPr/>
          <w:p>
            <w:pPr>
              <w:pStyle w:val="Compact"/>
              <w:jc w:val="left"/>
            </w:pPr>
            <w:r>
              <w:t xml:space="preserve">Dual-U relaxation (U</w:t>
            </w:r>
            <w:r>
              <w:rPr>
                <w:vertAlign w:val="subscript"/>
              </w:rPr>
              <w:t xml:space="preserve">Ti</w:t>
            </w:r>
            <w:r>
              <w:t xml:space="preserve"> </w:t>
            </w:r>
            <w:r>
              <w:t xml:space="preserve">= 3.5, U</w:t>
            </w:r>
            <w:r>
              <w:rPr>
                <w:vertAlign w:val="subscript"/>
              </w:rPr>
              <w:t xml:space="preserve">O</w:t>
            </w:r>
            <w:r>
              <w:t xml:space="preserve"> </w:t>
            </w:r>
            <w:r>
              <w:t xml:space="preserve">= 5.5 eV)</w:t>
            </w:r>
          </w:p>
        </w:tc>
        <w:tc>
          <w:tcPr/>
          <w:p>
            <w:pPr>
              <w:pStyle w:val="Compact"/>
              <w:jc w:val="left"/>
            </w:pPr>
            <w:r>
              <w:t xml:space="preserve">Pr_perfect</w:t>
            </w:r>
          </w:p>
        </w:tc>
        <w:tc>
          <w:tcPr/>
          <w:p>
            <w:pPr>
              <w:pStyle w:val="Compact"/>
              <w:jc w:val="left"/>
            </w:pPr>
            <w:r>
              <w:t xml:space="preserve">−4571.33095</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r>
              <w:t xml:space="preserve">; E</w:t>
            </w:r>
            <w:r>
              <w:rPr>
                <w:vertAlign w:val="subscript"/>
              </w:rPr>
              <w:t xml:space="preserve">F</w:t>
            </w:r>
            <w:r>
              <w:t xml:space="preserve"> </w:t>
            </w:r>
            <w:r>
              <w:t xml:space="preserve">= 6.69 eV; F</w:t>
            </w:r>
            <w:r>
              <w:rPr>
                <w:vertAlign w:val="subscript"/>
              </w:rPr>
              <w:t xml:space="preserve">max</w:t>
            </w:r>
            <w:r>
              <w:t xml:space="preserve"> </w:t>
            </w:r>
            <w:r>
              <w:t xml:space="preserve">= 0.0049 Ry/Bohr</w:t>
            </w:r>
          </w:p>
        </w:tc>
      </w:tr>
      <w:tr>
        <w:tc>
          <w:tcPr/>
          <w:p>
            <w:pPr>
              <w:pStyle w:val="Compact"/>
              <w:jc w:val="left"/>
            </w:pPr>
            <w:r>
              <w:t xml:space="preserve">Dual-U (control)</w:t>
            </w:r>
          </w:p>
        </w:tc>
        <w:tc>
          <w:tcPr/>
          <w:p>
            <w:pPr>
              <w:pStyle w:val="Compact"/>
              <w:jc w:val="left"/>
            </w:pPr>
            <w:r>
              <w:t xml:space="preserve">Pristine_perfect</w:t>
            </w:r>
          </w:p>
        </w:tc>
        <w:tc>
          <w:tcPr/>
          <w:p>
            <w:pPr>
              <w:pStyle w:val="Compact"/>
              <w:jc w:val="left"/>
            </w:pPr>
            <w:r>
              <w:t xml:space="preserve">−4269.72111</w:t>
            </w:r>
          </w:p>
        </w:tc>
        <w:tc>
          <w:tcPr/>
          <w:p>
            <w:pPr>
              <w:pStyle w:val="Compact"/>
              <w:jc w:val="left"/>
            </w:pPr>
            <w:r>
              <w:t xml:space="preserve">m</w:t>
            </w:r>
            <w:r>
              <w:rPr>
                <w:vertAlign w:val="subscript"/>
              </w:rPr>
              <w:t xml:space="preserve">abs</w:t>
            </w:r>
            <w:r>
              <w:t xml:space="preserve"> </w:t>
            </w:r>
            <w:r>
              <w:t xml:space="preserve">= 0; E</w:t>
            </w:r>
            <w:r>
              <w:rPr>
                <w:vertAlign w:val="subscript"/>
              </w:rPr>
              <w:t xml:space="preserve">F</w:t>
            </w:r>
            <w:r>
              <w:t xml:space="preserve"> </w:t>
            </w:r>
            <w:r>
              <w:t xml:space="preserve">= 7.22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rPr>
                <w:bCs/>
                <w:b/>
              </w:rPr>
              <w:t xml:space="preserve">[AUTHOR ACTION: E</w:t>
            </w:r>
            <w:r>
              <w:rPr>
                <w:vertAlign w:val="subscript"/>
                <w:bCs/>
                <w:b/>
              </w:rPr>
              <w:t xml:space="preserve">tot</w:t>
            </w:r>
            <w:r>
              <w:rPr>
                <w:bCs/>
                <w:b/>
              </w:rPr>
              <w:t xml:space="preserve">]</w:t>
            </w:r>
          </w:p>
        </w:tc>
        <w:tc>
          <w:tcPr/>
          <w:p>
            <w:pPr>
              <w:pStyle w:val="Compact"/>
              <w:jc w:val="left"/>
            </w:pPr>
            <w:r>
              <w:t xml:space="preserve">m</w:t>
            </w:r>
            <w:r>
              <w:rPr>
                <w:vertAlign w:val="subscript"/>
              </w:rPr>
              <w:t xml:space="preserve">abs</w:t>
            </w:r>
            <w:r>
              <w:t xml:space="preserve"> </w:t>
            </w:r>
            <w:r>
              <w:t xml:space="preserve">= 3.00 μ</w:t>
            </w:r>
            <w:r>
              <w:rPr>
                <w:vertAlign w:val="subscript"/>
              </w:rPr>
              <w:t xml:space="preserve">B</w:t>
            </w:r>
          </w:p>
        </w:tc>
      </w:tr>
      <w:tr>
        <w:tc>
          <w:tcPr/>
          <w:p>
            <w:pPr>
              <w:pStyle w:val="Compact"/>
              <w:jc w:val="left"/>
            </w:pPr>
            <w:r>
              <w:t xml:space="preserve">Dual-U</w:t>
            </w:r>
          </w:p>
        </w:tc>
        <w:tc>
          <w:tcPr/>
          <w:p>
            <w:pPr>
              <w:pStyle w:val="Compact"/>
              <w:jc w:val="left"/>
            </w:pPr>
            <w:r>
              <w:t xml:space="preserve">Rb_VO</w:t>
            </w:r>
          </w:p>
        </w:tc>
        <w:tc>
          <w:tcPr/>
          <w:p>
            <w:pPr>
              <w:pStyle w:val="Compact"/>
              <w:jc w:val="left"/>
            </w:pPr>
            <w:r>
              <w:rPr>
                <w:bCs/>
                <w:b/>
              </w:rPr>
              <w:t xml:space="preserve">[AUTHOR ACTION: E</w:t>
            </w:r>
            <w:r>
              <w:rPr>
                <w:vertAlign w:val="subscript"/>
                <w:bCs/>
                <w:b/>
              </w:rPr>
              <w:t xml:space="preserve">tot</w:t>
            </w:r>
            <w:r>
              <w:rPr>
                <w:bCs/>
                <w:b/>
              </w:rPr>
              <w:t xml:space="preserve">]</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−4535.85464</w:t>
            </w:r>
          </w:p>
        </w:tc>
        <w:tc>
          <w:tcPr/>
          <w:p>
            <w:pPr>
              <w:pStyle w:val="Compact"/>
              <w:jc w:val="left"/>
            </w:pPr>
            <w:r>
              <w:t xml:space="preserve">D3 term = −10.29 eV; m</w:t>
            </w:r>
            <w:r>
              <w:rPr>
                <w:vertAlign w:val="subscript"/>
              </w:rPr>
              <w:t xml:space="preserve">abs</w:t>
            </w:r>
            <w:r>
              <w:t xml:space="preserve"> </w:t>
            </w:r>
            <w:r>
              <w:t xml:space="preserve">= 0; E</w:t>
            </w:r>
            <w:r>
              <w:rPr>
                <w:vertAlign w:val="subscript"/>
              </w:rPr>
              <w:t xml:space="preserve">F</w:t>
            </w:r>
            <w:r>
              <w:t xml:space="preserve"> </w:t>
            </w:r>
            <w:r>
              <w:t xml:space="preserve">= 9.99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−4289.91254</w:t>
            </w:r>
          </w:p>
        </w:tc>
        <w:tc>
          <w:tcPr/>
          <w:p>
            <w:pPr>
              <w:pStyle w:val="Compact"/>
              <w:jc w:val="left"/>
            </w:pPr>
            <w:r>
              <w:t xml:space="preserve">D3 term = −10.09 eV; m</w:t>
            </w:r>
            <w:r>
              <w:rPr>
                <w:vertAlign w:val="subscript"/>
              </w:rPr>
              <w:t xml:space="preserve">abs</w:t>
            </w:r>
            <w:r>
              <w:t xml:space="preserve"> </w:t>
            </w:r>
            <w:r>
              <w:t xml:space="preserve">= 1.00 μ</w:t>
            </w:r>
            <w:r>
              <w:rPr>
                <w:vertAlign w:val="subscript"/>
              </w:rPr>
              <w:t xml:space="preserve">B</w:t>
            </w:r>
            <w:r>
              <w:t xml:space="preserve">; E</w:t>
            </w:r>
            <w:r>
              <w:rPr>
                <w:vertAlign w:val="subscript"/>
              </w:rPr>
              <w:t xml:space="preserve">F</w:t>
            </w:r>
            <w:r>
              <w:t xml:space="preserve"> </w:t>
            </w:r>
            <w:r>
              <w:t xml:space="preserve">= 7.12 eV</w:t>
            </w:r>
          </w:p>
        </w:tc>
      </w:tr>
    </w:tbl>
    <w:p>
      <w:pPr>
        <w:pStyle w:val="BodyText"/>
      </w:pPr>
      <w:r>
        <w:t xml:space="preserve">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s8.-methods-details-and-file-inventory"/>
    <w:p>
      <w:pPr>
        <w:pStyle w:val="Heading3"/>
      </w:pPr>
      <w:r>
        <w:t xml:space="preserve">S8. Methods details and file inventory</w:t>
      </w:r>
    </w:p>
    <w:p>
      <w:pPr>
        <w:pStyle w:val="FirstParagraph"/>
      </w:pPr>
      <w:r>
        <w:t xml:space="preserve">Quantum ESPRESSO v7.5; PSlibrary 1.0.0 PAW datasets Ti.pbe-spn-kjpaw_psl.1.0.0.UPF, O.pbe-n-kjpaw_psl.1.0.0.UPF, Pr.pbe-spdn-kjpaw_psl.1.0.0.UPF (Z</w:t>
      </w:r>
      <w:r>
        <w:rPr>
          <w:vertAlign w:val="subscript"/>
        </w:rPr>
        <w:t xml:space="preserve">val</w:t>
      </w:r>
      <w:r>
        <w:t xml:space="preserve"> </w:t>
      </w:r>
      <w:r>
        <w:t xml:space="preserve">= 11; 4f in core) and Rb.pbe-spn-kjpaw_psl.1.0.0.UPF; nspin = 2; HUBBARD (ortho-atomic) with U Ti-3d 3.5 eV and, for the dual-U runs, U O-2p 5.5 eV.</w:t>
      </w:r>
      <w:r>
        <w:t xml:space="preserve"> </w:t>
      </w:r>
      <w:r>
        <w:rPr>
          <w:bCs/>
          <w:b/>
        </w:rPr>
        <w:t xml:space="preserve">[AUTHOR ACTION: Table S7 — paste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and SHA-256 hash of each UPF file. Table S8 — relaxed first-shell dopant–O distances for Pr and Rb.]</w:t>
      </w:r>
    </w:p>
    <w:p>
      <w:pPr>
        <w:pStyle w:val="BodyText"/>
      </w:pPr>
      <w:r>
        <w:t xml:space="preserve">The input templates, orchestrator scripts, raw output files, ACF.dat files, PDOS files and the master spreadsheet are deposited on Zenodo (DOI in the main-text Data Availability statement).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all converged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relaxations, Pr_perfect and Pristine</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(4 doped cells)</w:t>
            </w:r>
          </w:p>
        </w:tc>
        <w:tc>
          <w:tcPr/>
          <w:p>
            <w:pPr>
              <w:pStyle w:val="Compact"/>
              <w:jc w:val="left"/>
            </w:pPr>
            <w:r>
              <w:t xml:space="preserve">≈ 6 h total</w:t>
            </w:r>
          </w:p>
        </w:tc>
        <w:tc>
          <w:tcPr/>
          <w:p>
            <w:pPr>
              <w:pStyle w:val="Compact"/>
              <w:jc w:val="left"/>
            </w:pPr>
            <w:r>
              <w:t xml:space="preserve">done</w:t>
            </w:r>
            <w:r>
              <w:t xml:space="preserve"> </w:t>
            </w:r>
            <w:r>
              <w:rPr>
                <w:bCs/>
                <w:b/>
              </w:rPr>
              <w:t xml:space="preserve">[AUTHOR ACTION: reconcile with S4]</w:t>
            </w:r>
          </w:p>
        </w:tc>
      </w:tr>
      <w:tr>
        <w:tc>
          <w:tcPr/>
          <w:p>
            <w:pPr>
              <w:pStyle w:val="Compact"/>
              <w:jc w:val="left"/>
            </w:pPr>
            <w:r>
              <w:t xml:space="preserve">Charged cells (4 relaxations)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U sweep (9 single points)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k-mesh series at 2×2×1, 2×2×2, 3×3×2 (3 cells)</w:t>
            </w:r>
          </w:p>
        </w:tc>
        <w:tc>
          <w:tcPr/>
          <w:p>
            <w:pPr>
              <w:pStyle w:val="Compact"/>
              <w:jc w:val="left"/>
            </w:pPr>
            <w:r>
              <w:rPr>
                <w:bCs/>
                <w:b/>
              </w:rPr>
              <w:t xml:space="preserve">[AUTHOR ACTION]</w:t>
            </w:r>
          </w:p>
        </w:tc>
        <w:tc>
          <w:tcPr/>
          <w:p>
            <w:pPr>
              <w:pStyle w:val="Compact"/>
              <w:jc w:val="left"/>
            </w:pPr>
            <w:r>
              <w:t xml:space="preserve">done</w:t>
            </w:r>
          </w:p>
        </w:tc>
      </w:tr>
    </w:tbl>
    <w:bookmarkEnd w:id="33"/>
    <w:bookmarkStart w:id="34" w:name="s9.-full-precision-energy-ledger"/>
    <w:p>
      <w:pPr>
        <w:pStyle w:val="Heading3"/>
      </w:pPr>
      <w:r>
        <w:t xml:space="preserve">S9. Full-precision energy ledger</w:t>
      </w:r>
    </w:p>
    <w:p>
      <w:pPr>
        <w:pStyle w:val="FirstParagraph"/>
      </w:pPr>
      <w:r>
        <w:t xml:space="preserve">All values in Ry as printed by pw.x; conversions use 1 Ry = 13.605693 eV. Formation energies in the main text are computed from these values.</w:t>
      </w:r>
    </w:p>
    <w:p>
      <w:pPr>
        <w:pStyle w:val="BodyText"/>
      </w:pPr>
      <w:r>
        <w:rPr>
          <w:iCs/>
          <w:i/>
          <w:bCs/>
          <w:b/>
        </w:rPr>
        <w:t xml:space="preserve">Table S9. Energy ledger.</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reference</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2 × (−41.51621)</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pPr>
          </w:p>
        </w:tc>
      </w:tr>
      <w:tr>
        <w:tc>
          <w:tcPr/>
          <w:p>
            <w:pPr>
              <w:pStyle w:val="Compact"/>
              <w:jc w:val="left"/>
            </w:pPr>
            <w:r>
              <w:t xml:space="preserve">9</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pPr>
          </w:p>
        </w:tc>
      </w:tr>
      <w:tr>
        <w:tc>
          <w:tcPr/>
          <w:p>
            <w:pPr>
              <w:pStyle w:val="Compact"/>
              <w:jc w:val="left"/>
            </w:pPr>
            <w:r>
              <w:t xml:space="preserve">11</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O1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O7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O17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m</w:t>
            </w:r>
            <w:r>
              <w:rPr>
                <w:vertAlign w:val="subscript"/>
              </w:rPr>
              <w:t xml:space="preserve">abs</w:t>
            </w:r>
            <w:r>
              <w:t xml:space="preserve"> </w:t>
            </w:r>
            <w:r>
              <w:t xml:space="preserve">= 0</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E(D3) − E(run 4) = −10.25 eV</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E(D3) − E(run 6) = −10.08 eV</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+0.281 eV above run 4; m = 1.00, m</w:t>
            </w:r>
            <w:r>
              <w:rPr>
                <w:vertAlign w:val="subscript"/>
              </w:rPr>
              <w:t xml:space="preserve">abs</w:t>
            </w:r>
            <w:r>
              <w:t xml:space="preserve"> </w:t>
            </w:r>
            <w:r>
              <w:t xml:space="preserve">= 1.13 μ</w:t>
            </w:r>
            <w:r>
              <w:rPr>
                <w:vertAlign w:val="subscript"/>
              </w:rPr>
              <w:t xml:space="preserve">B</w:t>
            </w:r>
          </w:p>
        </w:tc>
      </w:tr>
    </w:tbl>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manifest"/>
    <w:p>
      <w:pPr>
        <w:pStyle w:val="Heading3"/>
      </w:pPr>
      <w:r>
        <w:t xml:space="preserve">S10. Run manifest</w:t>
      </w:r>
    </w:p>
    <w:p>
      <w:pPr>
        <w:pStyle w:val="FirstParagraph"/>
      </w:pPr>
      <w:r>
        <w:rPr>
          <w:iCs/>
          <w:i/>
          <w:bCs/>
          <w:b/>
        </w:rPr>
        <w:t xml:space="preserve">Table S10. Run manifest (template to be completed from the output files).</w:t>
      </w:r>
      <w:r>
        <w:t xml:space="preserve"> </w:t>
      </w:r>
      <w:r>
        <w:rPr>
          <w:iCs/>
          <w:i/>
        </w:rPr>
        <w:t xml:space="preserve">One row per pw.x run that contributes a number to the main text or SI.</w:t>
      </w:r>
    </w:p>
    <w:tbl>
      <w:tblPr>
        <w:tblStyle w:val="Table"/>
        <w:tblW w:type="pct" w:w="5000"/>
        <w:tblLook w:firstRow="1" w:lastRow="0" w:firstColumn="0" w:lastColumn="0" w:noHBand="0" w:noVBand="0" w:val="0020"/>
        <w:jc w:val="start"/>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true"/>
        </w:trPr>
        <w:tc>
          <w:tcPr/>
          <w:p>
            <w:pPr>
              <w:pStyle w:val="Compact"/>
              <w:jc w:val="left"/>
            </w:pPr>
            <w:r>
              <w:t xml:space="preserve">Run ID</w:t>
            </w:r>
          </w:p>
        </w:tc>
        <w:tc>
          <w:tcPr/>
          <w:p>
            <w:pPr>
              <w:pStyle w:val="Compact"/>
              <w:jc w:val="left"/>
            </w:pPr>
            <w:r>
              <w:t xml:space="preserve">Output file</w:t>
            </w:r>
          </w:p>
        </w:tc>
        <w:tc>
          <w:tcPr/>
          <w:p>
            <w:pPr>
              <w:pStyle w:val="Compact"/>
              <w:jc w:val="left"/>
            </w:pPr>
            <w:r>
              <w:t xml:space="preserve">Cell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q</w:t>
            </w:r>
          </w:p>
        </w:tc>
        <w:tc>
          <w:tcPr/>
          <w:p>
            <w:pPr>
              <w:pStyle w:val="Compact"/>
              <w:jc w:val="left"/>
            </w:pPr>
            <w:r>
              <w:t xml:space="preserve">Functional / U (eV)</w:t>
            </w:r>
          </w:p>
        </w:tc>
        <w:tc>
          <w:tcPr/>
          <w:p>
            <w:pPr>
              <w:pStyle w:val="Compact"/>
              <w:jc w:val="left"/>
            </w:pPr>
            <w:r>
              <w:t xml:space="preserve">k-mesh</w:t>
            </w:r>
          </w:p>
        </w:tc>
        <w:tc>
          <w:tcPr/>
          <w:p>
            <w:pPr>
              <w:pStyle w:val="Compact"/>
              <w:jc w:val="left"/>
            </w:pPr>
            <w:r>
              <w:t xml:space="preserve">E</w:t>
            </w:r>
            <w:r>
              <w:rPr>
                <w:vertAlign w:val="subscript"/>
              </w:rPr>
              <w:t xml:space="preserve">cut</w:t>
            </w:r>
            <w:r>
              <w:t xml:space="preserve"> </w:t>
            </w:r>
            <w:r>
              <w:t xml:space="preserve">(Ry)</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calculation</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F</w:t>
            </w:r>
            <w:r>
              <w:rPr>
                <w:vertAlign w:val="subscript"/>
              </w:rPr>
              <w:t xml:space="preserve">max</w:t>
            </w:r>
            <w:r>
              <w:t xml:space="preserve"> </w:t>
            </w:r>
            <w:r>
              <w:t xml:space="preserve">(Ry/Bohr)</w:t>
            </w:r>
          </w:p>
        </w:tc>
        <w:tc>
          <w:tcPr/>
          <w:p>
            <w:pPr>
              <w:pStyle w:val="Compact"/>
              <w:jc w:val="left"/>
            </w:pPr>
            <w:r>
              <w:t xml:space="preserve">exit status</w:t>
            </w:r>
          </w:p>
        </w:tc>
      </w:tr>
      <w:tr>
        <w:tc>
          <w:tcPr/>
          <w:p>
            <w:pPr>
              <w:pStyle w:val="Compact"/>
              <w:jc w:val="left"/>
            </w:pPr>
            <w:r>
              <w:t xml:space="preserve">1</w:t>
            </w:r>
          </w:p>
        </w:tc>
        <w:tc>
          <w:tcPr/>
          <w:p>
            <w:pPr>
              <w:pStyle w:val="Compact"/>
            </w:pPr>
          </w:p>
        </w:tc>
        <w:tc>
          <w:tcPr/>
          <w:p>
            <w:pPr>
              <w:pStyle w:val="Compact"/>
              <w:jc w:val="left"/>
            </w:pPr>
            <w:r>
              <w:t xml:space="preserve">Pristine_perfect</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0</w:t>
            </w:r>
          </w:p>
        </w:tc>
        <w:tc>
          <w:tcPr/>
          <w:p>
            <w:pPr>
              <w:pStyle w:val="Compact"/>
              <w:jc w:val="left"/>
            </w:pPr>
            <w:r>
              <w:t xml:space="preserve">PBE+U 3.5</w:t>
            </w:r>
          </w:p>
        </w:tc>
        <w:tc>
          <w:tcPr/>
          <w:p>
            <w:pPr>
              <w:pStyle w:val="Compact"/>
              <w:jc w:val="left"/>
            </w:pPr>
            <w:r>
              <w:t xml:space="preserve">Γ</w:t>
            </w:r>
          </w:p>
        </w:tc>
        <w:tc>
          <w:tcPr/>
          <w:p>
            <w:pPr>
              <w:pStyle w:val="Compact"/>
              <w:jc w:val="left"/>
            </w:pPr>
            <w:r>
              <w:t xml:space="preserve">40/320</w:t>
            </w:r>
          </w:p>
        </w:tc>
        <w:tc>
          <w:tcPr/>
          <w:p>
            <w:pPr>
              <w:pStyle w:val="Compact"/>
            </w:pPr>
          </w:p>
        </w:tc>
        <w:tc>
          <w:tcPr/>
          <w:p>
            <w:pPr>
              <w:pStyle w:val="Compact"/>
              <w:jc w:val="left"/>
            </w:pPr>
            <w:r>
              <w:t xml:space="preserve">0</w:t>
            </w:r>
          </w:p>
        </w:tc>
        <w:tc>
          <w:tcPr/>
          <w:p>
            <w:pPr>
              <w:pStyle w:val="Compact"/>
              <w:jc w:val="left"/>
            </w:pPr>
            <w:r>
              <w:t xml:space="preserve">relax</w:t>
            </w:r>
          </w:p>
        </w:tc>
        <w:tc>
          <w:tcPr/>
          <w:p>
            <w:pPr>
              <w:pStyle w:val="Compact"/>
              <w:jc w:val="left"/>
            </w:pPr>
            <w:r>
              <w:t xml:space="preserve">−4275.01530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pP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[AUTHOR ACTION: complete all 24+ rows from the output files; this table is what reviewers will use to trace every number.]</w:t>
      </w:r>
    </w:p>
    <w:bookmarkEnd w:id="35"/>
    <w:bookmarkStart w:id="39" w:name="s11.-force-convergence-trajectories"/>
    <w:p>
      <w:pPr>
        <w:pStyle w:val="Heading3"/>
      </w:pPr>
      <w:r>
        <w:t xml:space="preserve">S11. Force-convergence trajectories</w:t>
      </w:r>
    </w:p>
    <w:p>
      <w:pPr>
        <w:pStyle w:val="FirstParagraph"/>
      </w:pPr>
      <w:r>
        <w:drawing>
          <wp:inline>
            <wp:extent cx="5334000" cy="2072007"/>
            <wp:effectExtent b="0" l="0" r="0" t="0"/>
            <wp:docPr descr="" title="" id="37" name="Picture"/>
            <a:graphic>
              <a:graphicData uri="http://schemas.openxmlformats.org/drawingml/2006/picture">
                <pic:pic>
                  <pic:nvPicPr>
                    <pic:cNvPr descr="../figures/FigS3_force_convergence_relabel_required.png" id="38" name="Picture"/>
                    <pic:cNvPicPr>
                      <a:picLocks noChangeArrowheads="1" noChangeAspect="1"/>
                    </pic:cNvPicPr>
                  </pic:nvPicPr>
                  <pic:blipFill>
                    <a:blip r:embed="rId36"/>
                    <a:stretch>
                      <a:fillRect/>
                    </a:stretch>
                  </pic:blipFill>
                  <pic:spPr bwMode="auto">
                    <a:xfrm>
                      <a:off x="0" y="0"/>
                      <a:ext cx="5334000" cy="2072007"/>
                    </a:xfrm>
                    <a:prstGeom prst="rect">
                      <a:avLst/>
                    </a:prstGeom>
                    <a:noFill/>
                    <a:ln w="9525">
                      <a:noFill/>
                      <a:headEnd/>
                      <a:tailEnd/>
                    </a:ln>
                  </pic:spPr>
                </pic:pic>
              </a:graphicData>
            </a:graphic>
          </wp:inline>
        </w:drawing>
      </w:r>
    </w:p>
    <w:p>
      <w:pPr>
        <w:pStyle w:val="BodyText"/>
      </w:pPr>
      <w:r>
        <w:rPr>
          <w:iCs/>
          <w:i/>
        </w:rPr>
        <w:t xml:space="preserve">Figure S3. Maximum-force trajectories of the Pr_VO (left, last 14 BFGS steps after restart) and Rb_VO (right, last 5 steps) relaxations. Dashed green: the 0.005 Ry/Bohr threshold of this work. Final values 0.0042 and 0.0040 Ry/Bohr (0.108 and 0.103 eV/Å).</w:t>
      </w:r>
      <w:r>
        <w:rPr>
          <w:iCs/>
          <w:i/>
        </w:rPr>
        <w:t xml:space="preserve"> </w:t>
      </w:r>
      <w:r>
        <w:rPr>
          <w:bCs/>
          <w:b/>
          <w:iCs/>
          <w:i/>
        </w:rPr>
        <w:t xml:space="preserve">[AUTHOR ACTION: regenerate with a secondary axis or labels in eV/Å, remove the unsourced</w:t>
      </w:r>
      <w:r>
        <w:rPr>
          <w:bCs/>
          <w:b/>
          <w:iCs/>
          <w:i/>
        </w:rPr>
        <w:t xml:space="preserve"> </w:t>
      </w:r>
      <w:r>
        <w:rPr>
          <w:bCs/>
          <w:b/>
          <w:iCs/>
          <w:i/>
        </w:rPr>
        <w:t xml:space="preserve">“</w:t>
      </w:r>
      <w:r>
        <w:rPr>
          <w:bCs/>
          <w:b/>
          <w:iCs/>
          <w:i/>
        </w:rPr>
        <w:t xml:space="preserve">0.01 Ry/Bohr (lit. std)</w:t>
      </w:r>
      <w:r>
        <w:rPr>
          <w:bCs/>
          <w:b/>
          <w:iCs/>
          <w:i/>
        </w:rPr>
        <w:t xml:space="preserve">”</w:t>
      </w:r>
      <w:r>
        <w:rPr>
          <w:bCs/>
          <w:b/>
          <w:iCs/>
          <w:i/>
        </w:rPr>
        <w:t xml:space="preserve"> </w:t>
      </w:r>
      <w:r>
        <w:rPr>
          <w:bCs/>
          <w:b/>
          <w:iCs/>
          <w:i/>
        </w:rPr>
        <w:t xml:space="preserve">line, and show the complete trajectories.]</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2026-10-02T08:20:47Z</dcterms:created>
  <dcterms:modified xsi:type="dcterms:W3CDTF">2026-10-02T08:20:47Z</dcterms:modified>
</cp:coreProperties>
</file>

<file path=docProps/custom.xml><?xml version="1.0" encoding="utf-8"?>
<Properties xmlns="http://schemas.openxmlformats.org/officeDocument/2006/custom-properties" xmlns:vt="http://schemas.openxmlformats.org/officeDocument/2006/docPropsVTypes"/>
</file>