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upporting-information"/>
    <w:p>
      <w:pPr>
        <w:pStyle w:val="Heading1"/>
      </w:pPr>
      <w:r>
        <w:t xml:space="preserve">Supporting Information</w:t>
      </w:r>
    </w:p>
    <w:bookmarkStart w:id="40"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odyText"/>
      </w:pPr>
      <w:r>
        <w:rPr>
          <w:bCs/>
          <w:b/>
        </w:rPr>
        <w:t xml:space="preserve">Contents.</w:t>
      </w:r>
      <w:r>
        <w:t xml:space="preserve"> </w:t>
      </w:r>
      <w:r>
        <w:t xml:space="preserve">S1 Pristine V</w:t>
      </w:r>
      <w:r>
        <w:rPr>
          <w:vertAlign w:val="subscript"/>
        </w:rPr>
        <w:t xml:space="preserve">O</w:t>
      </w:r>
      <w:r>
        <w:t xml:space="preserve"> </w:t>
      </w:r>
      <w:r>
        <w:t xml:space="preserve">convergence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S10 Run settings and manifest · S11 Force-convergence trajectories</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 The single-point inputs derived from the doped-cell production runs (U sweep) use degauss = 0.005 Ry, so the converged pristine V</w:t>
      </w:r>
      <w:r>
        <w:rPr>
          <w:vertAlign w:val="subscript"/>
        </w:rPr>
        <w:t xml:space="preserve">O</w:t>
      </w:r>
      <w:r>
        <w:t xml:space="preserve"> </w:t>
      </w:r>
      <w:r>
        <w:t xml:space="preserve">cell may differ in smearing width from the other cells (Section 2.4 of the main text). Because the two vacancy electrons of the pristine V</w:t>
      </w:r>
      <w:r>
        <w:rPr>
          <w:vertAlign w:val="subscript"/>
        </w:rPr>
        <w:t xml:space="preserve">O</w:t>
      </w:r>
      <w:r>
        <w:t xml:space="preserve"> </w:t>
      </w:r>
      <w:r>
        <w:t xml:space="preserve">cell occupy conduction-band states, its −TS term need not be negligible at 0.01 Ry.</w:t>
      </w:r>
      <w:r>
        <w:t xml:space="preserve"> </w:t>
      </w:r>
      <w:r>
        <w:rPr>
          <w:bCs/>
          <w:b/>
        </w:rPr>
        <w:t xml:space="preserve">[AUTHOR ACTION: confirm degauss of the production relaxations from their inputs, and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of runs 1 and 2 (Table S9).]</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Gaussian smearing 0.005 Ry, starting_magnetization = 0 on all species). The geometries were not re-relaxed at each U. The U = 3.5 eV entries are the production relaxations.</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a position set by the smearing; a Γ-only single point at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The Γ entries differ slightly from the production relaxation endpoints (Pristine: &lt; 1×10</w:t>
      </w:r>
      <w:r>
        <w:rPr>
          <w:vertAlign w:val="superscript"/>
          <w:iCs/>
          <w:i/>
        </w:rPr>
        <w:t xml:space="preserve">−5</w:t>
      </w:r>
      <w:r>
        <w:rPr>
          <w:iCs/>
          <w:i/>
        </w:rPr>
        <w:t xml:space="preserve"> </w:t>
      </w:r>
      <w:r>
        <w:rPr>
          <w:iCs/>
          <w:i/>
        </w:rPr>
        <w:t xml:space="preserve">Ry;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pristine V</w:t>
      </w:r>
      <w:r>
        <w:rPr>
          <w:vertAlign w:val="subscript"/>
        </w:rPr>
        <w:t xml:space="preserve">O</w:t>
      </w:r>
      <w:r>
        <w:t xml:space="preserve"> </w:t>
      </w:r>
      <w:r>
        <w:t xml:space="preserve">cell was not computed at 2×2×2.</w:t>
      </w:r>
      <w:r>
        <w:t xml:space="preserve"> </w:t>
      </w:r>
      <w:r>
        <w:rPr>
          <w:bCs/>
          <w:b/>
        </w:rPr>
        <w:t xml:space="preserve">[AUTHOR ACTION: add run identifiers (output file names) for runs 8 and 10.]</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w:t>
      </w:r>
      <w:r>
        <w:t xml:space="preserve"> </w:t>
      </w:r>
      <w:r>
        <w:rPr>
          <w:bCs/>
          <w:b/>
        </w:rPr>
        <w:t xml:space="preserve">[AUTHOR ACTION: state the FFT grid dimensions and whether the all-electron PAW density was reconstructed; if not, say that the comparison uses the smooth valence density.]</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Bader charge (Z</w:t>
            </w:r>
            <w:r>
              <w:rPr>
                <w:vertAlign w:val="subscript"/>
              </w:rPr>
              <w:t xml:space="preserve">val</w:t>
            </w:r>
            <w:r>
              <w:t xml:space="preserve"> </w:t>
            </w:r>
            <w:r>
              <w:t xml:space="preserve">minus population)</w:t>
            </w:r>
          </w:p>
        </w:tc>
        <w:tc>
          <w:tcPr/>
          <w:p>
            <w:pPr>
              <w:pStyle w:val="Compact"/>
              <w:jc w:val="left"/>
            </w:pPr>
            <w:r>
              <w:t xml:space="preserve">Pr: +2.14 e</w:t>
            </w:r>
          </w:p>
        </w:tc>
        <w:tc>
          <w:tcPr/>
          <w:p>
            <w:pPr>
              <w:pStyle w:val="Compact"/>
              <w:jc w:val="left"/>
            </w:pPr>
            <w:r>
              <w:t xml:space="preserve">Rb: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bCs/>
          <w:b/>
        </w:rPr>
        <w:t xml:space="preserve">[AUTHOR ACTION: the dopant charges are inconsistent with the mean populations above (sum rule: 376.998 − 15 × 9.683 − 31 × 7.187 = 8.956 e on Pr, i.e. +2.04 e; 374.998 − 15 × 9.671 − 31 × 7.155 = 8.128 e on Rb, i.e. +0.87 e); re-extract all values from ACF.dat, add the full 47-row per-atom tables for both cells as Tables S3a and S3b, and note that grid convergence of the Bader charges was not tested.]</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The value ≈2.17 Å quoted in earlier drafts for the production site appears to be a relaxed Pr–O distance; its source is not documented.</w:t>
      </w:r>
      <w:r>
        <w:t xml:space="preserve"> </w:t>
      </w:r>
      <w:r>
        <w:rPr>
          <w:bCs/>
          <w:b/>
        </w:rPr>
        <w:t xml:space="preserve">[AUTHOR ACTION: confirm the production vacancy of the Pr cell from its input, and give the relaxed Pr–V</w:t>
      </w:r>
      <w:r>
        <w:rPr>
          <w:vertAlign w:val="subscript"/>
          <w:bCs/>
          <w:b/>
        </w:rPr>
        <w:t xml:space="preserve">O</w:t>
      </w:r>
      <w:r>
        <w:rPr>
          <w:bCs/>
          <w:b/>
        </w:rPr>
        <w:t xml:space="preserve">-site distance.]</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F</w:t>
            </w:r>
            <w:r>
              <w:rPr>
                <w:vertAlign w:val="subscript"/>
              </w:rPr>
              <w:t xml:space="preserve">max</w:t>
            </w:r>
            <w:r>
              <w:t xml:space="preserve"> </w:t>
            </w:r>
            <w:r>
              <w:t xml:space="preserv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E</w:t>
            </w:r>
            <w:r>
              <w:rPr>
                <w:vertAlign w:val="subscript"/>
              </w:rPr>
              <w:t xml:space="preserve">F</w:t>
            </w:r>
            <w:r>
              <w:t xml:space="preserve"> </w:t>
            </w:r>
            <w:r>
              <w:t xml:space="preserve">=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−58844.4305 eV as logged</w:t>
            </w:r>
            <w:r>
              <w:t xml:space="preserve"> </w:t>
            </w:r>
            <w:r>
              <w:rPr>
                <w:vertAlign w:val="superscript"/>
              </w:rPr>
              <w:t xml:space="preserve">b</w:t>
            </w:r>
          </w:p>
        </w:tc>
        <w:tc>
          <w:tcPr/>
          <w:p>
            <w:pPr>
              <w:pStyle w:val="Compact"/>
              <w:jc w:val="left"/>
            </w:pPr>
            <w:r>
              <w:t xml:space="preserve">m = 3.00 μ</w:t>
            </w:r>
            <w:r>
              <w:rPr>
                <w:vertAlign w:val="subscript"/>
              </w:rPr>
              <w:t xml:space="preserve">B</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not completed when logged</w:t>
            </w:r>
          </w:p>
        </w:tc>
        <w:tc>
          <w:tcPr/>
          <w:p>
            <w:pPr>
              <w:pStyle w:val="Compact"/>
              <w:jc w:val="left"/>
            </w:pPr>
            <w:r>
              <w:t xml:space="preserve">−58287.1934 eV as logged</w:t>
            </w:r>
            <w:r>
              <w:t xml:space="preserve"> </w:t>
            </w:r>
            <w:r>
              <w:rPr>
                <w:vertAlign w:val="superscript"/>
              </w:rPr>
              <w:t xml:space="preserve">b</w:t>
            </w:r>
          </w:p>
        </w:tc>
        <w:tc>
          <w:tcPr/>
          <w:p>
            <w:pPr>
              <w:pStyle w:val="Compact"/>
              <w:jc w:val="left"/>
            </w:pPr>
            <w:r>
              <w:t xml:space="preserve">m = 1.00 μ</w:t>
            </w:r>
            <w:r>
              <w:rPr>
                <w:vertAlign w:val="subscript"/>
              </w:rPr>
              <w:t xml:space="preserve">B</w:t>
            </w:r>
            <w:r>
              <w:t xml:space="preserve"> </w:t>
            </w:r>
            <w:r>
              <w:t xml:space="preserve">(preliminary)</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vertAlign w:val="superscript"/>
          <w:iCs/>
          <w:i/>
        </w:rPr>
        <w:t xml:space="preserve">b</w:t>
      </w:r>
      <w:r>
        <w:rPr>
          <w:iCs/>
          <w:i/>
        </w:rPr>
        <w:t xml:space="preserve"> </w:t>
      </w:r>
      <w:r>
        <w:rPr>
          <w:iCs/>
          <w:i/>
        </w:rPr>
        <w:t xml:space="preserve">The dual-U Rb energies were recorded in eV only in the run spreadsheet, whose Ry-to-eV factor is not documented; they are listed for completeness and are not used anywhere.</w:t>
      </w:r>
      <w:r>
        <w:t xml:space="preserve"> </w:t>
      </w:r>
      <w:r>
        <w:rPr>
          <w:bCs/>
          <w:b/>
        </w:rPr>
        <w:t xml:space="preserve">[AUTHOR ACTION: give the printed Ry energies, m</w:t>
      </w:r>
      <w:r>
        <w:rPr>
          <w:vertAlign w:val="subscript"/>
          <w:bCs/>
          <w:b/>
        </w:rPr>
        <w:t xml:space="preserve">abs</w:t>
      </w:r>
      <w:r>
        <w:rPr>
          <w:bCs/>
          <w:b/>
        </w:rPr>
        <w:t xml:space="preserve"> </w:t>
      </w:r>
      <w:r>
        <w:rPr>
          <w:bCs/>
          <w:b/>
        </w:rPr>
        <w:t xml:space="preserve">and completion status of the two dual-U Rb runs from their outputs.]</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rPr>
                <w:bCs/>
                <w:b/>
              </w:rPr>
              <w:t xml:space="preserve">[AUTHOR ACTION]</w:t>
            </w:r>
          </w:p>
        </w:tc>
        <w:tc>
          <w:tcPr/>
          <w:p>
            <w:pPr>
              <w:pStyle w:val="Compact"/>
              <w:jc w:val="left"/>
            </w:pPr>
            <w:r>
              <w:t xml:space="preserve">Rb_perfect done; Rb_VO not completed when logged</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U sweep (9 single points)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PDOS: Γ SCF, 2×2×2 NSCF and projwfc.x (Pr_VO, Rb_VO)</w:t>
            </w:r>
          </w:p>
        </w:tc>
        <w:tc>
          <w:tcPr/>
          <w:p>
            <w:pPr>
              <w:pStyle w:val="Compact"/>
              <w:jc w:val="left"/>
            </w:pPr>
            <w:r>
              <w:t xml:space="preserve">≈ 7 h (Rb_VO NSCF)</w:t>
            </w:r>
          </w:p>
        </w:tc>
        <w:tc>
          <w:tcPr/>
          <w:p>
            <w:pPr>
              <w:pStyle w:val="Compact"/>
              <w:jc w:val="left"/>
            </w:pPr>
            <w:r>
              <w:t xml:space="preserve">done</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rPr>
                <w:bCs/>
                <w:b/>
              </w:rPr>
              <w:t xml:space="preserve">[AUTHOR ACTION]</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bCs/>
          <w:b/>
        </w:rPr>
        <w:t xml:space="preserve">[AUTHOR ACTION: add the MD5 checksum of the Pr dataset (printed in the header of any Pr-cell pw.x output) and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bl>
    <w:p>
      <w:pPr>
        <w:pStyle w:val="BodyText"/>
      </w:pPr>
      <w:r>
        <w:rPr>
          <w:bCs/>
          <w:b/>
        </w:rPr>
        <w:t xml:space="preserve">[AUTHOR ACTION: add the corresponding values for Pr_VO, Pr_perfect and Rb_perfect from their final coordinates (figures/make_fig1_structures.py prints them when the pw.x output is placed in figures/data/).]</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1.00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Table S5</w:t>
            </w:r>
            <w:r>
              <w:t xml:space="preserve"> </w:t>
            </w:r>
            <w:r>
              <w:rPr>
                <w:vertAlign w:val="superscript"/>
              </w:rPr>
              <w:t xml:space="preserve">b</w:t>
            </w:r>
          </w:p>
        </w:tc>
        <w:tc>
          <w:tcPr/>
          <w:p>
            <w:pPr>
              <w:pStyle w:val="Compact"/>
              <w:jc w:val="left"/>
            </w:pPr>
            <w:r>
              <w:t xml:space="preserve">3.00 / –</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Table S5</w:t>
            </w:r>
            <w:r>
              <w:t xml:space="preserve"> </w:t>
            </w:r>
            <w:r>
              <w:rPr>
                <w:vertAlign w:val="superscript"/>
              </w:rPr>
              <w:t xml:space="preserve">b</w:t>
            </w:r>
          </w:p>
        </w:tc>
        <w:tc>
          <w:tcPr/>
          <w:p>
            <w:pPr>
              <w:pStyle w:val="Compact"/>
              <w:jc w:val="left"/>
            </w:pPr>
            <w:r>
              <w:t xml:space="preserve">1.00 / –</w:t>
            </w:r>
          </w:p>
        </w:tc>
        <w:tc>
          <w:tcPr/>
          <w:p>
            <w:pPr>
              <w:pStyle w:val="Compact"/>
              <w:jc w:val="left"/>
            </w:pPr>
            <w:r>
              <w:t xml:space="preserve">preliminary</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bl>
    <w:p>
      <w:pPr>
        <w:pStyle w:val="BodyText"/>
      </w:pPr>
      <w:r>
        <w:rPr>
          <w:vertAlign w:val="superscript"/>
          <w:iCs/>
          <w:i/>
        </w:rPr>
        <w:t xml:space="preserve">b</w:t>
      </w:r>
      <w:r>
        <w:rPr>
          <w:iCs/>
          <w:i/>
        </w:rPr>
        <w:t xml:space="preserve"> </w:t>
      </w:r>
      <w:r>
        <w:rPr>
          <w:iCs/>
          <w:i/>
        </w:rPr>
        <w:t xml:space="preserve">Recorded in eV only; see Table S5.</w:t>
      </w:r>
    </w:p>
    <w:p>
      <w:pPr>
        <w:pStyle w:val="BodyText"/>
      </w:pPr>
      <w:r>
        <w:rPr>
          <w:bCs/>
          <w:b/>
        </w:rPr>
        <w:t xml:space="preserve">[AUTHOR ACTION: confirm that run 25 is an earlier step of the production Pr_VO relaxation (the 0.281 eV quoted in earlier drafts is relative to it).]</w:t>
      </w:r>
    </w:p>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supplied for this revision.</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run log;</w:t>
            </w:r>
            <w:r>
              <w:t xml:space="preserve"> </w:t>
            </w:r>
            <w:r>
              <w:rPr>
                <w:bCs/>
                <w:b/>
              </w:rPr>
              <w:t xml:space="preserve">[AUTHOR ACTION: confirm from inputs]</w:t>
            </w:r>
          </w:p>
        </w:tc>
      </w:tr>
      <w:tr>
        <w:tc>
          <w:tcPr/>
          <w:p>
            <w:pPr>
              <w:pStyle w:val="Compact"/>
              <w:jc w:val="left"/>
            </w:pPr>
            <w:r>
              <w:t xml:space="preserve">Pristine_perfect (1)</w:t>
            </w:r>
          </w:p>
        </w:tc>
        <w:tc>
          <w:tcPr/>
          <w:p>
            <w:pPr>
              <w:pStyle w:val="Compact"/>
              <w:jc w:val="left"/>
            </w:pPr>
            <w:r>
              <w:rPr>
                <w:bCs/>
                <w:b/>
              </w:rPr>
              <w:t xml:space="preserve">[AUTHOR ACTION: scf or relax]</w:t>
            </w:r>
            <w:r>
              <w:t xml:space="preserve"> </w:t>
            </w:r>
            <w:r>
              <w:rPr>
                <w:vertAlign w:val="superscript"/>
              </w:rPr>
              <w:t xml:space="preserv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rPr>
                <w:bCs/>
                <w:b/>
              </w:rPr>
              <w:t xml:space="preserve">[AUTHOR ACTION]</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rPr>
                <w:bCs/>
                <w:b/>
              </w:rPr>
              <w:t xml:space="preserve">[AUTHOR ACTION]</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c</w:t>
      </w:r>
      <w:r>
        <w:rPr>
          <w:iCs/>
          <w:i/>
        </w:rPr>
        <w:t xml:space="preserve"> </w:t>
      </w:r>
      <w:r>
        <w:rPr>
          <w:iCs/>
          <w:i/>
        </w:rPr>
        <w:t xml:space="preserve">The U-sweep templates derived from the production runs use 0.005 Ry, but the PDOS SCF at 0.01 Ry reproduces the production Rb_VO Fermi energy to 0.1 meV, so the production value is not established.</w:t>
      </w:r>
      <w:r>
        <w:rPr>
          <w:iCs/>
          <w:i/>
        </w:rPr>
        <w:t xml:space="preserve"> </w:t>
      </w:r>
      <w:r>
        <w:rPr>
          <w:vertAlign w:val="superscript"/>
          <w:iCs/>
          <w:i/>
        </w:rPr>
        <w:t xml:space="preserve">d</w:t>
      </w:r>
      <w:r>
        <w:rPr>
          <w:iCs/>
          <w:i/>
        </w:rPr>
        <w:t xml:space="preserve"> </w:t>
      </w:r>
      <w:r>
        <w:rPr>
          <w:iCs/>
          <w:i/>
        </w:rPr>
        <w:t xml:space="preserve">The run log lists an earlier pristine perfect run as an SCF with a residual force of 0.0225 Ry/Bohr; whether the production energy of run 1 comes from a relaxed geometry has to be confirmed (main text Section 2.6).</w:t>
      </w:r>
      <w:r>
        <w:t xml:space="preserve"> </w:t>
      </w:r>
      <w:r>
        <w:rPr>
          <w:bCs/>
          <w:b/>
        </w:rPr>
        <w:t xml:space="preserve">[AUTHOR ACTION: complete this table from the input files, including etot_conv_thr, forc_conv_thr, nosym and any magnetisation constraint, and list the output file name of every run in Table S9.]</w:t>
      </w:r>
    </w:p>
    <w:bookmarkEnd w:id="35"/>
    <w:bookmarkStart w:id="39" w:name="s11.-force-convergence-trajectories"/>
    <w:p>
      <w:pPr>
        <w:pStyle w:val="Heading3"/>
      </w:pPr>
      <w:r>
        <w:t xml:space="preserve">S11. Force-convergence trajectories</w:t>
      </w:r>
    </w:p>
    <w:p>
      <w:pPr>
        <w:pStyle w:val="FirstParagraph"/>
      </w:pPr>
      <w:r>
        <w:drawing>
          <wp:inline>
            <wp:extent cx="5334000" cy="2072007"/>
            <wp:effectExtent b="0" l="0" r="0" t="0"/>
            <wp:docPr descr="" title="" id="37" name="Picture"/>
            <a:graphic>
              <a:graphicData uri="http://schemas.openxmlformats.org/drawingml/2006/picture">
                <pic:pic>
                  <pic:nvPicPr>
                    <pic:cNvPr descr="../figures/FigS3_force_convergence_patched.png" id="38" name="Picture"/>
                    <pic:cNvPicPr>
                      <a:picLocks noChangeArrowheads="1" noChangeAspect="1"/>
                    </pic:cNvPicPr>
                  </pic:nvPicPr>
                  <pic:blipFill>
                    <a:blip r:embed="rId36"/>
                    <a:stretch>
                      <a:fillRect/>
                    </a:stretch>
                  </pic:blipFill>
                  <pic:spPr bwMode="auto">
                    <a:xfrm>
                      <a:off x="0" y="0"/>
                      <a:ext cx="5334000" cy="2072007"/>
                    </a:xfrm>
                    <a:prstGeom prst="rect">
                      <a:avLst/>
                    </a:prstGeom>
                    <a:noFill/>
                    <a:ln w="9525">
                      <a:noFill/>
                      <a:headEnd/>
                      <a:tailEnd/>
                    </a:ln>
                  </pic:spPr>
                </pic:pic>
              </a:graphicData>
            </a:graphic>
          </wp:inline>
        </w:drawing>
      </w:r>
    </w:p>
    <w:p>
      <w:pPr>
        <w:pStyle w:val="BodyText"/>
      </w:pPr>
      <w:r>
        <w:rPr>
          <w:iCs/>
          <w:i/>
        </w:rPr>
        <w:t xml:space="preserve">Figure S3. Maximum-force trajectories of the (a) Pr_VO (last 14 BFGS steps after restart) and (b) Rb_VO (last 5 steps) relaxations. Dashed green: the 0.005 Ry/Bohr threshold of this work. Final values 0.0042 and 0.0040 Ry/Bohr (0.108 and 0.103 eV/Å).</w:t>
      </w:r>
      <w:r>
        <w:rPr>
          <w:iCs/>
          <w:i/>
        </w:rPr>
        <w:t xml:space="preserve"> </w:t>
      </w:r>
      <w:r>
        <w:rPr>
          <w:bCs/>
          <w:b/>
          <w:iCs/>
          <w:i/>
        </w:rPr>
        <w:t xml:space="preserve">[AUTHOR ACTION: the panel titles and the legend entry of the grey 0.01 Ry/Bohr line (formerly labelled as a literature standard without a source) were patched in the interim artwork; regenerate from the BFGS logs with labels in eV/Å, drop or source the 0.01 Ry/Bohr line, and show the complete trajectories.]</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2026-10-04T03:41:41Z</dcterms:created>
  <dcterms:modified xsi:type="dcterms:W3CDTF">2026-10-04T03:41:41Z</dcterms:modified>
</cp:coreProperties>
</file>

<file path=docProps/custom.xml><?xml version="1.0" encoding="utf-8"?>
<Properties xmlns="http://schemas.openxmlformats.org/officeDocument/2006/custom-properties" xmlns:vt="http://schemas.openxmlformats.org/officeDocument/2006/docPropsVTypes"/>
</file>