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The formation energies of the FINAL draft are unchanged and were re-derived from the Rydberg totals in the Supporting Information; values corrected or added from the authors’ output files are listed in the revision log.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aliovalent substitution is the usual lever for controlling them, yet trivalent rare-earth and monovalent alkali dopants have rarely been compared under one protocol.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(lower bound) in pristine anatase to +1.29 eV in the Pr-substituted cell and −4.06 eV in the Rb-substituted cell; the 5.36 eV Pr–Rb contrast changes by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That hole is an empty minority-spin O-2p state; a Löwdin analysis puts 0.59 μ</w:t>
      </w:r>
      <w:r>
        <w:rPr>
          <w:vertAlign w:val="subscript"/>
        </w:rPr>
        <w:t xml:space="preserve">B</w:t>
      </w:r>
      <w:r>
        <w:t xml:space="preserve"> </w:t>
      </w:r>
      <w:r>
        <w:t xml:space="preserve">of its moment on one oxygen bonded to Rb, and the Rb ion lies 1.27 Å off its ideal site, towards the vacancy. The Rb cells carry unpaired spin in every treatment tested; the +2-charged vacancy cell reaches a total magnetisation of 2.99 μ</w:t>
      </w:r>
      <w:r>
        <w:rPr>
          <w:vertAlign w:val="subscript"/>
        </w:rPr>
        <w:t xml:space="preserve">B</w:t>
      </w:r>
      <w:r>
        <w:t xml:space="preserve">. With U on Ti-3d only the Pr cells converge to non-magnetic smeared solutions, but the vacancy-free Pr cell develops one unpaired spin when an O-2p Hubbard term is added, so its spin state is method dependent. The results are consistent with charge-compensation control of V</w:t>
      </w:r>
      <w:r>
        <w:rPr>
          <w:vertAlign w:val="subscript"/>
        </w:rPr>
        <w:t xml:space="preserve">O</w:t>
      </w:r>
      <w:r>
        <w:t xml:space="preserve"> </w:t>
      </w:r>
      <w:r>
        <w:t xml:space="preserve">energetics;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Pr>
          <w:vertAlign w:val="subscript"/>
        </w:rPr>
        <w:t xml:space="preserve">2</w:t>
      </w:r>
      <w:r>
        <w:t xml:space="preserve"> </w:t>
      </w:r>
      <w:r>
        <w:t xml:space="preserve">[18],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[27],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 Table S7 lists the MD5 checksums printed by pw.x (Ti, O and Rb; the Pr checksum was not recorded) and the atomic wavefunctions that projwfc.x reads from each dataset (Ti 3s/3p/3d, O 2s/2p, Pr 5p/5d, Rb 4s); the Pr dataset contains no 4f wavefunction. Kinetic-energy cut-offs of 40 Ry (wavefunctions) and 320 Ry (charge density) were used throughout. No cut-off convergence test was performed; comparable anatase defect work uses 55 Ry [13], and the consequences are discussed in Section 5.</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[33],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This value is close to the first-principles linear-response value for the Ti-3d subspace of anatase (U = 3.57 eV, U</w:t>
      </w:r>
      <w:r>
        <w:rPr>
          <w:vertAlign w:val="subscript"/>
        </w:rPr>
        <w:t xml:space="preserve">eff</w:t>
      </w:r>
      <w:r>
        <w:t xml:space="preserve"> </w:t>
      </w:r>
      <w:r>
        <w:t xml:space="preserve">=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present results to U is reported in Section 3.7. The DFT+U approach rests on the formulation of Anisimov et al. [36]; linear-response determination of U [37]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Pr>
          <w:vertAlign w:val="subscript"/>
        </w:rPr>
        <w:t xml:space="preserve">eff</w:t>
      </w:r>
      <w:r>
        <w:t xml:space="preserve"> </w:t>
      </w:r>
      <w:r>
        <w:t xml:space="preserve">= 7.66 eV with LDA [34], and U can alternatively be fixed by enforcing piecewise linearity of the energy on polaronic defect states [38]; no such calibration was attempted here.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its k-mesh, cut-off and residual stress were not recorded in the run log. The production V</w:t>
      </w:r>
      <w:r>
        <w:rPr>
          <w:vertAlign w:val="subscript"/>
        </w:rPr>
        <w:t xml:space="preserve">O</w:t>
      </w:r>
      <w:r>
        <w:t xml:space="preserve"> </w:t>
      </w:r>
      <w:r>
        <w:t xml:space="preserve">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input was not re-inspected for this revision and the relaxed Pr_VO geometry was not analysed; the Pr–O distance of ≈2.17 Å quoted in earlier drafts is undocumented and is not used (the Shannon-radius sum for six-fold Pr</w:t>
      </w:r>
      <w:r>
        <w:rPr>
          <w:vertAlign w:val="superscript"/>
        </w:rPr>
        <w:t xml:space="preserve">3+</w:t>
      </w:r>
      <w:r>
        <w:t xml:space="preserve">–O</w:t>
      </w:r>
      <w:r>
        <w:rPr>
          <w:vertAlign w:val="superscript"/>
        </w:rPr>
        <w:t xml:space="preserve">2−</w:t>
      </w:r>
      <w:r>
        <w:t xml:space="preserve"> </w:t>
      </w:r>
      <w:r>
        <w:t xml:space="preserve">is 2.39 Å [26]).</w:t>
      </w:r>
    </w:p>
    <w:p>
      <w:pPr>
        <w:pStyle w:val="BodyText"/>
      </w:pPr>
      <w:r>
        <w:rPr>
          <w:bCs/>
          <w:b/>
        </w:rPr>
        <w:t xml:space="preserve">2.4 Brillouin-zone sampling and electronic settings.</w:t>
      </w:r>
      <w:r>
        <w:t xml:space="preserve"> </w:t>
      </w:r>
      <w:r>
        <w:t xml:space="preserve">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single-point inputs derived from the production runs (U sweep, Section 3.7) use degauss = 0.005 Ry, whereas the converged pristine-V</w:t>
      </w:r>
      <w:r>
        <w:rPr>
          <w:vertAlign w:val="subscript"/>
        </w:rPr>
        <w:t xml:space="preserve">O</w:t>
      </w:r>
      <w:r>
        <w:t xml:space="preserve"> </w:t>
      </w:r>
      <w:r>
        <w:t xml:space="preserve">relaxation (Section S1) and the self-consistent runs that regenerated the densities for the projected densities of states used 0.01 Ry (Table S10); because the latter reproduce the production Rb_VO Fermi energy to 0.1 meV, the production value (0.005 or 0.01 Ry) is not established; the production input files were not re-inspected for this revision. With smearing, the total energy printed by pw.x is the smearing free energy; the entropy term is small when few states lie near the Fermi level but has not been tabulated. The −TS terms were not extracted from the outputs. For orientation, with Gaussian smearing a single level at E</w:t>
      </w:r>
      <w:r>
        <w:rPr>
          <w:vertAlign w:val="subscript"/>
        </w:rPr>
        <w:t xml:space="preserve">F</w:t>
      </w:r>
      <w:r>
        <w:t xml:space="preserve"> </w:t>
      </w:r>
      <w:r>
        <w:t xml:space="preserve">contributes σ/(2√π) per spin channel to −TS, about 0.02 eV at 0.005 Ry and 0.04 eV at 0.01 Ry; the term grows with the number of levels within σ of E</w:t>
      </w:r>
      <w:r>
        <w:rPr>
          <w:vertAlign w:val="subscript"/>
        </w:rPr>
        <w:t xml:space="preserve">F</w:t>
      </w:r>
      <w:r>
        <w:t xml:space="preserve"> </w:t>
      </w:r>
      <w:r>
        <w:t xml:space="preserve">and would have to reach several tenths of an eV to affect the spin-state comparisons of Section 3.3. The electronic self-consistency threshold was 1×10</w:t>
      </w:r>
      <w:r>
        <w:rPr>
          <w:vertAlign w:val="superscript"/>
        </w:rPr>
        <w:t xml:space="preserve">−8</w:t>
      </w:r>
      <w:r>
        <w:t xml:space="preserve"> </w:t>
      </w:r>
      <w:r>
        <w:t xml:space="preserve">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 The converged pristine-V</w:t>
      </w:r>
      <w:r>
        <w:rPr>
          <w:vertAlign w:val="subscript"/>
        </w:rPr>
        <w:t xml:space="preserve">O</w:t>
      </w:r>
      <w:r>
        <w:t xml:space="preserve"> </w:t>
      </w:r>
      <w:r>
        <w:t xml:space="preserve">relaxation started from 0.05 on Ti and O and ended non-magnetic (Section S1), and the self-consistent run preceding the Rb_VO projected densities of states started from 0.3 on Ti and reproduced the production Fermi energy (7.1329 eV). No magnetic start was tried for Pristine_perfect or, with U on Ti-3d only, for Pr_perfect. 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production Pristine_perfect energy (−4275.01530 Ry) is not from a relaxed geometry: the run log records it as a single-point calculation on the positions of the variable-cell relaxation of the conventional cell, with a residual maximum force of 0.0225 Ry/Bohr (0.58 eV/Å) in the 2×2×1 cell at Γ; the logged energy in eV converts to the same Rydberg value, and a from-scratch single point on the same positions reproduces it to 10</w:t>
      </w:r>
      <w:r>
        <w:rPr>
          <w:vertAlign w:val="superscript"/>
        </w:rPr>
        <w:t xml:space="preserve">−5</w:t>
      </w:r>
      <w:r>
        <w:t xml:space="preserve"> </w:t>
      </w:r>
      <w:r>
        <w:t xml:space="preserve">Ry (Table S2a). The doped perfect cells were relaxed after their unrelaxed single points were found to carry forces of 0.43–0.66 Ry/Bohr; the pristine perfect cell was not. Relaxing it would lower E(Pristine_perfect) and raise the pristine formation energy of Table 2, and the two reductions measured from it, by the relaxation energy, which was not computed (Section 5); the pristine E</w:t>
      </w:r>
      <w:r>
        <w:rPr>
          <w:vertAlign w:val="subscript"/>
        </w:rPr>
        <w:t xml:space="preserve">f</w:t>
      </w:r>
      <w:r>
        <w:t xml:space="preserve"> </w:t>
      </w:r>
      <w:r>
        <w:t xml:space="preserve">is therefore a lower bound, whereas the doped-cell formation energies and their contrast do not involve this cell. 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 forc_conv_thr was 0.005 Ry/Bohr for every relaxation; etot_conv_thr was not recorded (pw.x default 1×10</w:t>
      </w:r>
      <w:r>
        <w:rPr>
          <w:vertAlign w:val="superscript"/>
        </w:rPr>
        <w:t xml:space="preserve">−4</w:t>
      </w:r>
      <w:r>
        <w:t xml:space="preserve"> </w:t>
      </w:r>
      <w:r>
        <w:t xml:space="preserve">Ry unless set). This tolerance is looser than the 0.01–0.03 eV/Å commonly used for defect energetics, and its consequences are discussed in Section 5. The BFGS force histories are contained in the deposited output files.</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Pristine_perfect, Pr_VO and Rb_VO geometries of the production runs at U(Ti-3d) = 3.0, 4.0 and 4.5 eV. (iii) HSE06: one single-point calculation on the production Pristine_perfect geometry with exact-exchange fraction 0.25 and screening parameter 0.106 Bohr</w:t>
      </w:r>
      <w:r>
        <w:rPr>
          <w:vertAlign w:val="superscript"/>
        </w:rPr>
        <w:t xml:space="preserve">−1</w:t>
      </w:r>
      <w:r>
        <w:t xml:space="preserve"> </w:t>
      </w:r>
      <w:r>
        <w:t xml:space="preserve">[40,41], Γ-only, 40 Ry, without the Hubbard term. The recorded settings are input_dft =</w:t>
      </w:r>
      <w:r>
        <w:t xml:space="preserve"> </w:t>
      </w:r>
      <w:r>
        <w:t xml:space="preserve">‘</w:t>
      </w:r>
      <w:r>
        <w:t xml:space="preserve">hse</w:t>
      </w:r>
      <w:r>
        <w:t xml:space="preserve">’</w:t>
      </w:r>
      <w:r>
        <w:t xml:space="preserve">, exx_fraction = 0.25 and screening_parameter = 0.106 Bohr</w:t>
      </w:r>
      <w:r>
        <w:rPr>
          <w:vertAlign w:val="superscript"/>
        </w:rPr>
        <w:t xml:space="preserve">−1</w:t>
      </w:r>
      <w:r>
        <w:t xml:space="preserve"> </w:t>
      </w:r>
      <w:r>
        <w:t xml:space="preserve">(0.2 Å</w:t>
      </w:r>
      <w:r>
        <w:rPr>
          <w:vertAlign w:val="superscript"/>
        </w:rPr>
        <w:t xml:space="preserve">−1</w:t>
      </w:r>
      <w:r>
        <w:t xml:space="preserve">; Krukau et al. recommend 0.11 Bohr</w:t>
      </w:r>
      <w:r>
        <w:rPr>
          <w:vertAlign w:val="superscript"/>
        </w:rPr>
        <w:t xml:space="preserve">−1</w:t>
      </w:r>
      <w:r>
        <w:t xml:space="preserve"> </w:t>
      </w:r>
      <w:r>
        <w:t xml:space="preserve">[41]), with the same PAW datasets as the production runs; the run log records no other exact-exchange setting, so the q-grid, ecutfock and EXX threshold are taken to be the pw.x defaults.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 (iv) Dispersion: 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(v) Alternative vacancy sites: three additional Pr_VO cells with the vacancy at oxygen sites 1, 7 and 17 of the orchestration input (not the pw.x atom numbers used elsewhere). (vi) Bader analysis 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spin density.</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available, and the shortest Rb–O distance (2.54 Å) is 0.38 Å below the Shannon-radius sum for six-fold Rb</w:t>
      </w:r>
      <w:r>
        <w:rPr>
          <w:vertAlign w:val="superscript"/>
        </w:rPr>
        <w:t xml:space="preserve">+</w:t>
      </w:r>
      <w:r>
        <w:t xml:space="preserve">–O</w:t>
      </w:r>
      <w:r>
        <w:rPr>
          <w:vertAlign w:val="superscript"/>
        </w:rPr>
        <w:t xml:space="preserve">2−</w:t>
      </w:r>
      <w:r>
        <w:t xml:space="preserve"> </w:t>
      </w:r>
      <w:r>
        <w:t xml:space="preserve">(2.92 Å [26]), as for the short Pr–O distance noted in Section 2.3. The relaxed Pr_VO geometry was not analysed in the same way, because its output was not available for this revision. 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2971800"/>
            <wp:effectExtent b="0" l="0" r="0" t="0"/>
            <wp:docPr descr="" title="" id="21" name="Picture"/>
            <a:graphic>
              <a:graphicData uri="http://schemas.openxmlformats.org/drawingml/2006/picture">
                <pic:pic>
                  <pic:nvPicPr>
                    <pic:cNvPr descr="../figures/Fig1_structures_v4.png" id="22" name="Picture"/>
                    <pic:cNvPicPr>
                      <a:picLocks noChangeArrowheads="1" noChangeAspect="1"/>
                    </pic:cNvPicPr>
                  </pic:nvPicPr>
                  <pic:blipFill>
                    <a:blip r:embed="rId20"/>
                    <a:stretch>
                      <a:fillRect/>
                    </a:stretch>
                  </pic:blipFill>
                  <pic:spPr bwMode="auto">
                    <a:xfrm>
                      <a:off x="0" y="0"/>
                      <a:ext cx="5334000" cy="2971800"/>
                    </a:xfrm>
                    <a:prstGeom prst="rect">
                      <a:avLst/>
                    </a:prstGeom>
                    <a:noFill/>
                    <a:ln w="9525">
                      <a:noFill/>
                      <a:headEnd/>
                      <a:tailEnd/>
                    </a:ln>
                  </pic:spPr>
                </pic:pic>
              </a:graphicData>
            </a:graphic>
          </wp:inline>
        </w:drawing>
      </w:r>
    </w:p>
    <w:p>
      <w:pPr>
        <w:pStyle w:val="BodyText"/>
      </w:pPr>
      <w:r>
        <w:rPr>
          <w:iCs/>
          <w:i/>
        </w:rPr>
        <w:t xml:space="preserve">Figure 1.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Pr>
          <w:vertAlign w:val="subscript"/>
          <w:iCs/>
          <w:i/>
        </w:rPr>
        <w:t xml:space="preserve">B</w:t>
      </w:r>
      <w:r>
        <w:rPr>
          <w:iCs/>
          <w:i/>
        </w:rPr>
        <w:t xml:space="preserve">; Section 3.6, Figure S1). Grey: Ti; red: O; orange: Rb. Only atoms in the plane are drawn, so each Ti shows fewer than six bonds. Plotted from the pw.x output by figures/make_fig1_structures.py.</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a lower bound because the perfect reference cell was not relaxed (Section 2.6).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at least 3.45 eV for Pr and 8.81 eV for Rb (differences of the unrounded values; lower bounds for the same reason).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The 2×2×2 Pr_VO and Rb_VO energies are runs of the k-mesh series (Table S2a), which start from scratch and therefore include small offsets from the relaxation endpoints (Section 3.7). 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r>
              <w:t xml:space="preserve"> </w:t>
            </w:r>
            <w:r>
              <w:rPr>
                <w:vertAlign w:val="superscript"/>
              </w:rPr>
              <w:t xml:space="preserve">b</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rPr>
          <w:iCs/>
          <w:i/>
        </w:rPr>
        <w:t xml:space="preserve"> </w:t>
      </w:r>
      <w:r>
        <w:rPr>
          <w:vertAlign w:val="superscript"/>
          <w:iCs/>
          <w:i/>
        </w:rPr>
        <w:t xml:space="preserve">b</w:t>
      </w:r>
      <w:r>
        <w:rPr>
          <w:iCs/>
          <w:i/>
        </w:rPr>
        <w:t xml:space="preserve"> </w:t>
      </w:r>
      <w:r>
        <w:rPr>
          <w:iCs/>
          <w:i/>
        </w:rPr>
        <w:t xml:space="preserve">E(Pristine_perfect) is a single point on unrelaxed positions (F</w:t>
      </w:r>
      <w:r>
        <w:rPr>
          <w:vertAlign w:val="subscript"/>
          <w:iCs/>
          <w:i/>
        </w:rPr>
        <w:t xml:space="preserve">max</w:t>
      </w:r>
      <w:r>
        <w:rPr>
          <w:iCs/>
          <w:i/>
        </w:rPr>
        <w:t xml:space="preserve"> </w:t>
      </w:r>
      <w:r>
        <w:rPr>
          <w:iCs/>
          <w:i/>
        </w:rPr>
        <w:t xml:space="preserve">0.0225 Ry/Bohr, Section 2.6), so the pristine E</w:t>
      </w:r>
      <w:r>
        <w:rPr>
          <w:vertAlign w:val="subscript"/>
          <w:iCs/>
          <w:i/>
        </w:rPr>
        <w:t xml:space="preserve">f</w:t>
      </w:r>
      <w:r>
        <w:rPr>
          <w:iCs/>
          <w:i/>
        </w:rPr>
        <w:t xml:space="preserve"> </w:t>
      </w:r>
      <w:r>
        <w:rPr>
          <w:iCs/>
          <w:i/>
        </w:rPr>
        <w:t xml:space="preserve">is a lower bound.</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Pr>
          <w:vertAlign w:val="subscript"/>
        </w:rPr>
        <w:t xml:space="preserve">2</w:t>
      </w:r>
      <w:r>
        <w:t xml:space="preserve"> </w:t>
      </w:r>
      <w:r>
        <w:t xml:space="preserve">reference used here, a numerical comparison is not attempted, and the pristine value is used only as the internal reference for the two doped hosts. 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In smearing free energy (Section 2.4) it lies 0.281 eV above the non-magnetic energy logged with it for comparison and 0.394 eV above the final production energy (Table S9, runs 4, 24 and 25); this free energy includes a −TS term that favours fractionally occupied solutions. The non-magnetic solution is therefore the lower of the two solutions tested at this smearing, and a broader search over spin seeds and local distortions would be needed to establish it as the ground state. For Pr_VO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Pr>
          <w:vertAlign w:val="subscript"/>
        </w:rPr>
        <w:t xml:space="preserve">F</w:t>
      </w:r>
      <w:r>
        <w:t xml:space="preserve"> </w:t>
      </w:r>
      <w:r>
        <w:t xml:space="preserve">were not extracted from the outputs. 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 and the pristine V</w:t>
      </w:r>
      <w:r>
        <w:rPr>
          <w:vertAlign w:val="subscript"/>
        </w:rPr>
        <w:t xml:space="preserve">O</w:t>
      </w:r>
      <w:r>
        <w:t xml:space="preserve"> </w:t>
      </w:r>
      <w:r>
        <w:t xml:space="preserve">cell is non-magnetic (Section S1), in line with embedded coupled-cluster calculations that place the triplet of the neutral anatase vacancy 1.4 eV above a closed-shell colour-centre singlet [48].</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zero magnetisation on the final Rb_VO geometry, at the production U without and with the D3 term (Section 3.7) and at other U values (Table S1), converge instead to m = 1.00 μ</w:t>
      </w:r>
      <w:r>
        <w:rPr>
          <w:vertAlign w:val="subscript"/>
        </w:rPr>
        <w:t xml:space="preserve">B</w:t>
      </w:r>
      <w:r>
        <w:t xml:space="preserve">. The two solutions are nearly degenerate: the from-scratch Γ single point (m = 1.00 μ</w:t>
      </w:r>
      <w:r>
        <w:rPr>
          <w:vertAlign w:val="subscript"/>
        </w:rPr>
        <w:t xml:space="preserve">B</w:t>
      </w:r>
      <w:r>
        <w:t xml:space="preserve">, E</w:t>
      </w:r>
      <w:r>
        <w:rPr>
          <w:vertAlign w:val="subscript"/>
        </w:rPr>
        <w:t xml:space="preserve">F</w:t>
      </w:r>
      <w:r>
        <w:t xml:space="preserve"> </w:t>
      </w:r>
      <w:r>
        <w:t xml:space="preserve">= 7.120 eV) lies 6.4 meV above the last relaxation step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E</w:t>
      </w:r>
      <w:r>
        <w:rPr>
          <w:vertAlign w:val="subscript"/>
        </w:rPr>
        <w:t xml:space="preserve">F</w:t>
      </w:r>
      <w:r>
        <w:t xml:space="preserve"> </w:t>
      </w:r>
      <w:r>
        <w:t xml:space="preserve">= 7.133 eV; Tables S2a and S9). The self-consistent run that preceded the projected densities of states, started from 0.3 on Ti, reproduced the production Fermi energy to 0.1 meV, but the two solutions differ in E</w:t>
      </w:r>
      <w:r>
        <w:rPr>
          <w:vertAlign w:val="subscript"/>
        </w:rPr>
        <w:t xml:space="preserve">F</w:t>
      </w:r>
      <w:r>
        <w:t xml:space="preserve"> </w:t>
      </w:r>
      <w:r>
        <w:t xml:space="preserve">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Pr>
          <w:vertAlign w:val="subscript"/>
        </w:rPr>
        <w:t xml:space="preserve">B</w:t>
      </w:r>
      <w:r>
        <w:t xml:space="preserve"> </w:t>
      </w:r>
      <w:r>
        <w:t xml:space="preserve">in total), which accounts for essentially all of the 0.24 μ</w:t>
      </w:r>
      <w:r>
        <w:rPr>
          <w:vertAlign w:val="subscript"/>
        </w:rPr>
        <w:t xml:space="preserve">B</w:t>
      </w:r>
      <w:r>
        <w:t xml:space="preserve"> </w:t>
      </w:r>
      <w:r>
        <w:t xml:space="preserve">excess (m</w:t>
      </w:r>
      <w:r>
        <w:rPr>
          <w:vertAlign w:val="subscript"/>
        </w:rPr>
        <w:t xml:space="preserve">abs</w:t>
      </w:r>
      <w:r>
        <w:t xml:space="preserve"> </w:t>
      </w:r>
      <w:r>
        <w:t xml:space="preserve">− |m| is twice the integrated spin density of the minority sign).</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t xml:space="preserve">0.00</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7.40</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 to +0.39 eV</w:t>
            </w:r>
            <w:r>
              <w:t xml:space="preserve"> </w:t>
            </w:r>
            <w:r>
              <w:rPr>
                <w:vertAlign w:val="superscript"/>
              </w:rPr>
              <w:t xml:space="preserve">d</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7.35</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 (O-2p hole, Section 3.6)</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c</w:t>
      </w:r>
      <w:r>
        <w:rPr>
          <w:iCs/>
          <w:i/>
        </w:rPr>
        <w:t xml:space="preserve"> </w:t>
      </w:r>
      <w:r>
        <w:rPr>
          <w:iCs/>
          <w:i/>
        </w:rPr>
        <w:t xml:space="preserve">Reported as non-magnetic in Section S1; the printed m</w:t>
      </w:r>
      <w:r>
        <w:rPr>
          <w:vertAlign w:val="subscript"/>
          <w:iCs/>
          <w:i/>
        </w:rPr>
        <w:t xml:space="preserve">abs</w:t>
      </w:r>
      <w:r>
        <w:rPr>
          <w:iCs/>
          <w:i/>
        </w:rPr>
        <w:t xml:space="preserve"> </w:t>
      </w:r>
      <w:r>
        <w:rPr>
          <w:iCs/>
          <w:i/>
        </w:rPr>
        <w:t xml:space="preserve">and E</w:t>
      </w:r>
      <w:r>
        <w:rPr>
          <w:vertAlign w:val="subscript"/>
          <w:iCs/>
          <w:i/>
        </w:rPr>
        <w:t xml:space="preserve">F</w:t>
      </w:r>
      <w:r>
        <w:rPr>
          <w:iCs/>
          <w:i/>
        </w:rPr>
        <w:t xml:space="preserve"> </w:t>
      </w:r>
      <w:r>
        <w:rPr>
          <w:iCs/>
          <w:i/>
        </w:rPr>
        <w:t xml:space="preserve">were not recorded.</w:t>
      </w:r>
      <w:r>
        <w:rPr>
          <w:iCs/>
          <w:i/>
        </w:rPr>
        <w:t xml:space="preserve"> </w:t>
      </w:r>
      <w:r>
        <w:rPr>
          <w:vertAlign w:val="superscript"/>
          <w:iCs/>
          <w:i/>
        </w:rPr>
        <w:t xml:space="preserve">d</w:t>
      </w:r>
      <w:r>
        <w:rPr>
          <w:iCs/>
          <w:i/>
        </w:rPr>
        <w:t xml:space="preserve"> </w:t>
      </w:r>
      <w:r>
        <w:rPr>
          <w:iCs/>
          <w:i/>
        </w:rPr>
        <w:t xml:space="preserve">Relative to the non-magnetic energy logged with the trial (+0.281 eV) and to the final production energy (+0.394 eV).</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and Rb_perfect were relaxed; the Rb_VO relaxation had not completed when its result was logged, so the Rb_VO entry is preliminary (Table S5). The magnetisations logged for these runs are total magnetisations m. The dual-U Rb energies were logged in eV; converted with the factor the run spreadsheet uses throughout (13.605693 eV/Ry, which reproduces the four production cells logged in both units to 0.0006 eV), they are −4324.98591 Ry (Rb_perfect) and −4284.02974 Ry (Rb_VO, incomplete relaxation), and m</w:t>
      </w:r>
      <w:r>
        <w:rPr>
          <w:vertAlign w:val="subscript"/>
        </w:rPr>
        <w:t xml:space="preserve">abs</w:t>
      </w:r>
      <w:r>
        <w:t xml:space="preserve"> </w:t>
      </w:r>
      <w:r>
        <w:t xml:space="preserve">was not recorded for any dual-U run (Table S5). The results are collected in Table 4. The pristine control remains non-magnetic (m =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 = 1.00 to m = 3.00 μ</w:t>
      </w:r>
      <w:r>
        <w:rPr>
          <w:vertAlign w:val="subscript"/>
        </w:rPr>
        <w:t xml:space="preserve">B</w:t>
      </w:r>
      <w:r>
        <w:t xml:space="preserve">, i.e. the three formal holes of Table 1 become three parallel unpaired spins once the oxygen term is present (their localisation has not been established from site-projected moments); Rb_VO gives m = 1.00 μ</w:t>
      </w:r>
      <w:r>
        <w:rPr>
          <w:vertAlign w:val="subscript"/>
        </w:rPr>
        <w:t xml:space="preserve">B</w:t>
      </w:r>
      <w:r>
        <w:t xml:space="preserve"> </w:t>
      </w:r>
      <w:r>
        <w:t xml:space="preserve">(preliminary), the single residual hole after two have been filled by the vacancy electrons. Pr_perfect changes from the non-magnetic smeared solution to m =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 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magnetisation of the vacancy-free and vacancy-containing cells.</w:t>
      </w:r>
      <w:r>
        <w:t xml:space="preserve"> </w:t>
      </w:r>
      <w:r>
        <w:rPr>
          <w:iCs/>
          <w:i/>
        </w:rPr>
        <w:t xml:space="preserve">m: total magnetisation; m</w:t>
      </w:r>
      <w:r>
        <w:rPr>
          <w:vertAlign w:val="subscript"/>
          <w:iCs/>
          <w:i/>
        </w:rPr>
        <w:t xml:space="preserve">abs</w:t>
      </w:r>
      <w:r>
        <w:rPr>
          <w:iCs/>
          <w:i/>
        </w:rPr>
        <w:t xml:space="preserve">: absolute magnetisation (not recorded for the dual-U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 / 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 / 0.00</w:t>
            </w:r>
          </w:p>
        </w:tc>
        <w:tc>
          <w:tcPr/>
          <w:p>
            <w:pPr>
              <w:pStyle w:val="Compact"/>
              <w:jc w:val="left"/>
            </w:pPr>
            <w:r>
              <w:t xml:space="preserve">0.00 (single point)</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 / 0.00</w:t>
            </w:r>
          </w:p>
        </w:tc>
        <w:tc>
          <w:tcPr/>
          <w:p>
            <w:pPr>
              <w:pStyle w:val="Compact"/>
              <w:jc w:val="left"/>
            </w:pPr>
            <w:r>
              <w:t xml:space="preserve">1.00 (relaxed)</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 / 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 / 1.00</w:t>
            </w:r>
          </w:p>
        </w:tc>
        <w:tc>
          <w:tcPr/>
          <w:p>
            <w:pPr>
              <w:pStyle w:val="Compact"/>
              <w:jc w:val="left"/>
            </w:pPr>
            <w:r>
              <w:t xml:space="preserve">3.00 (relaxed)</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−0.97 / 1.21</w:t>
            </w:r>
          </w:p>
        </w:tc>
        <w:tc>
          <w:tcPr/>
          <w:p>
            <w:pPr>
              <w:pStyle w:val="Compact"/>
              <w:jc w:val="left"/>
            </w:pPr>
            <w:r>
              <w:t xml:space="preserve">1.00 (preliminary)</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Pr>
          <w:vertAlign w:val="subscript"/>
        </w:rPr>
        <w:t xml:space="preserve">abs</w:t>
      </w:r>
      <w:r>
        <w:t xml:space="preserve"> </w:t>
      </w:r>
      <w:r>
        <w:t xml:space="preserve">remain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magnitude of the total magnetisation rises from 0.97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the absolute magnetisation is 1.21 μ</w:t>
      </w:r>
      <w:r>
        <w:rPr>
          <w:vertAlign w:val="subscript"/>
        </w:rPr>
        <w:t xml:space="preserve">B</w:t>
      </w:r>
      <w:r>
        <w:t xml:space="preserve"> </w:t>
      </w:r>
      <w:r>
        <w:t xml:space="preserve">at q = 0 and 3.82 μ</w:t>
      </w:r>
      <w:r>
        <w:rPr>
          <w:vertAlign w:val="subscript"/>
        </w:rPr>
        <w:t xml:space="preserve">B</w:t>
      </w:r>
      <w:r>
        <w:t xml:space="preserve"> </w:t>
      </w:r>
      <w:r>
        <w:t xml:space="preserve">at q = +2 (not recorded at q = +1), so the charged cells also contain spin density of the opposite sign.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 m</w:t>
      </w:r>
      <w:r>
        <w:rPr>
          <w:vertAlign w:val="subscript"/>
        </w:rPr>
        <w:t xml:space="preserve">abs</w:t>
      </w:r>
      <w:r>
        <w:t xml:space="preserve"> </w:t>
      </w:r>
      <w:r>
        <w:t xml:space="preserve">was not recorded for the q = +1 cell. 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same Γ-only cell prints 7.89 eV in the production run and 8.24 eV in a single point of the k-mesh series at the same total energy, Table S2a). The differences (+2.10 eV for Pr_VO and −0.75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p>
    <w:p>
      <w:pPr>
        <w:pStyle w:val="BodyText"/>
      </w:pPr>
      <w:r>
        <w:rPr>
          <w:iCs/>
          <w:i/>
        </w:rPr>
        <w:t xml:space="preserve">Projected densities of states and site moments.</w:t>
      </w:r>
      <w:r>
        <w:t xml:space="preserve"> </w:t>
      </w:r>
      <w:r>
        <w:t xml:space="preserve">Figure 4 shows the spin-resolved projected densities of states of Pr_VO and Rb_VO from 2×2×2 non-self-consistent calculations on the relaxed cells (Section 2.8), and Figure S2 the spin-summed densities of states. In Pr_VO the O-2p valence band ends about 2.9 eV below E</w:t>
      </w:r>
      <w:r>
        <w:rPr>
          <w:vertAlign w:val="subscript"/>
        </w:rPr>
        <w:t xml:space="preserve">F</w:t>
      </w:r>
      <w:r>
        <w:t xml:space="preserve"> </w:t>
      </w:r>
      <w:r>
        <w:t xml:space="preserve">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Pr>
          <w:vertAlign w:val="subscript"/>
        </w:rPr>
        <w:t xml:space="preserve">F</w:t>
      </w:r>
      <w:r>
        <w:t xml:space="preserve"> </w:t>
      </w:r>
      <w:r>
        <w:t xml:space="preserve">− 0.6 eV and E</w:t>
      </w:r>
      <w:r>
        <w:rPr>
          <w:vertAlign w:val="subscript"/>
        </w:rPr>
        <w:t xml:space="preserve">F</w:t>
      </w:r>
      <w:r>
        <w:t xml:space="preserve"> </w:t>
      </w:r>
      <w:r>
        <w:t xml:space="preserve">because of the 0.136 eV Gaussian tails. Equal spin channels and Löwdin moments below 0.001 μ</w:t>
      </w:r>
      <w:r>
        <w:rPr>
          <w:vertAlign w:val="subscript"/>
        </w:rPr>
        <w:t xml:space="preserve">B</w:t>
      </w:r>
      <w:r>
        <w:t xml:space="preserve"> </w:t>
      </w:r>
      <w:r>
        <w:t xml:space="preserve">on every site follow from the m = 0 density on which this run is based (Section 3.3). The Pr-4f states are frozen in the core and cannot appear (Section 2.1). In Rb_VO the Fermi level lies at the top of the O-2p valence band and an empty state lies just above it in one spin channel only. In the eigenvalues it is a single minority-spin band 0.04–0.13 eV above E</w:t>
      </w:r>
      <w:r>
        <w:rPr>
          <w:vertAlign w:val="subscript"/>
        </w:rPr>
        <w:t xml:space="preserve">F</w:t>
      </w:r>
      <w:r>
        <w:t xml:space="preserve">, 2.5 eV below the next minority band; in the broadened DOS it carries 0.79 states between E</w:t>
      </w:r>
      <w:r>
        <w:rPr>
          <w:vertAlign w:val="subscript"/>
        </w:rPr>
        <w:t xml:space="preserve">F</w:t>
      </w:r>
      <w:r>
        <w:t xml:space="preserve"> </w:t>
      </w:r>
      <w:r>
        <w:t xml:space="preserve">and E</w:t>
      </w:r>
      <w:r>
        <w:rPr>
          <w:vertAlign w:val="subscript"/>
        </w:rPr>
        <w:t xml:space="preserve">F</w:t>
      </w:r>
      <w:r>
        <w:t xml:space="preserve"> </w:t>
      </w:r>
      <w:r>
        <w:t xml:space="preserve">+ 0.6 eV in the minority channel and none in the majority channel, 93 % of it O-2p (Ti-3d 5 %). This empty minority-spin band is the residual hole of Table 1. The Löwdin moments locate it (Figure S1, Section S2.2). Of the total of +1.01 μ</w:t>
      </w:r>
      <w:r>
        <w:rPr>
          <w:vertAlign w:val="subscript"/>
        </w:rPr>
        <w:t xml:space="preserve">B</w:t>
      </w:r>
      <w:r>
        <w:t xml:space="preserve">, +0.59 μ</w:t>
      </w:r>
      <w:r>
        <w:rPr>
          <w:vertAlign w:val="subscript"/>
        </w:rPr>
        <w:t xml:space="preserve">B</w:t>
      </w:r>
      <w:r>
        <w:t xml:space="preserve"> </w:t>
      </w:r>
      <w:r>
        <w:t xml:space="preserve">sits on a single oxygen, O8, and +0.11 μ</w:t>
      </w:r>
      <w:r>
        <w:rPr>
          <w:vertAlign w:val="subscript"/>
        </w:rPr>
        <w:t xml:space="preserve">B</w:t>
      </w:r>
      <w:r>
        <w:t xml:space="preserve"> </w:t>
      </w:r>
      <w:r>
        <w:t xml:space="preserve">on each of two further oxygens, O6 and O17; the oxygen sublattice carries +1.12 μ</w:t>
      </w:r>
      <w:r>
        <w:rPr>
          <w:vertAlign w:val="subscript"/>
        </w:rPr>
        <w:t xml:space="preserve">B</w:t>
      </w:r>
      <w:r>
        <w:t xml:space="preserve"> </w:t>
      </w:r>
      <w:r>
        <w:t xml:space="preserve">in total, the Ti sublattice −0.12 μ</w:t>
      </w:r>
      <w:r>
        <w:rPr>
          <w:vertAlign w:val="subscript"/>
        </w:rPr>
        <w:t xml:space="preserve">B</w:t>
      </w:r>
      <w:r>
        <w:t xml:space="preserve"> </w:t>
      </w:r>
      <w:r>
        <w:t xml:space="preserve">(at most −0.03 μ</w:t>
      </w:r>
      <w:r>
        <w:rPr>
          <w:vertAlign w:val="subscript"/>
        </w:rPr>
        <w:t xml:space="preserve">B</w:t>
      </w:r>
      <w:r>
        <w:t xml:space="preserve"> </w:t>
      </w:r>
      <w:r>
        <w:t xml:space="preserve">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Pr>
          <w:vertAlign w:val="superscript"/>
        </w:rPr>
        <w:t xml:space="preserve">3+</w:t>
      </w:r>
      <w:r>
        <w:t xml:space="preserve"> </w:t>
      </w:r>
      <w:r>
        <w:t xml:space="preserve">centre forms. Koopmans-compliant hybrid-functional calculations find that holes in bulk anatase self-trap on a single oxygen site [49,50]; the Rb_VO hole is consistent with that picture, here bound next to the dopant. Because the relaxation retained the mirror plane of the cell (Section 2.4), configurations in which the hole sits on only one oxygen of a mirror-related pair were not sampled. The sum of the magnitudes of the Löwdin moments (1.24 μ</w:t>
      </w:r>
      <w:r>
        <w:rPr>
          <w:vertAlign w:val="subscript"/>
        </w:rPr>
        <w:t xml:space="preserve">B</w:t>
      </w:r>
      <w:r>
        <w:t xml:space="preserve">) is close to m</w:t>
      </w:r>
      <w:r>
        <w:rPr>
          <w:vertAlign w:val="subscript"/>
        </w:rPr>
        <w:t xml:space="preserve">abs</w:t>
      </w:r>
      <w:r>
        <w:t xml:space="preserve"> </w:t>
      </w:r>
      <w:r>
        <w:t xml:space="preserve">(1.21 μ</w:t>
      </w:r>
      <w:r>
        <w:rPr>
          <w:vertAlign w:val="subscript"/>
        </w:rPr>
        <w:t xml:space="preserve">B</w:t>
      </w:r>
      <w:r>
        <w:t xml:space="preserve">). Löwdin moments depend on the projector basis, so these numbers locate the spin density rather than quantify it. The Kohn–Sham gap of Rb_VO from the non-self-consistent eigenvalues is 2.87 eV in the majority channel (valence-band top 0.22 eV below E</w:t>
      </w:r>
      <w:r>
        <w:rPr>
          <w:vertAlign w:val="subscript"/>
        </w:rPr>
        <w:t xml:space="preserve">F</w:t>
      </w:r>
      <w:r>
        <w:t xml:space="preserve">, conduction-band minimum 2.65 eV above it); in the broadened DOS of Pr_VO the valence-band top and the conduction-band onset are 2.46 eV apart at a threshold of 0.5 states eV</w:t>
      </w:r>
      <w:r>
        <w:rPr>
          <w:vertAlign w:val="superscript"/>
        </w:rPr>
        <w:t xml:space="preserve">−1</w:t>
      </w:r>
      <w:r>
        <w:t xml:space="preserve">, which underestimates the eigenvalue gap because of the broadening. In the run used for Figure 4 the net moment is positive, so the hole appears in the spin-down channel; the sign of m is arbitrary in a collinear calculation (the production relaxation has m = −0.97 μ</w:t>
      </w:r>
      <w:r>
        <w:rPr>
          <w:vertAlign w:val="subscript"/>
        </w:rPr>
        <w:t xml:space="preserve">B</w:t>
      </w:r>
      <w:r>
        <w:t xml:space="preserve">).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pPr>
        <w:pStyle w:val="BodyText"/>
      </w:pPr>
      <w:r>
        <w:drawing>
          <wp:inline>
            <wp:extent cx="5334000" cy="4510667"/>
            <wp:effectExtent b="0" l="0" r="0" t="0"/>
            <wp:docPr descr="" title="" id="30" name="Picture"/>
            <a:graphic>
              <a:graphicData uri="http://schemas.openxmlformats.org/drawingml/2006/picture">
                <pic:pic>
                  <pic:nvPicPr>
                    <pic:cNvPr descr="../figures/Fig4_PDOS_v4.png" id="31" name="Picture"/>
                    <pic:cNvPicPr>
                      <a:picLocks noChangeArrowheads="1" noChangeAspect="1"/>
                    </pic:cNvPicPr>
                  </pic:nvPicPr>
                  <pic:blipFill>
                    <a:blip r:embed="rId29"/>
                    <a:stretch>
                      <a:fillRect/>
                    </a:stretch>
                  </pic:blipFill>
                  <pic:spPr bwMode="auto">
                    <a:xfrm>
                      <a:off x="0" y="0"/>
                      <a:ext cx="5334000" cy="4510667"/>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(a) Pr_VO and (c) Rb_VO, with (b, d) the region within ±1 eV of E</w:t>
      </w:r>
      <w:r>
        <w:rPr>
          <w:vertAlign w:val="subscript"/>
          <w:iCs/>
          <w:i/>
        </w:rPr>
        <w:t xml:space="preserve">F</w:t>
      </w:r>
      <w:r>
        <w:rPr>
          <w:iCs/>
          <w:i/>
        </w:rPr>
        <w:t xml:space="preserve">,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Pr>
          <w:vertAlign w:val="subscript"/>
          <w:iCs/>
          <w:i/>
        </w:rPr>
        <w:t xml:space="preserve">F</w:t>
      </w:r>
      <w:r>
        <w:rPr>
          <w:iCs/>
          <w:i/>
        </w:rPr>
        <w:t xml:space="preserve"> </w:t>
      </w:r>
      <w:r>
        <w:rPr>
          <w:iCs/>
          <w:i/>
        </w:rPr>
        <w:t xml:space="preserve">for 0.5 electrons). In (d) the empty band just above E</w:t>
      </w:r>
      <w:r>
        <w:rPr>
          <w:vertAlign w:val="subscript"/>
          <w:iCs/>
          <w:i/>
        </w:rPr>
        <w:t xml:space="preserve">F</w:t>
      </w:r>
      <w:r>
        <w:rPr>
          <w:iCs/>
          <w:i/>
        </w:rPr>
        <w:t xml:space="preserve"> </w:t>
      </w:r>
      <w:r>
        <w:rPr>
          <w:iCs/>
          <w:i/>
        </w:rPr>
        <w:t xml:space="preserve">(0.04–0.13 eV in the eigenvalues) appears in the spin-down channel only (93 % O-2p; broadened weight 0.79 states between E</w:t>
      </w:r>
      <w:r>
        <w:rPr>
          <w:vertAlign w:val="subscript"/>
          <w:iCs/>
          <w:i/>
        </w:rPr>
        <w:t xml:space="preserve">F</w:t>
      </w:r>
      <w:r>
        <w:rPr>
          <w:iCs/>
          <w:i/>
        </w:rPr>
        <w:t xml:space="preserve"> </w:t>
      </w:r>
      <w:r>
        <w:rPr>
          <w:iCs/>
          <w:i/>
        </w:rPr>
        <w:t xml:space="preserve">and +0.6 eV). Plotted without smoothing from the summed projwfc.x output by figures/make_pdos_figures.py.</w:t>
      </w:r>
    </w:p>
    <w:p>
      <w:pPr>
        <w:pStyle w:val="BodyText"/>
      </w:pPr>
      <w:r>
        <w:rPr>
          <w:iCs/>
          <w:i/>
        </w:rPr>
        <w:t xml:space="preserve">Hybrid-functional check on the pristine cell.</w:t>
      </w:r>
      <w:r>
        <w:t xml:space="preserve"> </w:t>
      </w:r>
      <w:r>
        <w:t xml:space="preserve">A single-point HSE06 calculation on the production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production Pristine_perfect, Pr_VO and Rb_VO geometries (Table S1) leave the magnetisations unchanged in kind. Pr_VO is non-magnetic at every U, and Rb_VO carries one unpaired spin at every U (m = 1.00 μ</w:t>
      </w:r>
      <w:r>
        <w:rPr>
          <w:vertAlign w:val="subscript"/>
        </w:rPr>
        <w:t xml:space="preserve">B</w:t>
      </w:r>
      <w:r>
        <w:t xml:space="preserve"> </w:t>
      </w:r>
      <w:r>
        <w:t xml:space="preserve">in the from-scratch single points, versus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w:t>
      </w:r>
      <w:r>
        <w:t xml:space="preserve">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A complete formation-energy cycle exists only at Γ and, for the doped hosts, at 2×2×2. The total magnetisations are mesh-independent: 0.00 μ</w:t>
      </w:r>
      <w:r>
        <w:rPr>
          <w:vertAlign w:val="subscript"/>
        </w:rPr>
        <w:t xml:space="preserve">B</w:t>
      </w:r>
      <w:r>
        <w:t xml:space="preserve"> </w:t>
      </w:r>
      <w:r>
        <w:t xml:space="preserve">for Pristine_perfect and Pr_VO and 0.99–1.00 μ</w:t>
      </w:r>
      <w:r>
        <w:rPr>
          <w:vertAlign w:val="subscript"/>
        </w:rPr>
        <w:t xml:space="preserve">B</w:t>
      </w:r>
      <w:r>
        <w:t xml:space="preserve"> </w:t>
      </w:r>
      <w:r>
        <w:t xml:space="preserve">for Rb_VO at every mesh, the latter being the from-scratch Rb_VO solution of Section 3.3.</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Pr>
          <w:vertAlign w:val="superscript"/>
        </w:rPr>
        <w:t xml:space="preserve">−5</w:t>
      </w:r>
      <w:r>
        <w:t xml:space="preserve"> </w:t>
      </w:r>
      <w:r>
        <w:t xml:space="preserve">Ry, to the from-scratch Γ single point of the k-mesh series (Table S2a), so the offset is common to the from-scratch single points and is not caused by the D3 term; its origin (a different smeared solution, a smearing difference or the manually stopped relaxation) has not been established.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 =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production solution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w:t>
      </w:r>
    </w:p>
    <w:p>
      <w:pPr>
        <w:pStyle w:val="BodyText"/>
      </w:pPr>
      <w:r>
        <w:rPr>
          <w:iCs/>
          <w:i/>
        </w:rPr>
        <w:t xml:space="preserve">Alternative vacancy sites in the Pr cell.</w:t>
      </w:r>
      <w:r>
        <w:t xml:space="preserve"> </w:t>
      </w:r>
      <w:r>
        <w:t xml:space="preserve">Three further Pr_VO cells were relaxed with the vacancy at oxygen sites 1, 7 and 17 of the orchestration input (Table S4; these labels are not the pw.x atom numbers used elsewhere). Sites 1 and 17 are symmetry-equivalent second-shell positions (Pr–O = 3.99 Å) and give E</w:t>
      </w:r>
      <w:r>
        <w:rPr>
          <w:vertAlign w:val="subscript"/>
        </w:rPr>
        <w:t xml:space="preserve">f</w:t>
      </w:r>
      <w:r>
        <w:t xml:space="preserve"> </w:t>
      </w:r>
      <w:r>
        <w:t xml:space="preserve">= +2.07 eV each, agreeing to 0.1 meV; the more distant site 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pPr>
        <w:pStyle w:val="BodyText"/>
      </w:pPr>
      <w:r>
        <w:rPr>
          <w:iCs/>
          <w:i/>
        </w:rPr>
        <w:t xml:space="preserve">Bader charges.</w:t>
      </w:r>
      <w:r>
        <w:t xml:space="preserve"> </w:t>
      </w:r>
      <w:r>
        <w:t xml:space="preserve">Bader analysis of the relaxed Pr_VO and Rb_VO cells (Table S3) places 8.96 e on Pr and 8.13 e on Rb, i.e. charges of +2.04 e and +0.87 e relative to the PAW valence (±0.03 e; values implied by the recorded electron totals and sublattice means, Table S3), consistent with the +3 and +1 formal states after the usual reduction of Bader charges relative to formal values. The per-atom populations were not re-extracted for this revision, so the dopant values are those implied by the recorded totals and sublattice means; grid convergence of the Bader charges was not tested (Section 2.8). Relative to the Pr_VO cell, the 31 oxygen atoms of Rb_VO hold 0.97 e less in total, with the depletion concentrated on one oxygen bonded to the displaced Rb ion (−0.26 e, O8; Rb–O8 = 2.56 Å, 3.39 Å from the vacant site) and a second oxygen (−0.14 e, O30; 3.07 Å from Rb), with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Pr>
          <w:vertAlign w:val="subscript"/>
        </w:rPr>
        <w:t xml:space="preserve">B</w:t>
      </w:r>
      <w:r>
        <w:t xml:space="preserve">). A same-composition comparison (Rb_VO at q = 0 versus q = +1, or the spin density itself) would be more direct.</w:t>
      </w:r>
    </w:p>
    <w:p>
      <w:pPr>
        <w:pStyle w:val="BodyText"/>
      </w:pPr>
      <w:r>
        <w:rPr>
          <w:iCs/>
          <w:i/>
        </w:rPr>
        <w:t xml:space="preserve">Uncertainty of the main results.</w:t>
      </w:r>
      <w:r>
        <w:t xml:space="preserve"> </w:t>
      </w:r>
      <w:r>
        <w:t xml:space="preserve">Of the numerical settings, only the k-mesh was varied for the formation energies: it shifts the individual values by 0.10–0.14 eV and the Pr–Rb contrast by 0.04 eV, an amount that the from-scratch offsets of the 2×2×2 single points could account for. The plane-wave cut-off, the smearing entropy, the residual forces, the supercell size and the oxygen-reference error were not quantified (Section 5). The O</w:t>
      </w:r>
      <w:r>
        <w:rPr>
          <w:vertAlign w:val="subscript"/>
        </w:rPr>
        <w:t xml:space="preserve">2</w:t>
      </w:r>
      <w:r>
        <w:t xml:space="preserve"> </w:t>
      </w:r>
      <w:r>
        <w:t xml:space="preserve">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the latter also to the relaxation status of the pristine perfect cell (Section 2.6).</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(at least 3.45 eV for one electron in the Pr cell and 8.81 eV for two in the Rb cell; lower bounds because the pristine reference cell is unrelaxed, Section 2.6) are of that order but not equal per electron. The Kohn–Sham gap of the Rb_VO cell is 2.87 eV and the band separation in the broadened densities of states of Pr_VO about 2.5 eV (Section 3.6), both smaller than either per-electron reduction (3.45 eV for Pr, 4.40 eV per electron for Rb), so electron transfer across the gap does not account for the reductions on its own. The remainder would have to come from other contributions, for example the electrostatic interaction between the vacancy and the dopant, which the dependence of E</w:t>
      </w:r>
      <w:r>
        <w:rPr>
          <w:vertAlign w:val="subscript"/>
        </w:rPr>
        <w:t xml:space="preserve">f</w:t>
      </w:r>
      <w:r>
        <w:t xml:space="preserve"> </w:t>
      </w:r>
      <w:r>
        <w:t xml:space="preserve">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at least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For Rb the formation energy is negative already at the oxygen-rich limit and decreases further as μ</w:t>
      </w:r>
      <w:r>
        <w:rPr>
          <w:vertAlign w:val="subscript"/>
        </w:rPr>
        <w:t xml:space="preserve">O</w:t>
      </w:r>
      <w:r>
        <w:t xml:space="preserve"> </w:t>
      </w:r>
      <w:r>
        <w:t xml:space="preserve">is lowered, so a vacancy-free Rb</w:t>
      </w:r>
      <w:r>
        <w:rPr>
          <w:vertAlign w:val="subscript"/>
        </w:rPr>
        <w:t xml:space="preserve">Ti</w:t>
      </w:r>
      <w:r>
        <w:t xml:space="preserve"> </w:t>
      </w:r>
      <w:r>
        <w:t xml:space="preserve">cell is not a stable reference at any oxygen chemical potential at which TiO</w:t>
      </w:r>
      <w:r>
        <w:rPr>
          <w:vertAlign w:val="subscript"/>
        </w:rPr>
        <w:t xml:space="preserve">2</w:t>
      </w:r>
      <w:r>
        <w:t xml:space="preserve"> </w:t>
      </w:r>
      <w:r>
        <w:t xml:space="preserve">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[26]),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channel exists: the Rb ion lies 1.27 Å off its ideal site, in the space vacated by the adjacent oxygen (Section 3.1), but the energy of this relaxation has not been separated from the electronic contribution, and the corresponding Pr geometry has not been analysed.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[26])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 =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Γ-only total energies lie 22–25 meV per atom below the 3×3×2 values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The production pristine perfect cell was not relaxed (residual force 0.0225 Ry/Bohr, Section 2.6), so the pristine formation energy and the two reductions measured from it are lower bounds, short by its relaxation energy, which was not computed. The effect of tighter relaxation on the energetics and on the localisation results has not been tested. (v)</w:t>
      </w:r>
      <w:r>
        <w:t xml:space="preserve"> </w:t>
      </w:r>
      <w:r>
        <w:rPr>
          <w:iCs/>
          <w:i/>
        </w:rPr>
        <w:t xml:space="preserve">Spin search.</w:t>
      </w:r>
      <w:r>
        <w:t xml:space="preserve"> </w:t>
      </w:r>
      <w:r>
        <w:t xml:space="preserve">The production relaxations of the doped cells started from zero magnetisation (the pristine V</w:t>
      </w:r>
      <w:r>
        <w:rPr>
          <w:vertAlign w:val="subscript"/>
        </w:rPr>
        <w:t xml:space="preserve">O</w:t>
      </w:r>
      <w:r>
        <w:t xml:space="preserve"> </w:t>
      </w:r>
      <w:r>
        <w:t xml:space="preserve">cell from 0.05; Section 2.5), and one magnetic trial was performed, for Pr_VO; occupations, smearing and symmetry settings were not varied, and two spin solutions of Rb_VO were found that differ by 6.4 meV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(whose relaxation was not completed when logged)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Pr and Rb oxides were not evaluated, and the O</w:t>
      </w:r>
      <w:r>
        <w:rPr>
          <w:vertAlign w:val="subscript"/>
        </w:rPr>
        <w:t xml:space="preserve">2</w:t>
      </w:r>
      <w:r>
        <w:t xml:space="preserve"> </w:t>
      </w:r>
      <w:r>
        <w:t xml:space="preserve">overbinding of PBE was not corrected; no statement about the synthesisable phase of Rb-doped anatase is therefore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(including Rb interstitials, a plausible alternative for a large monovalent ion), surface sites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Charge and spin analysis.</w:t>
      </w:r>
      <w:r>
        <w:t xml:space="preserve"> </w:t>
      </w:r>
      <w:r>
        <w:t xml:space="preserve">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so hole configurations that break it were not sampled; for Pr_perfect and the dual-U cells no site-resolved analysis exists.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a lower bound, because the perfect reference cell was not relaxed),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In Rb_VO the residual hole is an empty minority-spin O-2p band whose Löwdin moment sits mainly on one oxygen bonded to the Rb ion (0.59 of 1.01 μ</w:t>
      </w:r>
      <w:r>
        <w:rPr>
          <w:vertAlign w:val="subscript"/>
        </w:rPr>
        <w:t xml:space="preserve">B</w:t>
      </w:r>
      <w:r>
        <w:t xml:space="preserve">), and the Rb ion lies 1.27 Å off its ideal site towards the vacancy;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 Wen, B.; Ge, Q.; Wei, X.; Teobaldi, G.; Liu, L.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Hu, X.; Li, J.; Liu, E.; Fan, J. Multi-Level Trapped Electrons System in Enhancing Photocatalytic Activity of TiO2 Nanosheets for Simultaneous Reduction of Cr(VI) and RhB Degradation. Appl. Surf. Sci. 2020, 503,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Chen, W.; Yuan, P.; Zhang, S.; Sun, Q.; Liang, E.; Jia, Y. Electronic Properties of Anatase TiO2 Doped by Lanthanides: A DFT+U Study. Physica B 2012, 407, 1038–1043. DOI: 10.1016/j.physb.2012.01.085.</w:t>
      </w:r>
    </w:p>
    <w:p>
      <w:pPr>
        <w:pStyle w:val="BodyText"/>
      </w:pPr>
      <w:r>
        <w:t xml:space="preserve">[20]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[21] Chen, H.; Yao, L.; Yang, S.; Wang, Y.; Liang, X.; Huang, Y. First-Principles Study on Electronic and Optical Properties in Pr-Doped Anatase TiO2. Adv. Mater. Res. 2014, 924, 260–268. DOI: 10.4028/www.scientific.net/AMR.924.260.</w:t>
      </w:r>
    </w:p>
    <w:p>
      <w:pPr>
        <w:pStyle w:val="BodyText"/>
      </w:pPr>
      <w:r>
        <w:t xml:space="preserve">[22] Polliotto, V.; Albanese, E.; Livraghi, S.; Agnoli, S.; Pacchioni, G.; Giamello, E. Structural, Electronic and Photochemical Properties of Cerium-Doped Zirconium Titanate. Catal. Today 2020, 340, 49–57. DOI: 10.1016/j.cattod.2018.09.026.</w:t>
      </w:r>
    </w:p>
    <w:p>
      <w:pPr>
        <w:pStyle w:val="BodyText"/>
      </w:pPr>
      <w:r>
        <w:t xml:space="preserve">[23]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[24] Bahmanrokh, G.; Cazorla, C.; Mofarah, S. S.; Shahmiri, R.; Yao, Y.; Ismail, I.; Chen, W.-F.; Koshy, P.; Sorrell, C. C. Band Gap Engineering of Ce-Doped Anatase TiO2 through Solid Solubility Mechanisms and New Defect Equilibria Formalism. Nanoscale 2020, 12, 4916–4934. DOI: 10.1039/c9nr08604h.</w:t>
      </w:r>
    </w:p>
    <w:p>
      <w:pPr>
        <w:pStyle w:val="BodyText"/>
      </w:pPr>
      <w:r>
        <w:t xml:space="preserve">[25] Vural, K. B.; Kaderoğlu, Ç.; Ellialtıoğlu, Ş. Density Functional Theory Investigation of Pr Adsorption on the Anatase TiO2(101) Surface for Photovoltaic Applications. Appl. Surf. Sci. 2023, 613, 156042. DOI: 10.1016/j.apsusc.2022.156042.</w:t>
      </w:r>
    </w:p>
    <w:p>
      <w:pPr>
        <w:pStyle w:val="BodyText"/>
      </w:pPr>
      <w:r>
        <w:t xml:space="preserve">[26] Shannon, R. D. Revised Effective Ionic Radii and Systematic Studies of Interatomic Distances in Halides and Chalcogenides. Acta Crystallogr., Sect. A 1976, 32, 751–767. DOI: 10.1107/S0567739476001551.</w:t>
      </w:r>
    </w:p>
    <w:p>
      <w:pPr>
        <w:pStyle w:val="BodyText"/>
      </w:pPr>
      <w:r>
        <w:t xml:space="preserve">[27]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[28] Kröger, F. A.; Vink, H. J. Relations between the Concentrations of Imperfections in Crystalline Solids. Solid State Phys. 1956, 3, 307–435. DOI: 10.1016/S0081-1947(08)60135-6.</w:t>
      </w:r>
    </w:p>
    <w:p>
      <w:pPr>
        <w:pStyle w:val="BodyText"/>
      </w:pPr>
      <w:r>
        <w:t xml:space="preserve">[29] Giannozzi, P.; Andreussi, O.; Brumme, T.; Bunau, O.; et al. Advanced Capabilities for Materials Modelling with Quantum ESPRESSO. J. Phys.: Condens. Matter 2017, 29, 465901. DOI: 10.1088/1361-648X/aa8f79.</w:t>
      </w:r>
    </w:p>
    <w:p>
      <w:pPr>
        <w:pStyle w:val="BodyText"/>
      </w:pPr>
      <w:r>
        <w:t xml:space="preserve">[30] Giannozzi, P.; Baseggio, O.; Bonfà, P.; Brunato, D.; et al. Quantum ESPRESSO toward the Exascale. J. Chem. Phys. 2020, 152, 154105. DOI: 10.1063/5.0005082.</w:t>
      </w:r>
    </w:p>
    <w:p>
      <w:pPr>
        <w:pStyle w:val="BodyText"/>
      </w:pPr>
      <w:r>
        <w:t xml:space="preserve">[31] Perdew, J. P.; Burke, K.; Ernzerhof, M. Generalized Gradient Approximation Made Simple. Phys. Rev. Lett. 1996, 77, 3865–3868. DOI: 10.1103/PhysRevLett.77.3865.</w:t>
      </w:r>
    </w:p>
    <w:p>
      <w:pPr>
        <w:pStyle w:val="BodyText"/>
      </w:pPr>
      <w:r>
        <w:t xml:space="preserve">[32]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[33] Dudarev, S. L.; Botton, G. A.; Savrasov, S. Y.; Humphreys, C. J.; Sutton, A. P. Electron-Energy-Loss Spectra and the Structural Stability of Nickel Oxide: An LSDA+U Study. Phys. Rev. B 1998, 57, 1505–1509. DOI: 10.1103/PhysRevB.57.1505.</w:t>
      </w:r>
    </w:p>
    <w:p>
      <w:pPr>
        <w:pStyle w:val="BodyText"/>
      </w:pPr>
      <w:r>
        <w:t xml:space="preserve">[34] Orhan, O. K.; O’Regan, D. D. First-Principles Hubbard U and Hund’s J Corrected Approximate Density Functional Theory Predicts an Accurate Fundamental Gap in Rutile and Anatase TiO2. Phys. Rev. B 2020, 101, 245137. DOI: 10.1103/PhysRevB.101.245137.</w:t>
      </w:r>
    </w:p>
    <w:p>
      <w:pPr>
        <w:pStyle w:val="BodyText"/>
      </w:pPr>
      <w:r>
        <w:t xml:space="preserve">[35] Morgan, B. J.; Watson, G. W. A DFT+U Description of Oxygen Vacancies at the TiO2 Rutile (110) Surface. Surf. Sci. 2007, 601, 5034–5041. DOI: 10.1016/j.susc.2007.08.025.</w:t>
      </w:r>
    </w:p>
    <w:p>
      <w:pPr>
        <w:pStyle w:val="BodyText"/>
      </w:pPr>
      <w:r>
        <w:t xml:space="preserve">[36] Anisimov, V. I.; Zaanen, J.; Andersen, O. K. Band Theory and Mott Insulators: Hubbard U Instead of Stoner I. Phys. Rev. B 1991, 44, 943–954. DOI: 10.1103/PhysRevB.44.943.</w:t>
      </w:r>
    </w:p>
    <w:p>
      <w:pPr>
        <w:pStyle w:val="BodyText"/>
      </w:pPr>
      <w:r>
        <w:t xml:space="preserve">[37] Cococcioni, M.; de Gironcoli, S. Linear Response Approach to the Calculation of the Effective Interaction Parameters in the LDA+U Method. Phys. Rev. B 2005, 71, 035105. DOI: 10.1103/PhysRevB.71.035105.</w:t>
      </w:r>
    </w:p>
    <w:p>
      <w:pPr>
        <w:pStyle w:val="BodyText"/>
      </w:pPr>
      <w:r>
        <w:t xml:space="preserve">[38] Falletta, S.; Pasquarello, A. Hubbard U through Polaronic Defect States. arXiv:2209.11341 [cond-mat.mtrl-sci], 2022.</w:t>
      </w:r>
    </w:p>
    <w:p>
      <w:pPr>
        <w:pStyle w:val="BodyText"/>
      </w:pPr>
      <w:r>
        <w:t xml:space="preserve">[39] Freysoldt, C.; Grabowski, B.; Hickel, T.; Neugebauer, J.; Kresse, G.; Janotti, A.; Van de Walle, C. G. First-Principles Calculations for Point Defects in Solids. Rev. Mod. Phys. 2014, 86, 253–305. DOI: 10.1103/RevModPhys.86.253.</w:t>
      </w:r>
    </w:p>
    <w:p>
      <w:pPr>
        <w:pStyle w:val="BodyText"/>
      </w:pPr>
      <w:r>
        <w:t xml:space="preserve">[40] Heyd, J.; Scuseria, G. E.; Ernzerhof, M. Hybrid Functionals Based on a Screened Coulomb Potential. J. Chem. Phys. 2003, 118, 8207–8215. DOI: 10.1063/1.1564060.</w:t>
      </w:r>
    </w:p>
    <w:p>
      <w:pPr>
        <w:pStyle w:val="BodyText"/>
      </w:pPr>
      <w:r>
        <w:t xml:space="preserve">[41] Krukau, A. V.; Vydrov, O. A.; Izmaylov, A. F.; Scuseria, G. E. Influence of the Exchange Screening Parameter on the Performance of Screened Hybrid Functionals. J. Chem. Phys. 2006, 125, 224106. DOI: 10.1063/1.2404663.</w:t>
      </w:r>
    </w:p>
    <w:p>
      <w:pPr>
        <w:pStyle w:val="BodyText"/>
      </w:pPr>
      <w:r>
        <w:t xml:space="preserve">[42] Grimme, S.; Antony, J.; Ehrlich, S.; Krieg, H. A Consistent and Accurate Ab Initio Parametrization of Density Functional Dispersion Correction (DFT-D) for the 94 Elements H–Pu. J. Chem. Phys. 2010, 132, 154104. DOI: 10.1063/1.3382344.</w:t>
      </w:r>
    </w:p>
    <w:p>
      <w:pPr>
        <w:pStyle w:val="BodyText"/>
      </w:pPr>
      <w:r>
        <w:t xml:space="preserve">[43] Grimme, S.; Ehrlich, S.; Goerigk, L. Effect of the Damping Function in Dispersion Corrected Density Functional Theory. J. Comput. Chem. 2011, 32, 1456–1465. DOI: 10.1002/jcc.21759.</w:t>
      </w:r>
    </w:p>
    <w:p>
      <w:pPr>
        <w:pStyle w:val="BodyText"/>
      </w:pPr>
      <w:r>
        <w:t xml:space="preserve">[44] Torres, A. E.; Rodríguez-Pineda, J.; Zanella, R. Relevance of Dispersion and the Electronic Spin in the DFT+U Approach for the Description of Pristine and Defective TiO2 Anatase. ACS Omega 2021, 6, 23170–23180. DOI: 10.1021/acsomega.1c02761.</w:t>
      </w:r>
    </w:p>
    <w:p>
      <w:pPr>
        <w:pStyle w:val="BodyText"/>
      </w:pPr>
      <w:r>
        <w:t xml:space="preserve">[45] Henkelman, G.; Arnaldsson, A.; Jónsson, H. A Fast and Robust Algorithm for Bader Decomposition of Charge Density. Comput. Mater. Sci. 2006, 36, 354–360. DOI: 10.1016/j.commatsci.2005.04.010.</w:t>
      </w:r>
    </w:p>
    <w:p>
      <w:pPr>
        <w:pStyle w:val="BodyText"/>
      </w:pPr>
      <w:r>
        <w:t xml:space="preserve">[46] Tang, W.; Sanville, E.; Henkelman, G. A Grid-Based Bader Analysis Algorithm without Lattice Bias. J. Phys.: Condens. Matter 2009, 21, 084204. DOI: 10.1088/0953-8984/21/8/084204.</w:t>
      </w:r>
    </w:p>
    <w:p>
      <w:pPr>
        <w:pStyle w:val="BodyText"/>
      </w:pPr>
      <w:r>
        <w:t xml:space="preserve">[47] Boonchun, A.; Reunchan, P.; Umezawa, N. Energetics of Native Defects in Anatase TiO2: A Hybrid Density Functional Study. Phys. Chem. Chem. Phys. 2016, 18, 30040–30046. DOI: 10.1039/c6cp05798e.</w:t>
      </w:r>
    </w:p>
    <w:p>
      <w:pPr>
        <w:pStyle w:val="BodyText"/>
      </w:pPr>
      <w:r>
        <w:t xml:space="preserve">[48] Chen, J.; Bogdanov, N. A.; Usvyat, D.; Fang, W.; Michaelides, A.; Alavi, A. The Color Center Singlet State of Oxygen Vacancies in TiO2. arXiv:2011.03269 [cond-mat.mtrl-sci], 2020.</w:t>
      </w:r>
    </w:p>
    <w:p>
      <w:pPr>
        <w:pStyle w:val="BodyText"/>
      </w:pPr>
      <w:r>
        <w:t xml:space="preserve">[49] McBride, S.; Chen, W.; Ćuk, T.; Hautier, G. Do Small Hole Polarons Form in Bulk Rutile TiO2? arXiv:2410.21452 [cond-mat.mtrl-sci], 2024.</w:t>
      </w:r>
    </w:p>
    <w:p>
      <w:pPr>
        <w:pStyle w:val="BodyText"/>
      </w:pPr>
      <w:r>
        <w:t xml:space="preserve">[50] Ahart, C. S.; Li, D.; Blumberger, J.; Liu, S. Polaron Transport in TiO2 from Machine Learning Molecular Dynamics. arXiv:2606.01763 [cond-mat.mtrl-sci], 2026.</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2026-10-04T23:41:23Z</dcterms:created>
  <dcterms:modified xsi:type="dcterms:W3CDTF">2026-10-04T23:41:23Z</dcterms:modified>
</cp:coreProperties>
</file>

<file path=docProps/custom.xml><?xml version="1.0" encoding="utf-8"?>
<Properties xmlns="http://schemas.openxmlformats.org/officeDocument/2006/custom-properties" xmlns:vt="http://schemas.openxmlformats.org/officeDocument/2006/docPropsVTypes"/>
</file>