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b65a3a1b2f930a353daa5760acb4fdbebfc079"/>
    <w:p>
      <w:pPr>
        <w:pStyle w:val="Heading1"/>
      </w:pPr>
      <w:r>
        <w:t xml:space="preserve">Editorial pass log — v4 manuscript (2 October 2026)</w:t>
      </w:r>
    </w:p>
    <w:p>
      <w:pPr>
        <w:pStyle w:val="FirstParagraph"/>
      </w:pPr>
      <w:r>
        <w:t xml:space="preserve">Two Fable 5.1 review lenses completed before the session usage limit interrupted the run: a handling-editor screen (ED) and a computational-methods referee (CM). The defect-chemistry, copy-editing, citation and SI-consistency lenses and the automated verifiers did not run; the findings below were therefore verified and applied by hand against the source files, with the constraint that no computed value was changed (checked with tools_check_numbers.py). Figures that depend on raw data were patched at the label level only and remain flagged for regeneration.</w:t>
      </w:r>
    </w:p>
    <w:p>
      <w:pPr>
        <w:pStyle w:val="BodyText"/>
      </w:pPr>
      <w:r>
        <w:t xml:space="preserve">Severity: desk reject = an editor would return the paper without review; major = a referee would require revision; minor = clarity or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ED-01</w:t>
            </w:r>
          </w:p>
        </w:tc>
        <w:tc>
          <w:tcPr/>
          <w:p>
            <w:pPr>
              <w:pStyle w:val="Compact"/>
              <w:jc w:val="left"/>
            </w:pPr>
            <w:r>
              <w:t xml:space="preserve">desk reject</w:t>
            </w:r>
          </w:p>
        </w:tc>
        <w:tc>
          <w:tcPr/>
          <w:p>
            <w:pPr>
              <w:pStyle w:val="Compact"/>
              <w:jc w:val="left"/>
            </w:pPr>
            <w:r>
              <w:t xml:space="preserve">part1</w:t>
            </w:r>
          </w:p>
        </w:tc>
        <w:tc>
          <w:tcPr/>
          <w:p>
            <w:pPr>
              <w:pStyle w:val="Compact"/>
              <w:jc w:val="left"/>
            </w:pPr>
            <w:r>
              <w:t xml:space="preserve">The abstract is 331 words (counted by script), well over Elsevier’s ~250-word cap for Applied Surface Science. It also contains an internal contradiction:</w:t>
            </w:r>
            <w:r>
              <w:t xml:space="preserve"> </w:t>
            </w:r>
            <w:r>
              <w:t xml:space="preserve">‘</w:t>
            </w:r>
            <w:r>
              <w:t xml:space="preserve">unpaired spin in every treatment tested (absolute magnetisation 1.00–1.21 μB)</w:t>
            </w:r>
            <w:r>
              <w:t xml:space="preserve">’</w:t>
            </w:r>
            <w:r>
              <w:t xml:space="preserve"> </w:t>
            </w:r>
            <w:r>
              <w:t xml:space="preserve">while Table 4 reports 3.0…</w:t>
            </w:r>
          </w:p>
        </w:tc>
        <w:tc>
          <w:tcPr/>
          <w:p>
            <w:pPr>
              <w:pStyle w:val="Compact"/>
              <w:jc w:val="left"/>
            </w:pPr>
            <w:r>
              <w:t xml:space="preserve">Applied (text edited)</w:t>
            </w:r>
          </w:p>
        </w:tc>
      </w:tr>
      <w:tr>
        <w:tc>
          <w:tcPr/>
          <w:p>
            <w:pPr>
              <w:pStyle w:val="Compact"/>
              <w:jc w:val="left"/>
            </w:pPr>
            <w:r>
              <w:t xml:space="preserve">ED-02</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No graphical abstract exists anywhere in the submission package (figures/ contains only Figures 1–4, S1–S3 and the stale originals). Applied Surface Science requires a graphical abstract at submission; the editorial system will not let the submission proceed w…</w:t>
            </w:r>
          </w:p>
        </w:tc>
        <w:tc>
          <w:tcPr/>
          <w:p>
            <w:pPr>
              <w:pStyle w:val="Compact"/>
              <w:jc w:val="left"/>
            </w:pPr>
            <w:r>
              <w:t xml:space="preserve">Graphical abstract created (figures/Graphical_Abstract.png, 1535 × 590 px)</w:t>
            </w:r>
          </w:p>
        </w:tc>
      </w:tr>
      <w:tr>
        <w:tc>
          <w:tcPr/>
          <w:p>
            <w:pPr>
              <w:pStyle w:val="Compact"/>
              <w:jc w:val="left"/>
            </w:pPr>
            <w:r>
              <w:t xml:space="preserve">ED-03</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panel subtitles</w:t>
            </w:r>
            <w:r>
              <w:t xml:space="preserve"> </w:t>
            </w:r>
            <w:r>
              <w:t xml:space="preserve">‘</w:t>
            </w:r>
            <w:r>
              <w:t xml:space="preserve">m = 0 (singlet, no Ti³⁺ trap)</w:t>
            </w:r>
            <w:r>
              <w:t xml:space="preserve">’</w:t>
            </w:r>
            <w:r>
              <w:t xml:space="preserve"> </w:t>
            </w:r>
            <w:r>
              <w:t xml:space="preserve">and</w:t>
            </w:r>
            <w:r>
              <w:t xml:space="preserve"> </w:t>
            </w:r>
            <w:r>
              <w:t xml:space="preserve">‘</w:t>
            </w:r>
            <w:r>
              <w:t xml:space="preserve">/m/ = 1.21 μB (Ti³⁺/O hole trap)</w:t>
            </w:r>
            <w:r>
              <w:t xml:space="preserve">’</w:t>
            </w:r>
            <w:r>
              <w:t xml:space="preserve">. The caption and Section 3.3 state the Pr cell is a smeared non-magnetic solution, not a singlet, and that the Rb_VO spin …</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ED-04</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Fig4_PDOS_relabel_required.png: title reads</w:t>
            </w:r>
            <w:r>
              <w:t xml:space="preserve"> </w:t>
            </w:r>
            <w:r>
              <w:t xml:space="preserve">‘</w:t>
            </w:r>
            <w:r>
              <w:t xml:space="preserve">Pr_VO (non-magnetic) vs Rb_VO (Ti³⁺ trap)</w:t>
            </w:r>
            <w:r>
              <w:t xml:space="preserve">’</w:t>
            </w:r>
            <w:r>
              <w:t xml:space="preserve">, the top panel is labelled</w:t>
            </w:r>
            <w:r>
              <w:t xml:space="preserve"> </w:t>
            </w:r>
            <w:r>
              <w:t xml:space="preserve">‘</w:t>
            </w:r>
            <w:r>
              <w:t xml:space="preserve">singlet</w:t>
            </w:r>
            <w:r>
              <w:t xml:space="preserve">’</w:t>
            </w:r>
            <w:r>
              <w:t xml:space="preserve">, and the inset arrow says</w:t>
            </w:r>
            <w:r>
              <w:t xml:space="preserve"> </w:t>
            </w:r>
            <w:r>
              <w:t xml:space="preserve">‘</w:t>
            </w:r>
            <w:r>
              <w:t xml:space="preserve">Ti³⁺ trap</w:t>
            </w:r>
            <w:r>
              <w:t xml:space="preserve">’</w:t>
            </w:r>
            <w:r>
              <w:t xml:space="preserve">, all of which the text withdraws. In addition, the Rb_VO panel shows Ti-3d weight of 5–8 states/e…</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8.80 eV is obtained by subtracting the rounded table entries (4.74 + 4.06). From the unrounded ledger the value is 8.81 eV, and SI Section S9 itself states −8.808 eV. The same paragraph explicitly calls the analogous 5.35 eV a</w:t>
            </w:r>
            <w:r>
              <w:t xml:space="preserve"> </w:t>
            </w:r>
            <w:r>
              <w:t xml:space="preserve">‘</w:t>
            </w:r>
            <w:r>
              <w:t xml:space="preserve">rounding artefact</w:t>
            </w:r>
            <w:r>
              <w:t xml:space="preserve">’</w:t>
            </w:r>
            <w:r>
              <w:t xml:space="preserve">, so the text …</w:t>
            </w:r>
          </w:p>
        </w:tc>
        <w:tc>
          <w:tcPr/>
          <w:p>
            <w:pPr>
              <w:pStyle w:val="Compact"/>
              <w:jc w:val="left"/>
            </w:pPr>
            <w:r>
              <w:t xml:space="preserve">Applied (text edited)</w:t>
            </w:r>
          </w:p>
        </w:tc>
      </w:tr>
      <w:tr>
        <w:tc>
          <w:tcPr/>
          <w:p>
            <w:pPr>
              <w:pStyle w:val="Compact"/>
              <w:jc w:val="left"/>
            </w:pPr>
            <w:r>
              <w:t xml:space="preserve">ED-06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rounded-subtraction artefact as ED-05 repeated in the Discussion; must agree with Section 3.2 and SI S9 (−8.808 eV).</w:t>
            </w:r>
          </w:p>
        </w:tc>
        <w:tc>
          <w:tcPr/>
          <w:p>
            <w:pPr>
              <w:pStyle w:val="Compact"/>
              <w:jc w:val="left"/>
            </w:pPr>
            <w:r>
              <w:t xml:space="preserve">Applied (text edited)</w:t>
            </w:r>
          </w:p>
        </w:tc>
      </w:tr>
      <w:tr>
        <w:tc>
          <w:tcPr/>
          <w:p>
            <w:pPr>
              <w:pStyle w:val="Compact"/>
              <w:jc w:val="left"/>
            </w:pPr>
            <w:r>
              <w:t xml:space="preserve">ED-07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Footnote a states that the pristine 2×2×2 single points were not computed, but Section 3.7 (k-mesh) states that Pristine_perfect was computed at Γ, 2×2×1, 2×2×2 and 3×3×2. Only the pristine V</w:t>
            </w:r>
            <w:r>
              <w:rPr>
                <w:vertAlign w:val="subscript"/>
              </w:rPr>
              <w:t xml:space="preserve">O</w:t>
            </w:r>
            <w:r>
              <w:t xml:space="preserve"> </w:t>
            </w:r>
            <w:r>
              <w:t xml:space="preserve">cell is actually missing at 2×2×2. Table and text contradict each…</w:t>
            </w:r>
          </w:p>
        </w:tc>
        <w:tc>
          <w:tcPr/>
          <w:p>
            <w:pPr>
              <w:pStyle w:val="Compact"/>
              <w:jc w:val="left"/>
            </w:pPr>
            <w:r>
              <w:t xml:space="preserve">Applied (text edited)</w:t>
            </w:r>
          </w:p>
        </w:tc>
      </w:tr>
      <w:tr>
        <w:tc>
          <w:tcPr/>
          <w:p>
            <w:pPr>
              <w:pStyle w:val="Compact"/>
              <w:jc w:val="left"/>
            </w:pPr>
            <w:r>
              <w:t xml:space="preserve">ED-08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Combining Table S2 with the Section 3.7 text gives a non-monotonic k-mesh sequence that is never acknowledged: Γ − 2×2×2 = 1.13 eV (Pr_VO) and 1.24 eV (Rb_VO) from Table S2, but Γ − 3×3×2 is quoted as 1.08 and 1.16 eV, so the 2×2×2 energies lie 0.05–0.08 eV be…</w:t>
            </w:r>
          </w:p>
        </w:tc>
        <w:tc>
          <w:tcPr/>
          <w:p>
            <w:pPr>
              <w:pStyle w:val="Compact"/>
              <w:jc w:val="left"/>
            </w:pPr>
            <w:r>
              <w:t xml:space="preserve">Applied (text edited)</w:t>
            </w:r>
          </w:p>
        </w:tc>
      </w:tr>
      <w:tr>
        <w:tc>
          <w:tcPr/>
          <w:p>
            <w:pPr>
              <w:pStyle w:val="Compact"/>
              <w:jc w:val="left"/>
            </w:pPr>
            <w:r>
              <w:t xml:space="preserve">ED-09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production Rb_VO magnetisation is m</w:t>
            </w:r>
            <w:r>
              <w:rPr>
                <w:vertAlign w:val="subscript"/>
              </w:rPr>
              <w:t xml:space="preserve">abs</w:t>
            </w:r>
            <w:r>
              <w:t xml:space="preserve"> </w:t>
            </w:r>
            <w:r>
              <w:t xml:space="preserve">= 1.21 μB (Table 3, Figure 3, Abstract), yet the D3 single point on the same geometry gives 1.00 μB (Table S5), as do the U-sweep single points (Table S1). Saying the D3 single points leave the magnetisation ’unchan…</w:t>
            </w:r>
          </w:p>
        </w:tc>
        <w:tc>
          <w:tcPr/>
          <w:p>
            <w:pPr>
              <w:pStyle w:val="Compact"/>
              <w:jc w:val="left"/>
            </w:pPr>
            <w:r>
              <w:t xml:space="preserve">Applied (text edited)</w:t>
            </w:r>
          </w:p>
        </w:tc>
      </w:tr>
      <w:tr>
        <w:tc>
          <w:tcPr/>
          <w:p>
            <w:pPr>
              <w:pStyle w:val="Compact"/>
              <w:jc w:val="left"/>
            </w:pPr>
            <w:r>
              <w:t xml:space="preserve">ED-10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2.5 states that</w:t>
            </w:r>
            <w:r>
              <w:t xml:space="preserve"> </w:t>
            </w:r>
            <w:r>
              <w:t xml:space="preserve">‘</w:t>
            </w:r>
            <w:r>
              <w:t xml:space="preserve">every cell that converged to m = 0 was re-relaxed from a magnetic start</w:t>
            </w:r>
            <w:r>
              <w:t xml:space="preserve">’</w:t>
            </w:r>
            <w:r>
              <w:t xml:space="preserve"> </w:t>
            </w:r>
            <w:r>
              <w:t xml:space="preserve">and Limitation (v) says</w:t>
            </w:r>
            <w:r>
              <w:t xml:space="preserve"> </w:t>
            </w:r>
            <w:r>
              <w:t xml:space="preserve">‘</w:t>
            </w:r>
            <w:r>
              <w:t xml:space="preserve">one magnetic trial per non-magnetic cell was performed</w:t>
            </w:r>
            <w:r>
              <w:t xml:space="preserve">’</w:t>
            </w:r>
            <w:r>
              <w:t xml:space="preserve">, but only the Pr_VO trial is reported anywhere (Table 3, Table S9 run 24). The Pr…</w:t>
            </w:r>
          </w:p>
        </w:tc>
        <w:tc>
          <w:tcPr/>
          <w:p>
            <w:pPr>
              <w:pStyle w:val="Compact"/>
              <w:jc w:val="left"/>
            </w:pPr>
            <w:r>
              <w:t xml:space="preserve">Applied (text edited)</w:t>
            </w:r>
          </w:p>
        </w:tc>
      </w:tr>
      <w:tr>
        <w:tc>
          <w:tcPr/>
          <w:p>
            <w:pPr>
              <w:pStyle w:val="Compact"/>
              <w:jc w:val="left"/>
            </w:pPr>
            <w:r>
              <w:t xml:space="preserve">ED-11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SI Section S1 states that the converged pristine V</w:t>
            </w:r>
            <w:r>
              <w:rPr>
                <w:vertAlign w:val="subscript"/>
              </w:rPr>
              <w:t xml:space="preserve">O</w:t>
            </w:r>
            <w:r>
              <w:t xml:space="preserve"> </w:t>
            </w:r>
            <w:r>
              <w:t xml:space="preserve">production run used starting_magnetization = 0.05 on both species. The Methods sentence</w:t>
            </w:r>
            <w:r>
              <w:t xml:space="preserve"> </w:t>
            </w:r>
            <w:r>
              <w:t xml:space="preserve">‘</w:t>
            </w:r>
            <w:r>
              <w:t xml:space="preserve">on all species</w:t>
            </w:r>
            <w:r>
              <w:t xml:space="preserve">’</w:t>
            </w:r>
            <w:r>
              <w:t xml:space="preserve"> </w:t>
            </w:r>
            <w:r>
              <w:t xml:space="preserve">for all production relaxations is therefore contradicted by the SI.</w:t>
            </w:r>
          </w:p>
        </w:tc>
        <w:tc>
          <w:tcPr/>
          <w:p>
            <w:pPr>
              <w:pStyle w:val="Compact"/>
              <w:jc w:val="left"/>
            </w:pPr>
            <w:r>
              <w:t xml:space="preserve">Applied (text edited)</w:t>
            </w:r>
          </w:p>
        </w:tc>
      </w:tr>
      <w:tr>
        <w:tc>
          <w:tcPr/>
          <w:p>
            <w:pPr>
              <w:pStyle w:val="Compact"/>
              <w:jc w:val="left"/>
            </w:pPr>
            <w:r>
              <w:t xml:space="preserve">ED-12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2.6 gives mixing_beta = 0.1 as the production setting, but SI S1 describes</w:t>
            </w:r>
            <w:r>
              <w:t xml:space="preserve"> </w:t>
            </w:r>
            <w:r>
              <w:t xml:space="preserve">‘</w:t>
            </w:r>
            <w:r>
              <w:t xml:space="preserve">the production protocol with the default mixing (mixing_mode = local-TF, mixing_beta = 0.3)</w:t>
            </w:r>
            <w:r>
              <w:t xml:space="preserve">’</w:t>
            </w:r>
            <w:r>
              <w:t xml:space="preserve"> </w:t>
            </w:r>
            <w:r>
              <w:t xml:space="preserve">and lists 0.1 as a recovery change made only for the pristine V</w:t>
            </w:r>
            <w:r>
              <w:rPr>
                <w:vertAlign w:val="subscript"/>
              </w:rPr>
              <w:t xml:space="preserve">O</w:t>
            </w:r>
            <w:r>
              <w:t xml:space="preserve"> </w:t>
            </w:r>
            <w:r>
              <w:t xml:space="preserve">cell. The two ac…</w:t>
            </w:r>
          </w:p>
        </w:tc>
        <w:tc>
          <w:tcPr/>
          <w:p>
            <w:pPr>
              <w:pStyle w:val="Compact"/>
              <w:jc w:val="left"/>
            </w:pPr>
            <w:r>
              <w:t xml:space="preserve">Applied (text edited)</w:t>
            </w:r>
          </w:p>
        </w:tc>
      </w:tr>
      <w:tr>
        <w:tc>
          <w:tcPr/>
          <w:p>
            <w:pPr>
              <w:pStyle w:val="Compact"/>
              <w:jc w:val="left"/>
            </w:pPr>
            <w:r>
              <w:t xml:space="preserve">ED-13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PSlibrary has no</w:t>
            </w:r>
            <w:r>
              <w:t xml:space="preserve"> </w:t>
            </w:r>
            <w:r>
              <w:t xml:space="preserve">‘</w:t>
            </w:r>
            <w:r>
              <w:t xml:space="preserve">low-cut-off set</w:t>
            </w:r>
            <w:r>
              <w:t xml:space="preserve">’</w:t>
            </w:r>
            <w:r>
              <w:t xml:space="preserve">; each UPF header carries a</w:t>
            </w:r>
            <w:r>
              <w:t xml:space="preserve"> </w:t>
            </w:r>
            <w:r>
              <w:t xml:space="preserve">‘</w:t>
            </w:r>
            <w:r>
              <w:t xml:space="preserve">Suggested minimum cutoff</w:t>
            </w:r>
            <w:r>
              <w:t xml:space="preserve">’</w:t>
            </w:r>
            <w:r>
              <w:t xml:space="preserve"> </w:t>
            </w:r>
            <w:r>
              <w:t xml:space="preserve">for wavefunctions and charge density, and for the O and Ti PAW datasets named these are commonly above 40 Ry. The sentence presents an unverified justification of the only…</w:t>
            </w:r>
          </w:p>
        </w:tc>
        <w:tc>
          <w:tcPr/>
          <w:p>
            <w:pPr>
              <w:pStyle w:val="Compact"/>
              <w:jc w:val="left"/>
            </w:pPr>
            <w:r>
              <w:t xml:space="preserve">Applied (text edited)</w:t>
            </w:r>
          </w:p>
        </w:tc>
      </w:tr>
      <w:tr>
        <w:tc>
          <w:tcPr/>
          <w:p>
            <w:pPr>
              <w:pStyle w:val="Compact"/>
              <w:jc w:val="left"/>
            </w:pPr>
            <w:r>
              <w:t xml:space="preserve">ED-14</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4.74 eV is not</w:t>
            </w:r>
            <w:r>
              <w:t xml:space="preserve"> </w:t>
            </w:r>
            <w:r>
              <w:t xml:space="preserve">‘</w:t>
            </w:r>
            <w:r>
              <w:t xml:space="preserve">within</w:t>
            </w:r>
            <w:r>
              <w:t xml:space="preserve">’</w:t>
            </w:r>
            <w:r>
              <w:t xml:space="preserve"> </w:t>
            </w:r>
            <w:r>
              <w:t xml:space="preserve">5.3–5.5 eV, so the sentence is wrong as written for the hybrid comparison, and</w:t>
            </w:r>
            <w:r>
              <w:t xml:space="preserve"> </w:t>
            </w:r>
            <w:r>
              <w:t xml:space="preserve">‘</w:t>
            </w:r>
            <w:r>
              <w:t xml:space="preserve">supports the protocol at the level of absolute formation energies</w:t>
            </w:r>
            <w:r>
              <w:t xml:space="preserve">’</w:t>
            </w:r>
            <w:r>
              <w:t xml:space="preserve"> </w:t>
            </w:r>
            <w:r>
              <w:t xml:space="preserve">overstates what a value inside the DFT+U spread shows. In addition the cited Deák et al. …</w:t>
            </w:r>
          </w:p>
        </w:tc>
        <w:tc>
          <w:tcPr/>
          <w:p>
            <w:pPr>
              <w:pStyle w:val="Compact"/>
              <w:jc w:val="left"/>
            </w:pPr>
            <w:r>
              <w:t xml:space="preserve">Applied (text edited)</w:t>
            </w:r>
          </w:p>
        </w:tc>
      </w:tr>
      <w:tr>
        <w:tc>
          <w:tcPr/>
          <w:p>
            <w:pPr>
              <w:pStyle w:val="Compact"/>
              <w:jc w:val="left"/>
            </w:pPr>
            <w:r>
              <w:t xml:space="preserve">ED-15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omits Deák et al., whose entry in refs.py is itself flagged</w:t>
            </w:r>
            <w:r>
              <w:t xml:space="preserve"> </w:t>
            </w:r>
            <w:r>
              <w:t xml:space="preserve">‘</w:t>
            </w:r>
            <w:r>
              <w:t xml:space="preserve">verify against the full text</w:t>
            </w:r>
            <w:r>
              <w:t xml:space="preserve">’</w:t>
            </w:r>
            <w:r>
              <w:t xml:space="preserve"> </w:t>
            </w:r>
            <w:r>
              <w:t xml:space="preserve">and whose title concerns the anatase surface, not the bulk vacancy value it is cited for here.</w:t>
            </w:r>
          </w:p>
        </w:tc>
        <w:tc>
          <w:tcPr/>
          <w:p>
            <w:pPr>
              <w:pStyle w:val="Compact"/>
              <w:jc w:val="left"/>
            </w:pPr>
            <w:r>
              <w:t xml:space="preserve">Applied (text edited)</w:t>
            </w:r>
          </w:p>
        </w:tc>
      </w:tr>
      <w:tr>
        <w:tc>
          <w:tcPr/>
          <w:p>
            <w:pPr>
              <w:pStyle w:val="Compact"/>
              <w:jc w:val="left"/>
            </w:pPr>
            <w:r>
              <w:t xml:space="preserve">ED-16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3.6 and the Table 3 caption state that printed Fermi energies of chemically different cells are unaligned and</w:t>
            </w:r>
            <w:r>
              <w:t xml:space="preserve"> </w:t>
            </w:r>
            <w:r>
              <w:t xml:space="preserve">‘</w:t>
            </w:r>
            <w:r>
              <w:t xml:space="preserve">diagnostic only</w:t>
            </w:r>
            <w:r>
              <w:t xml:space="preserve">’</w:t>
            </w:r>
            <w:r>
              <w:t xml:space="preserve">, yet here an unaligned 0.53 eV Fermi-energy difference between Pr_perfect and the pristine cell is used as positive evidence…</w:t>
            </w:r>
          </w:p>
        </w:tc>
        <w:tc>
          <w:tcPr/>
          <w:p>
            <w:pPr>
              <w:pStyle w:val="Compact"/>
              <w:jc w:val="left"/>
            </w:pPr>
            <w:r>
              <w:t xml:space="preserve">Applied (text edited)</w:t>
            </w:r>
          </w:p>
        </w:tc>
      </w:tr>
      <w:tr>
        <w:tc>
          <w:tcPr/>
          <w:p>
            <w:pPr>
              <w:pStyle w:val="Compact"/>
              <w:jc w:val="left"/>
            </w:pPr>
            <w:r>
              <w:t xml:space="preserve">ED-17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Reviewers of the submitted manuscript have never seen an</w:t>
            </w:r>
            <w:r>
              <w:t xml:space="preserve"> </w:t>
            </w:r>
            <w:r>
              <w:t xml:space="preserve">‘</w:t>
            </w:r>
            <w:r>
              <w:t xml:space="preserve">earlier version</w:t>
            </w:r>
            <w:r>
              <w:t xml:space="preserve">’</w:t>
            </w:r>
            <w:r>
              <w:t xml:space="preserve">; a sentence withdrawing a claim from an unpublished draft is revision scaffolding that would embarrass the authors and signal to the editor that the paper is a repaired reject.</w:t>
            </w:r>
          </w:p>
        </w:tc>
        <w:tc>
          <w:tcPr/>
          <w:p>
            <w:pPr>
              <w:pStyle w:val="Compact"/>
              <w:jc w:val="left"/>
            </w:pPr>
            <w:r>
              <w:t xml:space="preserve">Applied (text edited)</w:t>
            </w:r>
          </w:p>
        </w:tc>
      </w:tr>
      <w:tr>
        <w:tc>
          <w:tcPr/>
          <w:p>
            <w:pPr>
              <w:pStyle w:val="Compact"/>
              <w:jc w:val="left"/>
            </w:pPr>
            <w:r>
              <w:t xml:space="preserve">ED-18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scaffolding as ED-17: withdrawing wording from an unseen earlier draft inside the Discussion.</w:t>
            </w:r>
          </w:p>
        </w:tc>
        <w:tc>
          <w:tcPr/>
          <w:p>
            <w:pPr>
              <w:pStyle w:val="Compact"/>
              <w:jc w:val="left"/>
            </w:pPr>
            <w:r>
              <w:t xml:space="preserve">Applied (text edited)</w:t>
            </w:r>
          </w:p>
        </w:tc>
      </w:tr>
      <w:tr>
        <w:tc>
          <w:tcPr/>
          <w:p>
            <w:pPr>
              <w:pStyle w:val="Compact"/>
              <w:jc w:val="left"/>
            </w:pPr>
            <w:r>
              <w:t xml:space="preserve">ED-19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Third occurrence of the</w:t>
            </w:r>
            <w:r>
              <w:t xml:space="preserve"> </w:t>
            </w:r>
            <w:r>
              <w:t xml:space="preserve">‘</w:t>
            </w:r>
            <w:r>
              <w:t xml:space="preserve">used earlier</w:t>
            </w:r>
            <w:r>
              <w:t xml:space="preserve">’</w:t>
            </w:r>
            <w:r>
              <w:t xml:space="preserve"> </w:t>
            </w:r>
            <w:r>
              <w:t xml:space="preserve">scaffolding, this time in the Conclusions, where editors read most carefully.</w:t>
            </w:r>
          </w:p>
        </w:tc>
        <w:tc>
          <w:tcPr/>
          <w:p>
            <w:pPr>
              <w:pStyle w:val="Compact"/>
              <w:jc w:val="left"/>
            </w:pPr>
            <w:r>
              <w:t xml:space="preserve">Applied (text edited)</w:t>
            </w:r>
          </w:p>
        </w:tc>
      </w:tr>
      <w:tr>
        <w:tc>
          <w:tcPr/>
          <w:p>
            <w:pPr>
              <w:pStyle w:val="Compact"/>
              <w:jc w:val="left"/>
            </w:pPr>
            <w:r>
              <w:t xml:space="preserve">ED-20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w:t>
            </w:r>
            <w:r>
              <w:t xml:space="preserve">Oxygen-centred spin in every treatment tested</w:t>
            </w:r>
            <w:r>
              <w:t xml:space="preserve">’</w:t>
            </w:r>
            <w:r>
              <w:t xml:space="preserve"> </w:t>
            </w:r>
            <w:r>
              <w:t xml:space="preserve">overstates the evidence: Section 3.6 says the PDOS</w:t>
            </w:r>
            <w:r>
              <w:t xml:space="preserve"> </w:t>
            </w:r>
            <w:r>
              <w:t xml:space="preserve">‘</w:t>
            </w:r>
            <w:r>
              <w:t xml:space="preserve">does not by itself fix the orbital character of the hole</w:t>
            </w:r>
            <w:r>
              <w:t xml:space="preserve">’</w:t>
            </w:r>
            <w:r>
              <w:t xml:space="preserve"> </w:t>
            </w:r>
            <w:r>
              <w:t xml:space="preserve">in the Ti-3d-only treatment, the charged series (Section 3.5) does not probe orbital character at all,…</w:t>
            </w:r>
          </w:p>
        </w:tc>
        <w:tc>
          <w:tcPr/>
          <w:p>
            <w:pPr>
              <w:pStyle w:val="Compact"/>
              <w:jc w:val="left"/>
            </w:pPr>
            <w:r>
              <w:t xml:space="preserve">Applied (text edited)</w:t>
            </w:r>
          </w:p>
        </w:tc>
      </w:tr>
      <w:tr>
        <w:tc>
          <w:tcPr/>
          <w:p>
            <w:pPr>
              <w:pStyle w:val="Compact"/>
              <w:jc w:val="left"/>
            </w:pPr>
            <w:r>
              <w:t xml:space="preserve">ED-21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accessible Δμ</w:t>
            </w:r>
            <w:r>
              <w:rPr>
                <w:vertAlign w:val="subscript"/>
              </w:rPr>
              <w:t xml:space="preserve">O</w:t>
            </w:r>
            <w:r>
              <w:t xml:space="preserve"> </w:t>
            </w:r>
            <w:r>
              <w:t xml:space="preserve">range of TiO</w:t>
            </w:r>
            <w:r>
              <w:rPr>
                <w:vertAlign w:val="subscript"/>
              </w:rPr>
              <w:t xml:space="preserve">2</w:t>
            </w:r>
            <w:r>
              <w:t xml:space="preserve"> </w:t>
            </w:r>
            <w:r>
              <w:t xml:space="preserve">bounded by lower-oxide formation was not computed and no reference is given, while Limitation (ix) explicitly says competing phases were not evaluated. The clause is an unsupported thermodynamic claim contradicting the pape…</w:t>
            </w:r>
          </w:p>
        </w:tc>
        <w:tc>
          <w:tcPr/>
          <w:p>
            <w:pPr>
              <w:pStyle w:val="Compact"/>
              <w:jc w:val="left"/>
            </w:pPr>
            <w:r>
              <w:t xml:space="preserve">Applied (text edited)</w:t>
            </w:r>
          </w:p>
        </w:tc>
      </w:tr>
      <w:tr>
        <w:tc>
          <w:tcPr/>
          <w:p>
            <w:pPr>
              <w:pStyle w:val="Compact"/>
              <w:jc w:val="left"/>
            </w:pPr>
            <w:r>
              <w:t xml:space="preserve">ED-22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of each class to all dopants with /Δq/ = 1 or 3, in the same paragraph that labels the La/Nd/Sm statement a hypothesis. This is the residual form of R17’s</w:t>
            </w:r>
            <w:r>
              <w:t xml:space="preserve"> </w:t>
            </w:r>
            <w:r>
              <w:t xml:space="preserve">‘</w:t>
            </w:r>
            <w:r>
              <w:t xml:space="preserve">universal /Δq/ threshold</w:t>
            </w:r>
            <w:r>
              <w:t xml:space="preserve">’</w:t>
            </w:r>
            <w:r>
              <w:t xml:space="preserve"> </w:t>
            </w:r>
            <w:r>
              <w:t xml:space="preserve">overclaim.</w:t>
            </w:r>
          </w:p>
        </w:tc>
        <w:tc>
          <w:tcPr/>
          <w:p>
            <w:pPr>
              <w:pStyle w:val="Compact"/>
              <w:jc w:val="left"/>
            </w:pPr>
            <w:r>
              <w:t xml:space="preserve">Applied (text edited)</w:t>
            </w:r>
          </w:p>
        </w:tc>
      </w:tr>
      <w:tr>
        <w:tc>
          <w:tcPr/>
          <w:p>
            <w:pPr>
              <w:pStyle w:val="Compact"/>
              <w:jc w:val="left"/>
            </w:pPr>
            <w:r>
              <w:t xml:space="preserve">ED-23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Han et al. (title:</w:t>
            </w:r>
            <w:r>
              <w:t xml:space="preserve"> </w:t>
            </w:r>
            <w:r>
              <w:t xml:space="preserve">‘</w:t>
            </w:r>
            <w:r>
              <w:t xml:space="preserve">Interplay between Gd and Oxygen Vacancy … Gd-Doped CeO2</w:t>
            </w:r>
            <w:r>
              <w:t xml:space="preserve">’</w:t>
            </w:r>
            <w:r>
              <w:t xml:space="preserve">) and Albuquerque et al. (title:</w:t>
            </w:r>
            <w:r>
              <w:t xml:space="preserve"> </w:t>
            </w:r>
            <w:r>
              <w:t xml:space="preserve">‘</w:t>
            </w:r>
            <w:r>
              <w:t xml:space="preserve">Nature of Ce3+ and Ti3+ Centers Triggered by Oxygen Vacancy Formation</w:t>
            </w:r>
            <w:r>
              <w:t xml:space="preserve">’</w:t>
            </w:r>
            <w:r>
              <w:t xml:space="preserve">) are cited as evidence that trivalent dopants are compensated electronically …</w:t>
            </w:r>
          </w:p>
        </w:tc>
        <w:tc>
          <w:tcPr/>
          <w:p>
            <w:pPr>
              <w:pStyle w:val="Compact"/>
              <w:jc w:val="left"/>
            </w:pPr>
            <w:r>
              <w:t xml:space="preserve">Applied (text edited)</w:t>
            </w:r>
          </w:p>
        </w:tc>
      </w:tr>
      <w:tr>
        <w:tc>
          <w:tcPr/>
          <w:p>
            <w:pPr>
              <w:pStyle w:val="Compact"/>
              <w:jc w:val="left"/>
            </w:pPr>
            <w:r>
              <w:t xml:space="preserve">ED-24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Albuquerque et al. 2014 concerns Ce</w:t>
            </w:r>
            <w:r>
              <w:rPr>
                <w:vertAlign w:val="superscript"/>
              </w:rPr>
              <w:t xml:space="preserve">4+</w:t>
            </w:r>
            <w:r>
              <w:t xml:space="preserve">/Ce</w:t>
            </w:r>
            <w:r>
              <w:rPr>
                <w:vertAlign w:val="superscript"/>
              </w:rPr>
              <w:t xml:space="preserve">3+</w:t>
            </w:r>
            <w:r>
              <w:t xml:space="preserve"> </w:t>
            </w:r>
            <w:r>
              <w:t xml:space="preserve">and Ti</w:t>
            </w:r>
            <w:r>
              <w:rPr>
                <w:vertAlign w:val="superscript"/>
              </w:rPr>
              <w:t xml:space="preserve">3+</w:t>
            </w:r>
            <w:r>
              <w:t xml:space="preserve"> </w:t>
            </w:r>
            <w:r>
              <w:t xml:space="preserve">electron centres in Ce-doped anatase, not O-2p hole states; only Iwaszuk and Nolan (rutile) report oxygen holes for trivalent dopants. Wrong attribution in the paragraph that positions the result agains…</w:t>
            </w:r>
          </w:p>
        </w:tc>
        <w:tc>
          <w:tcPr/>
          <w:p>
            <w:pPr>
              <w:pStyle w:val="Compact"/>
              <w:jc w:val="left"/>
            </w:pPr>
            <w:r>
              <w:t xml:space="preserve">Applied (text edited)</w:t>
            </w:r>
          </w:p>
        </w:tc>
      </w:tr>
      <w:tr>
        <w:tc>
          <w:tcPr/>
          <w:p>
            <w:pPr>
              <w:pStyle w:val="Compact"/>
              <w:jc w:val="left"/>
            </w:pPr>
            <w:r>
              <w:t xml:space="preserve">ED-25</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 formation energy is not an experimental observable; experiments measure vacancy concentration or spectroscopic signatures, while formation energies in Tian et al. would come from their DFT. If Tian et al. already report DFT V</w:t>
            </w:r>
            <w:r>
              <w:rPr>
                <w:vertAlign w:val="subscript"/>
              </w:rPr>
              <w:t xml:space="preserve">O</w:t>
            </w:r>
            <w:r>
              <w:t xml:space="preserve"> </w:t>
            </w:r>
            <w:r>
              <w:t xml:space="preserve">formation energies for Rb-dop…</w:t>
            </w:r>
          </w:p>
        </w:tc>
        <w:tc>
          <w:tcPr/>
          <w:p>
            <w:pPr>
              <w:pStyle w:val="Compact"/>
              <w:jc w:val="left"/>
            </w:pPr>
            <w:r>
              <w:t xml:space="preserve">Applied (text edited)</w:t>
            </w:r>
          </w:p>
        </w:tc>
      </w:tr>
      <w:tr>
        <w:tc>
          <w:tcPr/>
          <w:p>
            <w:pPr>
              <w:pStyle w:val="Compact"/>
              <w:jc w:val="left"/>
            </w:pPr>
            <w:r>
              <w:t xml:space="preserve">ED-26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Same category error as ED-25 (</w:t>
            </w:r>
            <w:r>
              <w:t xml:space="preserve">‘</w:t>
            </w:r>
            <w:r>
              <w:t xml:space="preserve">experimental finding … formation energy</w:t>
            </w:r>
            <w:r>
              <w:t xml:space="preserve">’</w:t>
            </w:r>
            <w:r>
              <w:t xml:space="preserve">) and</w:t>
            </w:r>
            <w:r>
              <w:t xml:space="preserve"> </w:t>
            </w:r>
            <w:r>
              <w:t xml:space="preserve">‘</w:t>
            </w:r>
            <w:r>
              <w:t xml:space="preserve">sign and direction</w:t>
            </w:r>
            <w:r>
              <w:t xml:space="preserve">’</w:t>
            </w:r>
            <w:r>
              <w:t xml:space="preserve"> </w:t>
            </w:r>
            <w:r>
              <w:t xml:space="preserve">is redundant.</w:t>
            </w:r>
          </w:p>
        </w:tc>
        <w:tc>
          <w:tcPr/>
          <w:p>
            <w:pPr>
              <w:pStyle w:val="Compact"/>
              <w:jc w:val="left"/>
            </w:pPr>
            <w:r>
              <w:t xml:space="preserve">Applied (text edited)</w:t>
            </w:r>
          </w:p>
        </w:tc>
      </w:tr>
      <w:tr>
        <w:tc>
          <w:tcPr/>
          <w:p>
            <w:pPr>
              <w:pStyle w:val="Compact"/>
              <w:jc w:val="left"/>
            </w:pPr>
            <w:r>
              <w:t xml:space="preserve">ED-27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specific radius trend attributed to Carey and Nolan (and relied on in Section 4.2:</w:t>
            </w:r>
            <w:r>
              <w:t xml:space="preserve"> </w:t>
            </w:r>
            <w:r>
              <w:t xml:space="preserve">‘</w:t>
            </w:r>
            <w:r>
              <w:t xml:space="preserve">the radius dependence found by Carey and Nolan across Li–Rb</w:t>
            </w:r>
            <w:r>
              <w:t xml:space="preserve">’</w:t>
            </w:r>
            <w:r>
              <w:t xml:space="preserve">) was flagged as unverified by the previous audit (A7: ’all claimed precedents require author verification from …</w:t>
            </w:r>
          </w:p>
        </w:tc>
        <w:tc>
          <w:tcPr/>
          <w:p>
            <w:pPr>
              <w:pStyle w:val="Compact"/>
              <w:jc w:val="left"/>
            </w:pPr>
            <w:r>
              <w:t xml:space="preserve">Not changed: the Carey–Nolan abstract retrieved during this session states a correlation between alkali ionic radius and vacancy formation energy with K and Rb having the larger effect, so the attribution is supported.</w:t>
            </w:r>
          </w:p>
        </w:tc>
      </w:tr>
      <w:tr>
        <w:tc>
          <w:tcPr/>
          <w:p>
            <w:pPr>
              <w:pStyle w:val="Compact"/>
              <w:jc w:val="left"/>
            </w:pPr>
            <w:r>
              <w:t xml:space="preserve">ED-28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justification of U(Ti-3d) = 3.5 eV rests on three attributions none of which has been verified: Deák et al. (refs.py entry marked</w:t>
            </w:r>
            <w:r>
              <w:t xml:space="preserve"> </w:t>
            </w:r>
            <w:r>
              <w:t xml:space="preserve">‘</w:t>
            </w:r>
            <w:r>
              <w:t xml:space="preserve">verify against the full text</w:t>
            </w:r>
            <w:r>
              <w:t xml:space="preserve">’</w:t>
            </w:r>
            <w:r>
              <w:t xml:space="preserve">; its title is about surface polarons), and Mazierski et al. and Yin et al. using 3.5 eV (the re…</w:t>
            </w:r>
          </w:p>
        </w:tc>
        <w:tc>
          <w:tcPr/>
          <w:p>
            <w:pPr>
              <w:pStyle w:val="Compact"/>
              <w:jc w:val="left"/>
            </w:pPr>
            <w:r>
              <w:t xml:space="preserve">Applied (text edited)</w:t>
            </w:r>
          </w:p>
        </w:tc>
      </w:tr>
      <w:tr>
        <w:tc>
          <w:tcPr/>
          <w:p>
            <w:pPr>
              <w:pStyle w:val="Compact"/>
              <w:jc w:val="left"/>
            </w:pPr>
            <w:r>
              <w:t xml:space="preserve">ED-29</w:t>
            </w:r>
          </w:p>
        </w:tc>
        <w:tc>
          <w:tcPr/>
          <w:p>
            <w:pPr>
              <w:pStyle w:val="Compact"/>
              <w:jc w:val="left"/>
            </w:pPr>
            <w:r>
              <w:t xml:space="preserve">major</w:t>
            </w:r>
          </w:p>
        </w:tc>
        <w:tc>
          <w:tcPr/>
          <w:p>
            <w:pPr>
              <w:pStyle w:val="Compact"/>
              <w:jc w:val="left"/>
            </w:pPr>
            <w:r>
              <w:t xml:space="preserve">refs</w:t>
            </w:r>
          </w:p>
        </w:tc>
        <w:tc>
          <w:tcPr/>
          <w:p>
            <w:pPr>
              <w:pStyle w:val="Compact"/>
              <w:jc w:val="left"/>
            </w:pPr>
            <w:r>
              <w:t xml:space="preserve">The bracketed</w:t>
            </w:r>
            <w:r>
              <w:t xml:space="preserve"> </w:t>
            </w:r>
            <w:r>
              <w:t xml:space="preserve">‘</w:t>
            </w:r>
            <w:r>
              <w:t xml:space="preserve">[NEW IN v4 … verify]</w:t>
            </w:r>
            <w:r>
              <w:t xml:space="preserve">’</w:t>
            </w:r>
            <w:r>
              <w:t xml:space="preserve"> </w:t>
            </w:r>
            <w:r>
              <w:t xml:space="preserve">notes on four refs.py entries (Shannon1976, PSlibrary, Deak2014, Freysoldt2014) are copied verbatim into the built reference list (entries 28, 35, 37, 40 of the built manuscript). If build_refs.py is run for submission wi…</w:t>
            </w:r>
          </w:p>
        </w:tc>
        <w:tc>
          <w:tcPr/>
          <w:p>
            <w:pPr>
              <w:pStyle w:val="Compact"/>
              <w:jc w:val="left"/>
            </w:pPr>
            <w:r>
              <w:t xml:space="preserve">Applied (text edited)</w:t>
            </w:r>
          </w:p>
        </w:tc>
      </w:tr>
      <w:tr>
        <w:tc>
          <w:tcPr/>
          <w:p>
            <w:pPr>
              <w:pStyle w:val="Compact"/>
              <w:jc w:val="left"/>
            </w:pPr>
            <w:r>
              <w:t xml:space="preserve">ED-30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REVISION_REPORT.md documents that the AI tool rewrote the title and abstract, restructured the manuscript into its present sections, rewrote the Discussion and Limitations, and generated the scripts and PNGs for Figures 2 and 3. Elsevier requires the disclosur…</w:t>
            </w:r>
          </w:p>
        </w:tc>
        <w:tc>
          <w:tcPr/>
          <w:p>
            <w:pPr>
              <w:pStyle w:val="Compact"/>
              <w:jc w:val="left"/>
            </w:pPr>
            <w:r>
              <w:t xml:space="preserve">Applied (text edited)</w:t>
            </w:r>
          </w:p>
        </w:tc>
      </w:tr>
      <w:tr>
        <w:tc>
          <w:tcPr/>
          <w:p>
            <w:pPr>
              <w:pStyle w:val="Compact"/>
              <w:jc w:val="left"/>
            </w:pPr>
            <w:r>
              <w:t xml:space="preserve">ED-31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Elsevier’s required section heading is</w:t>
            </w:r>
            <w:r>
              <w:t xml:space="preserve"> </w:t>
            </w:r>
            <w:r>
              <w:t xml:space="preserve">‘</w:t>
            </w:r>
            <w:r>
              <w:t xml:space="preserve">Declaration of generative AI and AI-assisted technologies in the writing process</w:t>
            </w:r>
            <w:r>
              <w:t xml:space="preserve">’</w:t>
            </w:r>
            <w:r>
              <w:t xml:space="preserve">; the editorial office checks for this wording.</w:t>
            </w:r>
          </w:p>
        </w:tc>
        <w:tc>
          <w:tcPr/>
          <w:p>
            <w:pPr>
              <w:pStyle w:val="Compact"/>
              <w:jc w:val="left"/>
            </w:pPr>
            <w:r>
              <w:t xml:space="preserve">Applied (text edited)</w:t>
            </w:r>
          </w:p>
        </w:tc>
      </w:tr>
      <w:tr>
        <w:tc>
          <w:tcPr/>
          <w:p>
            <w:pPr>
              <w:pStyle w:val="Compact"/>
              <w:jc w:val="left"/>
            </w:pPr>
            <w:r>
              <w:t xml:space="preserve">ED-32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For a surfaces/interfaces journal the manuscript is a bulk-only defect study; the only link to surfaces is the ETL motivation in paragraph 1. The contribution statement should say explicitly, without overclaiming, how the bulk numbers connect to surface/interf…</w:t>
            </w:r>
          </w:p>
        </w:tc>
        <w:tc>
          <w:tcPr/>
          <w:p>
            <w:pPr>
              <w:pStyle w:val="Compact"/>
              <w:jc w:val="left"/>
            </w:pPr>
            <w:r>
              <w:t xml:space="preserve">Applied (text edited)</w:t>
            </w:r>
          </w:p>
        </w:tc>
      </w:tr>
      <w:tr>
        <w:tc>
          <w:tcPr/>
          <w:p>
            <w:pPr>
              <w:pStyle w:val="Compact"/>
              <w:jc w:val="left"/>
            </w:pPr>
            <w:r>
              <w:t xml:space="preserve">ED-33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Title uses American</w:t>
            </w:r>
            <w:r>
              <w:t xml:space="preserve"> </w:t>
            </w:r>
            <w:r>
              <w:t xml:space="preserve">‘</w:t>
            </w:r>
            <w:r>
              <w:t xml:space="preserve">Localization</w:t>
            </w:r>
            <w:r>
              <w:t xml:space="preserve">’</w:t>
            </w:r>
            <w:r>
              <w:t xml:space="preserve"> </w:t>
            </w:r>
            <w:r>
              <w:t xml:space="preserve">while the entire text uses British spelling (</w:t>
            </w:r>
            <w:r>
              <w:t xml:space="preserve">‘</w:t>
            </w:r>
            <w:r>
              <w:t xml:space="preserve">localisation</w:t>
            </w:r>
            <w:r>
              <w:t xml:space="preserve">’</w:t>
            </w:r>
            <w:r>
              <w:t xml:space="preserve">,</w:t>
            </w:r>
            <w:r>
              <w:t xml:space="preserve"> </w:t>
            </w:r>
            <w:r>
              <w:t xml:space="preserve">‘</w:t>
            </w:r>
            <w:r>
              <w:t xml:space="preserve">magnetisation</w:t>
            </w:r>
            <w:r>
              <w:t xml:space="preserve">’</w:t>
            </w:r>
            <w:r>
              <w:t xml:space="preserve">,</w:t>
            </w:r>
            <w:r>
              <w:t xml:space="preserve"> </w:t>
            </w:r>
            <w:r>
              <w:t xml:space="preserve">‘</w:t>
            </w:r>
            <w:r>
              <w:t xml:space="preserve">recognised</w:t>
            </w:r>
            <w:r>
              <w:t xml:space="preserve">’</w:t>
            </w:r>
            <w:r>
              <w:t xml:space="preserve">); mixed spelling in the title is an immediate copy-editing flag.</w:t>
            </w:r>
          </w:p>
        </w:tc>
        <w:tc>
          <w:tcPr/>
          <w:p>
            <w:pPr>
              <w:pStyle w:val="Compact"/>
              <w:jc w:val="left"/>
            </w:pPr>
            <w:r>
              <w:t xml:space="preserve">Applied (text edited)</w:t>
            </w:r>
          </w:p>
        </w:tc>
      </w:tr>
      <w:tr>
        <w:tc>
          <w:tcPr/>
          <w:p>
            <w:pPr>
              <w:pStyle w:val="Compact"/>
              <w:jc w:val="left"/>
            </w:pPr>
            <w:r>
              <w:t xml:space="preserve">ED-34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SI title must match the corrected main-text title (ED-33).</w:t>
            </w:r>
          </w:p>
        </w:tc>
        <w:tc>
          <w:tcPr/>
          <w:p>
            <w:pPr>
              <w:pStyle w:val="Compact"/>
              <w:jc w:val="left"/>
            </w:pPr>
            <w:r>
              <w:t xml:space="preserve">Applied (text edited)</w:t>
            </w:r>
          </w:p>
        </w:tc>
      </w:tr>
      <w:tr>
        <w:tc>
          <w:tcPr/>
          <w:p>
            <w:pPr>
              <w:pStyle w:val="Compact"/>
              <w:jc w:val="left"/>
            </w:pPr>
            <w:r>
              <w:t xml:space="preserve">ED-35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Eight keywords exceed Elsevier’s maximum of six, and</w:t>
            </w:r>
            <w:r>
              <w:t xml:space="preserve"> </w:t>
            </w:r>
            <w:r>
              <w:t xml:space="preserve">‘</w:t>
            </w:r>
            <w:r>
              <w:t xml:space="preserve">hole polaron</w:t>
            </w:r>
            <w:r>
              <w:t xml:space="preserve">’</w:t>
            </w:r>
            <w:r>
              <w:t xml:space="preserve"> </w:t>
            </w:r>
            <w:r>
              <w:t xml:space="preserve">never occurs in the text (grep: no occurrence of</w:t>
            </w:r>
            <w:r>
              <w:t xml:space="preserve"> </w:t>
            </w:r>
            <w:r>
              <w:t xml:space="preserve">‘</w:t>
            </w:r>
            <w:r>
              <w:t xml:space="preserve">polaron</w:t>
            </w:r>
            <w:r>
              <w:t xml:space="preserve">’</w:t>
            </w:r>
            <w:r>
              <w:t xml:space="preserve"> </w:t>
            </w:r>
            <w:r>
              <w:t xml:space="preserve">in the three source files), so it is not a term the paper supports.</w:t>
            </w:r>
          </w:p>
        </w:tc>
        <w:tc>
          <w:tcPr/>
          <w:p>
            <w:pPr>
              <w:pStyle w:val="Compact"/>
              <w:jc w:val="left"/>
            </w:pPr>
            <w:r>
              <w:t xml:space="preserve">Applied (text edited)</w:t>
            </w:r>
          </w:p>
        </w:tc>
      </w:tr>
      <w:tr>
        <w:tc>
          <w:tcPr/>
          <w:p>
            <w:pPr>
              <w:pStyle w:val="Compact"/>
              <w:jc w:val="left"/>
            </w:pPr>
            <w:r>
              <w:t xml:space="preserve">ED-36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The leading candidate</w:t>
            </w:r>
            <w:r>
              <w:t xml:space="preserve">’</w:t>
            </w:r>
            <w:r>
              <w:t xml:space="preserve"> </w:t>
            </w:r>
            <w:r>
              <w:t xml:space="preserve">is a superlative that the cited review does not establish; a referee from the energy side will object.</w:t>
            </w:r>
          </w:p>
        </w:tc>
        <w:tc>
          <w:tcPr/>
          <w:p>
            <w:pPr>
              <w:pStyle w:val="Compact"/>
              <w:jc w:val="left"/>
            </w:pPr>
            <w:r>
              <w:t xml:space="preserve">Applied (text edited)</w:t>
            </w:r>
          </w:p>
        </w:tc>
      </w:tr>
      <w:tr>
        <w:tc>
          <w:tcPr/>
          <w:p>
            <w:pPr>
              <w:pStyle w:val="Compact"/>
              <w:jc w:val="left"/>
            </w:pPr>
            <w:r>
              <w:t xml:space="preserve">ED-37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Arrigoni and Madsen, and Morgan and Watson are intrinsic-defect studies, not studies of aliovalent doping as a lever; they support the first clause, not the second.</w:t>
            </w:r>
          </w:p>
        </w:tc>
        <w:tc>
          <w:tcPr/>
          <w:p>
            <w:pPr>
              <w:pStyle w:val="Compact"/>
              <w:jc w:val="left"/>
            </w:pPr>
            <w:r>
              <w:t xml:space="preserve">Applied (text edited)</w:t>
            </w:r>
          </w:p>
        </w:tc>
      </w:tr>
      <w:tr>
        <w:tc>
          <w:tcPr/>
          <w:p>
            <w:pPr>
              <w:pStyle w:val="Compact"/>
              <w:jc w:val="left"/>
            </w:pPr>
            <w:r>
              <w:t xml:space="preserve">ED-38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attribution of Γ-only sampling to Arrigoni and Madsen is unverified (their values could not be confirmed per the Section 3.2 marker) and is used to justify the paper’s weakest numerical choice.</w:t>
            </w:r>
          </w:p>
        </w:tc>
        <w:tc>
          <w:tcPr/>
          <w:p>
            <w:pPr>
              <w:pStyle w:val="Compact"/>
              <w:jc w:val="left"/>
            </w:pPr>
            <w:r>
              <w:t xml:space="preserve">Applied (text edited)</w:t>
            </w:r>
          </w:p>
        </w:tc>
      </w:tr>
      <w:tr>
        <w:tc>
          <w:tcPr/>
          <w:p>
            <w:pPr>
              <w:pStyle w:val="Compact"/>
              <w:jc w:val="left"/>
            </w:pPr>
            <w:r>
              <w:t xml:space="preserve">ED-39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4 and Limitation (vii) state that Rb_VO was also treated with dual-U, so</w:t>
            </w:r>
            <w:r>
              <w:t xml:space="preserve"> </w:t>
            </w:r>
            <w:r>
              <w:t xml:space="preserve">‘</w:t>
            </w:r>
            <w:r>
              <w:t xml:space="preserve">the vacancy-free cells</w:t>
            </w:r>
            <w:r>
              <w:t xml:space="preserve">’</w:t>
            </w:r>
            <w:r>
              <w:t xml:space="preserve"> </w:t>
            </w:r>
            <w:r>
              <w:t xml:space="preserve">understates what Table 4 reports.</w:t>
            </w:r>
          </w:p>
        </w:tc>
        <w:tc>
          <w:tcPr/>
          <w:p>
            <w:pPr>
              <w:pStyle w:val="Compact"/>
              <w:jc w:val="left"/>
            </w:pPr>
            <w:r>
              <w:t xml:space="preserve">Applied (text edited)</w:t>
            </w:r>
          </w:p>
        </w:tc>
      </w:tr>
      <w:tr>
        <w:tc>
          <w:tcPr/>
          <w:p>
            <w:pPr>
              <w:pStyle w:val="Compact"/>
              <w:jc w:val="left"/>
            </w:pPr>
            <w:r>
              <w:t xml:space="preserve">ED-40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asks to relax Pr_perfect and Rb_perfect under dual-U although both are already reported (Table 4, Table S5); what is actually missing for the formation-energy cycles is the dual-U Pr_VO relaxation and the dual-U total energies of Rb_perfect and Rb_V…</w:t>
            </w:r>
          </w:p>
        </w:tc>
        <w:tc>
          <w:tcPr/>
          <w:p>
            <w:pPr>
              <w:pStyle w:val="Compact"/>
              <w:jc w:val="left"/>
            </w:pPr>
            <w:r>
              <w:t xml:space="preserve">Applied (text edited)</w:t>
            </w:r>
          </w:p>
        </w:tc>
      </w:tr>
      <w:tr>
        <w:tc>
          <w:tcPr/>
          <w:p>
            <w:pPr>
              <w:pStyle w:val="Compact"/>
              <w:jc w:val="left"/>
            </w:pPr>
            <w:r>
              <w:t xml:space="preserve">ED-41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charged-cell series reports only magnetisations; the orbital character of the uncovered spins is not probed in Section 3.5, so</w:t>
            </w:r>
            <w:r>
              <w:t xml:space="preserve"> </w:t>
            </w:r>
            <w:r>
              <w:t xml:space="preserve">‘</w:t>
            </w:r>
            <w:r>
              <w:t xml:space="preserve">oxygen hole</w:t>
            </w:r>
            <w:r>
              <w:t xml:space="preserve">’</w:t>
            </w:r>
            <w:r>
              <w:t xml:space="preserve"> </w:t>
            </w:r>
            <w:r>
              <w:t xml:space="preserve">imports a conclusion from Sections 3.4 and 3.7.</w:t>
            </w:r>
          </w:p>
        </w:tc>
        <w:tc>
          <w:tcPr/>
          <w:p>
            <w:pPr>
              <w:pStyle w:val="Compact"/>
              <w:jc w:val="left"/>
            </w:pPr>
            <w:r>
              <w:t xml:space="preserve">Applied (text edited)</w:t>
            </w:r>
          </w:p>
        </w:tc>
      </w:tr>
      <w:tr>
        <w:tc>
          <w:tcPr/>
          <w:p>
            <w:pPr>
              <w:pStyle w:val="Compact"/>
              <w:jc w:val="left"/>
            </w:pPr>
            <w:r>
              <w:t xml:space="preserve">ED-42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w:t>
            </w:r>
            <w:r>
              <w:t xml:space="preserve"> </w:t>
            </w:r>
            <w:r>
              <w:t xml:space="preserve">‘</w:t>
            </w:r>
            <w:r>
              <w:t xml:space="preserve">tens of meV</w:t>
            </w:r>
            <w:r>
              <w:t xml:space="preserve">’</w:t>
            </w:r>
            <w:r>
              <w:t xml:space="preserve"> </w:t>
            </w:r>
            <w:r>
              <w:t xml:space="preserve">estimate is given without stating what model produces it; a referee will ask for the assumption (the earlier audit computed 0.05–0.09 eV for related densities with a free-electron model).</w:t>
            </w:r>
          </w:p>
        </w:tc>
        <w:tc>
          <w:tcPr/>
          <w:p>
            <w:pPr>
              <w:pStyle w:val="Compact"/>
              <w:jc w:val="left"/>
            </w:pPr>
            <w:r>
              <w:t xml:space="preserve">Applied (text edited)</w:t>
            </w:r>
          </w:p>
        </w:tc>
      </w:tr>
      <w:tr>
        <w:tc>
          <w:tcPr/>
          <w:p>
            <w:pPr>
              <w:pStyle w:val="Compact"/>
              <w:jc w:val="left"/>
            </w:pPr>
            <w:r>
              <w:t xml:space="preserve">ED-43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single-U(Ti-3d) = 3.5 eV</w:t>
            </w:r>
            <w:r>
              <w:t xml:space="preserve">’</w:t>
            </w:r>
            <w:r>
              <w:t xml:space="preserve"> </w:t>
            </w:r>
            <w:r>
              <w:t xml:space="preserve">is not a defined notation; the paper otherwise writes</w:t>
            </w:r>
            <w:r>
              <w:t xml:space="preserve"> </w:t>
            </w:r>
            <w:r>
              <w:t xml:space="preserve">‘</w:t>
            </w:r>
            <w:r>
              <w:t xml:space="preserve">U(Ti-3d) = 3.5 eV</w:t>
            </w:r>
            <w:r>
              <w:t xml:space="preserve">’</w:t>
            </w:r>
            <w:r>
              <w:t xml:space="preserve"> </w:t>
            </w:r>
            <w:r>
              <w:t xml:space="preserve">and</w:t>
            </w:r>
            <w:r>
              <w:t xml:space="preserve"> </w:t>
            </w:r>
            <w:r>
              <w:t xml:space="preserve">‘</w:t>
            </w:r>
            <w:r>
              <w:t xml:space="preserve">Ti-3d-only</w:t>
            </w:r>
            <w:r>
              <w:t xml:space="preserve">’</w:t>
            </w:r>
            <w:r>
              <w:t xml:space="preserve">.</w:t>
            </w:r>
          </w:p>
        </w:tc>
        <w:tc>
          <w:tcPr/>
          <w:p>
            <w:pPr>
              <w:pStyle w:val="Compact"/>
              <w:jc w:val="left"/>
            </w:pPr>
            <w:r>
              <w:t xml:space="preserve">Applied (text edited)</w:t>
            </w:r>
          </w:p>
        </w:tc>
      </w:tr>
      <w:tr>
        <w:tc>
          <w:tcPr/>
          <w:p>
            <w:pPr>
              <w:pStyle w:val="Compact"/>
              <w:jc w:val="left"/>
            </w:pPr>
            <w:r>
              <w:t xml:space="preserve">ED-44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Vural et al. studied Pr adsorption on the (101) surface (title), not substitution; presenting their result as</w:t>
            </w:r>
            <w:r>
              <w:t xml:space="preserve"> </w:t>
            </w:r>
            <w:r>
              <w:t xml:space="preserve">‘</w:t>
            </w:r>
            <w:r>
              <w:t xml:space="preserve">Pr–V</w:t>
            </w:r>
            <w:r>
              <w:rPr>
                <w:vertAlign w:val="subscript"/>
              </w:rPr>
              <w:t xml:space="preserve">O</w:t>
            </w:r>
            <w:r>
              <w:t xml:space="preserve"> </w:t>
            </w:r>
            <w:r>
              <w:t xml:space="preserve">clustering</w:t>
            </w:r>
            <w:r>
              <w:t xml:space="preserve">’</w:t>
            </w:r>
            <w:r>
              <w:t xml:space="preserve"> </w:t>
            </w:r>
            <w:r>
              <w:t xml:space="preserve">that the bulk substitutional result</w:t>
            </w:r>
            <w:r>
              <w:t xml:space="preserve"> </w:t>
            </w:r>
            <w:r>
              <w:t xml:space="preserve">‘</w:t>
            </w:r>
            <w:r>
              <w:t xml:space="preserve">agrees with</w:t>
            </w:r>
            <w:r>
              <w:t xml:space="preserve">’</w:t>
            </w:r>
            <w:r>
              <w:t xml:space="preserve"> </w:t>
            </w:r>
            <w:r>
              <w:t xml:space="preserve">overstates the correspondence (earlier audit, ref ledger item 27).</w:t>
            </w:r>
          </w:p>
        </w:tc>
        <w:tc>
          <w:tcPr/>
          <w:p>
            <w:pPr>
              <w:pStyle w:val="Compact"/>
              <w:jc w:val="left"/>
            </w:pPr>
            <w:r>
              <w:t xml:space="preserve">Applied (text edited)</w:t>
            </w:r>
          </w:p>
        </w:tc>
      </w:tr>
      <w:tr>
        <w:tc>
          <w:tcPr/>
          <w:p>
            <w:pPr>
              <w:pStyle w:val="Compact"/>
              <w:jc w:val="left"/>
            </w:pPr>
            <w:r>
              <w:t xml:space="preserve">ED-45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ε</w:t>
            </w:r>
            <w:r>
              <w:rPr>
                <w:vertAlign w:val="subscript"/>
              </w:rPr>
              <w:t xml:space="preserve">∞</w:t>
            </w:r>
            <w:r>
              <w:t xml:space="preserve"> </w:t>
            </w:r>
            <w:r>
              <w:t xml:space="preserve">≈ 5.8 for anatase is uncited; no key in refs.py supplies it.</w:t>
            </w:r>
          </w:p>
        </w:tc>
        <w:tc>
          <w:tcPr/>
          <w:p>
            <w:pPr>
              <w:pStyle w:val="Compact"/>
              <w:jc w:val="left"/>
            </w:pPr>
            <w:r>
              <w:t xml:space="preserve">Applied (text edited)</w:t>
            </w:r>
          </w:p>
        </w:tc>
      </w:tr>
      <w:tr>
        <w:tc>
          <w:tcPr/>
          <w:p>
            <w:pPr>
              <w:pStyle w:val="Compact"/>
              <w:jc w:val="left"/>
            </w:pPr>
            <w:r>
              <w:t xml:space="preserve">ED-46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 requires a Funding statement even when there is none (</w:t>
            </w:r>
            <w:r>
              <w:t xml:space="preserve">‘</w:t>
            </w:r>
            <w:r>
              <w:t xml:space="preserve">This research did not receive any specific grant…</w:t>
            </w:r>
            <w:r>
              <w:t xml:space="preserve">’</w:t>
            </w:r>
            <w:r>
              <w:t xml:space="preserve">); the marker’s</w:t>
            </w:r>
            <w:r>
              <w:t xml:space="preserve"> </w:t>
            </w:r>
            <w:r>
              <w:t xml:space="preserve">‘</w:t>
            </w:r>
            <w:r>
              <w:t xml:space="preserve">if any</w:t>
            </w:r>
            <w:r>
              <w:t xml:space="preserve">’</w:t>
            </w:r>
            <w:r>
              <w:t xml:space="preserve"> </w:t>
            </w:r>
            <w:r>
              <w:t xml:space="preserve">could lead the authors to omit the section.</w:t>
            </w:r>
          </w:p>
        </w:tc>
        <w:tc>
          <w:tcPr/>
          <w:p>
            <w:pPr>
              <w:pStyle w:val="Compact"/>
              <w:jc w:val="left"/>
            </w:pPr>
            <w:r>
              <w:t xml:space="preserve">Applied (text edited)</w:t>
            </w:r>
          </w:p>
        </w:tc>
      </w:tr>
      <w:tr>
        <w:tc>
          <w:tcPr/>
          <w:p>
            <w:pPr>
              <w:pStyle w:val="Compact"/>
              <w:jc w:val="left"/>
            </w:pPr>
            <w:r>
              <w:t xml:space="preserve">ED-47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CRediT role names are fixed terms with fixed spelling (</w:t>
            </w:r>
            <w:r>
              <w:t xml:space="preserve">‘</w:t>
            </w:r>
            <w:r>
              <w:t xml:space="preserve">Conceptualization</w:t>
            </w:r>
            <w:r>
              <w:t xml:space="preserve">’</w:t>
            </w:r>
            <w:r>
              <w:t xml:space="preserve">,</w:t>
            </w:r>
            <w:r>
              <w:t xml:space="preserve"> </w:t>
            </w:r>
            <w:r>
              <w:t xml:space="preserve">‘</w:t>
            </w:r>
            <w:r>
              <w:t xml:space="preserve">Visualization</w:t>
            </w:r>
            <w:r>
              <w:t xml:space="preserve">’</w:t>
            </w:r>
            <w:r>
              <w:t xml:space="preserve">,</w:t>
            </w:r>
            <w:r>
              <w:t xml:space="preserve"> </w:t>
            </w:r>
            <w:r>
              <w:t xml:space="preserve">‘</w:t>
            </w:r>
            <w:r>
              <w:t xml:space="preserve">Writing – review &amp; editing</w:t>
            </w:r>
            <w:r>
              <w:t xml:space="preserve">’</w:t>
            </w:r>
            <w:r>
              <w:t xml:space="preserve">); Elsevier’s submission system matches them literally.</w:t>
            </w:r>
          </w:p>
        </w:tc>
        <w:tc>
          <w:tcPr/>
          <w:p>
            <w:pPr>
              <w:pStyle w:val="Compact"/>
              <w:jc w:val="left"/>
            </w:pPr>
            <w:r>
              <w:t xml:space="preserve">Applied (text edited)</w:t>
            </w:r>
          </w:p>
        </w:tc>
      </w:tr>
      <w:tr>
        <w:tc>
          <w:tcPr/>
          <w:p>
            <w:pPr>
              <w:pStyle w:val="Compact"/>
              <w:jc w:val="left"/>
            </w:pPr>
            <w:r>
              <w:t xml:space="preserve">ED-48</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Highlights (3–5 bullets, ≤85 characters each) are required by Applied Surface Science at submission and are not yet drafted; the revision report lists them as pending.</w:t>
            </w:r>
          </w:p>
        </w:tc>
        <w:tc>
          <w:tcPr/>
          <w:p>
            <w:pPr>
              <w:pStyle w:val="Compact"/>
              <w:jc w:val="left"/>
            </w:pPr>
            <w:r>
              <w:t xml:space="preserve">Highlights drafted (submission/Highlights.md, five bullets of 70–76 characters)</w:t>
            </w:r>
          </w:p>
        </w:tc>
      </w:tr>
      <w:tr>
        <w:tc>
          <w:tcPr/>
          <w:p>
            <w:pPr>
              <w:pStyle w:val="Compact"/>
              <w:jc w:val="left"/>
            </w:pPr>
            <w:r>
              <w:t xml:space="preserve">ED-49</w:t>
            </w:r>
          </w:p>
        </w:tc>
        <w:tc>
          <w:tcPr/>
          <w:p>
            <w:pPr>
              <w:pStyle w:val="Compact"/>
              <w:jc w:val="left"/>
            </w:pPr>
            <w:r>
              <w:t xml:space="preserve">major</w:t>
            </w:r>
          </w:p>
        </w:tc>
        <w:tc>
          <w:tcPr/>
          <w:p>
            <w:pPr>
              <w:pStyle w:val="Compact"/>
              <w:jc w:val="left"/>
            </w:pPr>
            <w:r>
              <w:t xml:space="preserve">figures</w:t>
            </w:r>
          </w:p>
        </w:tc>
        <w:tc>
          <w:tcPr/>
          <w:p>
            <w:pPr>
              <w:pStyle w:val="Compact"/>
              <w:jc w:val="left"/>
            </w:pPr>
            <w:r>
              <w:t xml:space="preserve">SI artwork is also stale: FigS1 plots a</w:t>
            </w:r>
            <w:r>
              <w:t xml:space="preserve"> </w:t>
            </w:r>
            <w:r>
              <w:t xml:space="preserve">‘</w:t>
            </w:r>
            <w:r>
              <w:t xml:space="preserve">Pr 4f</w:t>
            </w:r>
            <w:r>
              <w:t xml:space="preserve">’</w:t>
            </w:r>
            <w:r>
              <w:t xml:space="preserve"> </w:t>
            </w:r>
            <w:r>
              <w:t xml:space="preserve">channel that cannot exist with the 4f-in-core dataset (Section 2.1 says so explicitly), and FigS3 carries an unsourced</w:t>
            </w:r>
            <w:r>
              <w:t xml:space="preserve"> </w:t>
            </w:r>
            <w:r>
              <w:t xml:space="preserve">‘</w:t>
            </w:r>
            <w:r>
              <w:t xml:space="preserve">0.01 Ry/Bohr (lit. std)</w:t>
            </w:r>
            <w:r>
              <w:t xml:space="preserve">’</w:t>
            </w:r>
            <w:r>
              <w:t xml:space="preserve"> </w:t>
            </w:r>
            <w:r>
              <w:t xml:space="preserve">line that Section 5 contradicts. A referee who opens the SI will se…</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CM-01</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The internal note</w:t>
            </w:r>
            <w:r>
              <w:t xml:space="preserve"> </w:t>
            </w:r>
            <w:r>
              <w:t xml:space="preserve">“</w:t>
            </w:r>
            <w:r>
              <w:t xml:space="preserve">[NEW IN v4: … verify]</w:t>
            </w:r>
            <w:r>
              <w:t xml:space="preserve">”</w:t>
            </w:r>
            <w:r>
              <w:t xml:space="preserve"> </w:t>
            </w:r>
            <w:r>
              <w:t xml:space="preserve">is part of the bibliographic string and is printed verbatim as reference (28) in the built manuscript. It is visible placeholder text in the reference list, and it is not an [AUTHOR ACTION] passage, so the revision n…</w:t>
            </w:r>
          </w:p>
        </w:tc>
        <w:tc>
          <w:tcPr/>
          <w:p>
            <w:pPr>
              <w:pStyle w:val="Compact"/>
              <w:jc w:val="left"/>
            </w:pPr>
            <w:r>
              <w:t xml:space="preserve">Applied (text edited)</w:t>
            </w:r>
          </w:p>
        </w:tc>
      </w:tr>
      <w:tr>
        <w:tc>
          <w:tcPr/>
          <w:p>
            <w:pPr>
              <w:pStyle w:val="Compact"/>
              <w:jc w:val="left"/>
            </w:pPr>
            <w:r>
              <w:t xml:space="preserve">CM-02</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(35) of the built manuscript.</w:t>
            </w:r>
          </w:p>
        </w:tc>
        <w:tc>
          <w:tcPr/>
          <w:p>
            <w:pPr>
              <w:pStyle w:val="Compact"/>
              <w:jc w:val="left"/>
            </w:pPr>
            <w:r>
              <w:t xml:space="preserve">Applied (text edited)</w:t>
            </w:r>
          </w:p>
        </w:tc>
      </w:tr>
      <w:tr>
        <w:tc>
          <w:tcPr/>
          <w:p>
            <w:pPr>
              <w:pStyle w:val="Compact"/>
              <w:jc w:val="left"/>
            </w:pPr>
            <w:r>
              <w:t xml:space="preserve">CM-03</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including the phrase</w:t>
            </w:r>
            <w:r>
              <w:t xml:space="preserve"> </w:t>
            </w:r>
            <w:r>
              <w:t xml:space="preserve">“</w:t>
            </w:r>
            <w:r>
              <w:t xml:space="preserve">retrieved via Wiley Scholar Gateway</w:t>
            </w:r>
            <w:r>
              <w:t xml:space="preserve">”</w:t>
            </w:r>
            <w:r>
              <w:t xml:space="preserve">, prints inside reference (37) of the built manuscript.</w:t>
            </w:r>
          </w:p>
        </w:tc>
        <w:tc>
          <w:tcPr/>
          <w:p>
            <w:pPr>
              <w:pStyle w:val="Compact"/>
              <w:jc w:val="left"/>
            </w:pPr>
            <w:r>
              <w:t xml:space="preserve">Applied (text edited)</w:t>
            </w:r>
          </w:p>
        </w:tc>
      </w:tr>
      <w:tr>
        <w:tc>
          <w:tcPr/>
          <w:p>
            <w:pPr>
              <w:pStyle w:val="Compact"/>
              <w:jc w:val="left"/>
            </w:pPr>
            <w:r>
              <w:t xml:space="preserve">CM-04</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(40) of the built manuscript.</w:t>
            </w:r>
          </w:p>
        </w:tc>
        <w:tc>
          <w:tcPr/>
          <w:p>
            <w:pPr>
              <w:pStyle w:val="Compact"/>
              <w:jc w:val="left"/>
            </w:pPr>
            <w:r>
              <w:t xml:space="preserve">Applied (text edited)</w:t>
            </w:r>
          </w:p>
        </w:tc>
      </w:tr>
      <w:tr>
        <w:tc>
          <w:tcPr/>
          <w:p>
            <w:pPr>
              <w:pStyle w:val="Compact"/>
              <w:jc w:val="left"/>
            </w:pPr>
            <w:r>
              <w:t xml:space="preserve">CM-05</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the panel subtitles</w:t>
            </w:r>
            <w:r>
              <w:t xml:space="preserve"> </w:t>
            </w:r>
            <w:r>
              <w:t xml:space="preserve">“</w:t>
            </w:r>
            <w:r>
              <w:t xml:space="preserve">m = 0 (singlet, no Ti3+ trap)</w:t>
            </w:r>
            <w:r>
              <w:t xml:space="preserve">”</w:t>
            </w:r>
            <w:r>
              <w:t xml:space="preserve"> </w:t>
            </w:r>
            <w:r>
              <w:t xml:space="preserve">and</w:t>
            </w:r>
            <w:r>
              <w:t xml:space="preserve"> </w:t>
            </w:r>
            <w:r>
              <w:t xml:space="preserve">“</w:t>
            </w:r>
            <w:r>
              <w:t xml:space="preserve">/m/ = 1.21 μB (Ti3+/O hole trap)</w:t>
            </w:r>
            <w:r>
              <w:t xml:space="preserve">”</w:t>
            </w:r>
            <w:r>
              <w:t xml:space="preserve">, and Fig4_PDOS_relabel_required.png is titled</w:t>
            </w:r>
            <w:r>
              <w:t xml:space="preserve"> </w:t>
            </w:r>
            <w:r>
              <w:t xml:space="preserve">“</w:t>
            </w:r>
            <w:r>
              <w:t xml:space="preserve">Pr_VO (non-magnetic) vs Rb_VO (Ti3+ trap)</w:t>
            </w:r>
            <w:r>
              <w:t xml:space="preserve">”</w:t>
            </w:r>
            <w:r>
              <w:t xml:space="preserve"> </w:t>
            </w:r>
            <w:r>
              <w:t xml:space="preserve">with</w:t>
            </w:r>
            <w:r>
              <w:t xml:space="preserve"> </w:t>
            </w:r>
            <w:r>
              <w:t xml:space="preserve">“</w:t>
            </w:r>
            <w:r>
              <w:t xml:space="preserve">singlet</w:t>
            </w:r>
            <w:r>
              <w:t xml:space="preserve">”</w:t>
            </w:r>
            <w:r>
              <w:t xml:space="preserve"> </w:t>
            </w:r>
            <w:r>
              <w:t xml:space="preserve">in the Pr pan…</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CM-06</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states that all production relaxations used zero starting_magnetization, and Section 3.3 says Rb_perfect reached m = 1.00 μB</w:t>
            </w:r>
            <w:r>
              <w:t xml:space="preserve"> </w:t>
            </w:r>
            <w:r>
              <w:t xml:space="preserve">“</w:t>
            </w:r>
            <w:r>
              <w:t xml:space="preserve">from a zero-magnetisation start</w:t>
            </w:r>
            <w:r>
              <w:t xml:space="preserve">”</w:t>
            </w:r>
            <w:r>
              <w:t xml:space="preserve">. The Quantum ESPRESSO input documentation (PW/Doc/INPUT_PW.def, starting_magnetization) s…</w:t>
            </w:r>
          </w:p>
        </w:tc>
        <w:tc>
          <w:tcPr/>
          <w:p>
            <w:pPr>
              <w:pStyle w:val="Compact"/>
              <w:jc w:val="left"/>
            </w:pPr>
            <w:r>
              <w:t xml:space="preserve">Applied (text edited)</w:t>
            </w:r>
          </w:p>
        </w:tc>
      </w:tr>
      <w:tr>
        <w:tc>
          <w:tcPr/>
          <w:p>
            <w:pPr>
              <w:pStyle w:val="Compact"/>
              <w:jc w:val="left"/>
            </w:pPr>
            <w:r>
              <w:t xml:space="preserve">CM-07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and Limitation (v) claim one magnetic trial for every cell that converged to m = 0 (Pristine_perfect, Pr_perfect, Pr_VO, Pristine_VO), but only the Pr_VO trial is reported anywhere (Section 3.3; Table S9 run 24). The Pr_perfect trial matters most, …</w:t>
            </w:r>
          </w:p>
        </w:tc>
        <w:tc>
          <w:tcPr/>
          <w:p>
            <w:pPr>
              <w:pStyle w:val="Compact"/>
              <w:jc w:val="left"/>
            </w:pPr>
            <w:r>
              <w:t xml:space="preserve">Applied (text edited)</w:t>
            </w:r>
          </w:p>
        </w:tc>
      </w:tr>
      <w:tr>
        <w:tc>
          <w:tcPr/>
          <w:p>
            <w:pPr>
              <w:pStyle w:val="Compact"/>
              <w:jc w:val="left"/>
            </w:pPr>
            <w:r>
              <w:t xml:space="preserve">CM-08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With Gaussian smearing (SI S1: degauss = 0.01 Ry = 136 meV for the converged pristine V_O run) and fractional occupations in every odd-electron cell, pw.x prints both the smearing free energy (</w:t>
            </w:r>
            <w:r>
              <w:t xml:space="preserve">“</w:t>
            </w:r>
            <w:r>
              <w:t xml:space="preserve">! total energy</w:t>
            </w:r>
            <w:r>
              <w:t xml:space="preserve">”</w:t>
            </w:r>
            <w:r>
              <w:t xml:space="preserve">, which includes −TS) and the internal energy E = F…</w:t>
            </w:r>
          </w:p>
        </w:tc>
        <w:tc>
          <w:tcPr/>
          <w:p>
            <w:pPr>
              <w:pStyle w:val="Compact"/>
              <w:jc w:val="left"/>
            </w:pPr>
            <w:r>
              <w:t xml:space="preserve">Applied (text edited)</w:t>
            </w:r>
          </w:p>
        </w:tc>
      </w:tr>
      <w:tr>
        <w:tc>
          <w:tcPr/>
          <w:p>
            <w:pPr>
              <w:pStyle w:val="Compact"/>
              <w:jc w:val="left"/>
            </w:pPr>
            <w:r>
              <w:t xml:space="preserve">CM-09</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PSlibrary README does state that the “_low” library targets convergence at 40 Ry, but the four files named in Section 2.1 are not all from that set: Pr.pbe-spdn-kjpaw_psl.1.0.0 is generated by paw_ps_low.job, whereas Ti and Rb do not appear in paw_ps_low.j…</w:t>
            </w:r>
          </w:p>
        </w:tc>
        <w:tc>
          <w:tcPr/>
          <w:p>
            <w:pPr>
              <w:pStyle w:val="Compact"/>
              <w:jc w:val="left"/>
            </w:pPr>
            <w:r>
              <w:t xml:space="preserve">Applied (text edited)</w:t>
            </w:r>
          </w:p>
        </w:tc>
      </w:tr>
      <w:tr>
        <w:tc>
          <w:tcPr/>
          <w:p>
            <w:pPr>
              <w:pStyle w:val="Compact"/>
              <w:jc w:val="left"/>
            </w:pPr>
            <w:r>
              <w:t xml:space="preserve">CM-10</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Table S5/S9 give the HSE06 total energy of Pristine_perfect as −3926.66858 Ry against −4275.01530 Ry for PBE+U on the same cell: a difference of 348.35 Ry = 4739 eV. A change of exchange-correlation functional with the same PAW datasets cannot shift a 48-atom …</w:t>
            </w:r>
          </w:p>
        </w:tc>
        <w:tc>
          <w:tcPr/>
          <w:p>
            <w:pPr>
              <w:pStyle w:val="Compact"/>
              <w:jc w:val="left"/>
            </w:pPr>
            <w:r>
              <w:t xml:space="preserve">Applied (text edited)</w:t>
            </w:r>
          </w:p>
        </w:tc>
      </w:tr>
      <w:tr>
        <w:tc>
          <w:tcPr/>
          <w:p>
            <w:pPr>
              <w:pStyle w:val="Compact"/>
              <w:jc w:val="left"/>
            </w:pPr>
            <w:r>
              <w:t xml:space="preserve">CM-11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oxygen reference is ½E(O2) from PBE. PBE overbinds O2 by roughly 1 eV per molecule, which lowers ½E(O2) and raises every absolute E_f at the oxygen-rich limit by a common amount. Section 3.2 then compares the absolute pristine value (+4.74 eV) with literat…</w:t>
            </w:r>
          </w:p>
        </w:tc>
        <w:tc>
          <w:tcPr/>
          <w:p>
            <w:pPr>
              <w:pStyle w:val="Compact"/>
              <w:jc w:val="left"/>
            </w:pPr>
            <w:r>
              <w:t xml:space="preserve">Applied (text edited)</w:t>
            </w:r>
          </w:p>
        </w:tc>
      </w:tr>
      <w:tr>
        <w:tc>
          <w:tcPr/>
          <w:p>
            <w:pPr>
              <w:pStyle w:val="Compact"/>
              <w:jc w:val="left"/>
            </w:pPr>
            <w:r>
              <w:t xml:space="preserve">CM-12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abstract’s range 1.00–1.21 μB contradicts Table 4 (dual-U Rb_perfect: 3.00 μB) and Section 3.5 (q = +2: 2.99 μB), both of which are</w:t>
            </w:r>
            <w:r>
              <w:t xml:space="preserve"> </w:t>
            </w:r>
            <w:r>
              <w:t xml:space="preserve">“</w:t>
            </w:r>
            <w:r>
              <w:t xml:space="preserve">treatments tested</w:t>
            </w:r>
            <w:r>
              <w:t xml:space="preserve">”</w:t>
            </w:r>
            <w:r>
              <w:t xml:space="preserve">. An editor checking the abstract against Table 4 will flag the inconsistency.</w:t>
            </w:r>
          </w:p>
        </w:tc>
        <w:tc>
          <w:tcPr/>
          <w:p>
            <w:pPr>
              <w:pStyle w:val="Compact"/>
              <w:jc w:val="left"/>
            </w:pPr>
            <w:r>
              <w:t xml:space="preserve">Applied (text edited)</w:t>
            </w:r>
          </w:p>
        </w:tc>
      </w:tr>
      <w:tr>
        <w:tc>
          <w:tcPr/>
          <w:p>
            <w:pPr>
              <w:pStyle w:val="Compact"/>
              <w:jc w:val="left"/>
            </w:pPr>
            <w:r>
              <w:t xml:space="preserve">CM-13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Rb-minus-pristine reduction is quoted as 8.80 eV, but Table S9 states −8.808 eV and the unrounded ledger gives −8.81 eV; 8.80 is the difference of the rounded entries (−4.06 − 4.74), exactly the double-rounding artefact that Section 3.2 itself condemns for…</w:t>
            </w:r>
          </w:p>
        </w:tc>
        <w:tc>
          <w:tcPr/>
          <w:p>
            <w:pPr>
              <w:pStyle w:val="Compact"/>
              <w:jc w:val="left"/>
            </w:pPr>
            <w:r>
              <w:t xml:space="preserve">Applied (text edited)</w:t>
            </w:r>
          </w:p>
        </w:tc>
      </w:tr>
      <w:tr>
        <w:tc>
          <w:tcPr/>
          <w:p>
            <w:pPr>
              <w:pStyle w:val="Compact"/>
              <w:jc w:val="left"/>
            </w:pPr>
            <w:r>
              <w:t xml:space="preserve">CM-14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double-rounding artefact as CM-13, repeated in Section 4.1; must match the ledger value once CM-13 is applied.</w:t>
            </w:r>
          </w:p>
        </w:tc>
        <w:tc>
          <w:tcPr/>
          <w:p>
            <w:pPr>
              <w:pStyle w:val="Compact"/>
              <w:jc w:val="left"/>
            </w:pPr>
            <w:r>
              <w:t xml:space="preserve">Applied (text edited)</w:t>
            </w:r>
          </w:p>
        </w:tc>
      </w:tr>
      <w:tr>
        <w:tc>
          <w:tcPr/>
          <w:p>
            <w:pPr>
              <w:pStyle w:val="Compact"/>
              <w:jc w:val="left"/>
            </w:pPr>
            <w:r>
              <w:t xml:space="preserve">CM-15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stated ±0.15 eV is derived from a Γ→2×2×2 check that exists only for the two doped hosts (shifts −0.10 and −0.14 eV, one-signed, not symmetric); the pristine value has no mesh check at all (footnote a), yet the caption assigns the same uncertainty to every…</w:t>
            </w:r>
          </w:p>
        </w:tc>
        <w:tc>
          <w:tcPr/>
          <w:p>
            <w:pPr>
              <w:pStyle w:val="Compact"/>
              <w:jc w:val="left"/>
            </w:pPr>
            <w:r>
              <w:t xml:space="preserve">Applied (text edited)</w:t>
            </w:r>
          </w:p>
        </w:tc>
      </w:tr>
      <w:tr>
        <w:tc>
          <w:tcPr/>
          <w:p>
            <w:pPr>
              <w:pStyle w:val="Compact"/>
              <w:jc w:val="left"/>
            </w:pPr>
            <w:r>
              <w:t xml:space="preserve">CM-16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k-mesh paragraph says the Γ-only energies of Pr_VO and Rb_VO are high by 1.08 and 1.16 eV relative to 3×3×2, but Table S2 shows Γ − 2×2×2 differences of 0.08292 Ry = 1.128 eV (Pr_VO) and 0.09101 Ry = 1.238 eV (Rb_VO). Taken together, the 2×2×2 energies wou…</w:t>
            </w:r>
          </w:p>
        </w:tc>
        <w:tc>
          <w:tcPr/>
          <w:p>
            <w:pPr>
              <w:pStyle w:val="Compact"/>
              <w:jc w:val="left"/>
            </w:pPr>
            <w:r>
              <w:t xml:space="preserve">Applied (text edited)</w:t>
            </w:r>
          </w:p>
        </w:tc>
      </w:tr>
      <w:tr>
        <w:tc>
          <w:tcPr/>
          <w:p>
            <w:pPr>
              <w:pStyle w:val="Compact"/>
              <w:jc w:val="left"/>
            </w:pPr>
            <w:r>
              <w:t xml:space="preserve">CM-17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D3 is an additive, density-independent correction, so a D3 single point on the production geometry with identical settings must reproduce E(production) + E_D3 to the SCF tolerance (10^−8 Ry). The electronic part of the Pr_VO D3 run, −4535.85464 Ry + 10.29 eV, …</w:t>
            </w:r>
          </w:p>
        </w:tc>
        <w:tc>
          <w:tcPr/>
          <w:p>
            <w:pPr>
              <w:pStyle w:val="Compact"/>
              <w:jc w:val="left"/>
            </w:pPr>
            <w:r>
              <w:t xml:space="preserve">Applied (text edited)</w:t>
            </w:r>
          </w:p>
        </w:tc>
      </w:tr>
      <w:tr>
        <w:tc>
          <w:tcPr/>
          <w:p>
            <w:pPr>
              <w:pStyle w:val="Compact"/>
              <w:jc w:val="left"/>
            </w:pPr>
            <w:r>
              <w:t xml:space="preserve">CM-18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U-sweep single points are run on the production (relaxed) geometry, so</w:t>
            </w:r>
            <w:r>
              <w:t xml:space="preserve"> </w:t>
            </w:r>
            <w:r>
              <w:t xml:space="preserve">“</w:t>
            </w:r>
            <w:r>
              <w:t xml:space="preserve">relaxed rather than single-point</w:t>
            </w:r>
            <w:r>
              <w:t xml:space="preserve">”</w:t>
            </w:r>
            <w:r>
              <w:t xml:space="preserve"> </w:t>
            </w:r>
            <w:r>
              <w:t xml:space="preserve">cannot explain why m_abs is 1.00 μB at U = 3.0, 4.0 and 4.5 eV but 1.21 μB at 3.5 eV. Table S5 shows that the D3 single point at U = 3.5 eV on the sam…</w:t>
            </w:r>
          </w:p>
        </w:tc>
        <w:tc>
          <w:tcPr/>
          <w:p>
            <w:pPr>
              <w:pStyle w:val="Compact"/>
              <w:jc w:val="left"/>
            </w:pPr>
            <w:r>
              <w:t xml:space="preserve">Applied (text edited)</w:t>
            </w:r>
          </w:p>
        </w:tc>
      </w:tr>
      <w:tr>
        <w:tc>
          <w:tcPr/>
          <w:p>
            <w:pPr>
              <w:pStyle w:val="Compact"/>
              <w:jc w:val="left"/>
            </w:pPr>
            <w:r>
              <w:t xml:space="preserve">CM-19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Table 4 reports only m_abs for the dual-U cells. m_abs = 3.00 μB is also produced by antiparallel arrangements (e.g. m = +1, m_abs = 3), so</w:t>
            </w:r>
            <w:r>
              <w:t xml:space="preserve"> </w:t>
            </w:r>
            <w:r>
              <w:t xml:space="preserve">“</w:t>
            </w:r>
            <w:r>
              <w:t xml:space="preserve">parallel</w:t>
            </w:r>
            <w:r>
              <w:t xml:space="preserve">”</w:t>
            </w:r>
            <w:r>
              <w:t xml:space="preserve"> </w:t>
            </w:r>
            <w:r>
              <w:t xml:space="preserve">requires m = 3.00 μB, which is not given. Likewise</w:t>
            </w:r>
            <w:r>
              <w:t xml:space="preserve"> </w:t>
            </w:r>
            <w:r>
              <w:t xml:space="preserve">“</w:t>
            </w:r>
            <w:r>
              <w:t xml:space="preserve">oxygen-2p</w:t>
            </w:r>
            <w:r>
              <w:t xml:space="preserve">”</w:t>
            </w:r>
            <w:r>
              <w:t xml:space="preserve"> </w:t>
            </w:r>
            <w:r>
              <w:t xml:space="preserve">is inferred from where the U was placed, not f…</w:t>
            </w:r>
          </w:p>
        </w:tc>
        <w:tc>
          <w:tcPr/>
          <w:p>
            <w:pPr>
              <w:pStyle w:val="Compact"/>
              <w:jc w:val="left"/>
            </w:pPr>
            <w:r>
              <w:t xml:space="preserve">Applied (text edited)</w:t>
            </w:r>
          </w:p>
        </w:tc>
      </w:tr>
      <w:tr>
        <w:tc>
          <w:tcPr/>
          <w:p>
            <w:pPr>
              <w:pStyle w:val="Compact"/>
              <w:jc w:val="left"/>
            </w:pPr>
            <w:r>
              <w:t xml:space="preserve">CM-20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Table S3 does not close under its own sum rule. 376.998 − 15 × 9.683 − 31 × 7.187 = 8.956 e on Pr, i.e. a Bader charge of 11 − 8.956 = +2.04 e, not the +2.14 e stated (rounding of the two means can account for at most ±0.023 e). For Rb: 374.998 − 15 × 9.671 − …</w:t>
            </w:r>
          </w:p>
        </w:tc>
        <w:tc>
          <w:tcPr/>
          <w:p>
            <w:pPr>
              <w:pStyle w:val="Compact"/>
              <w:jc w:val="left"/>
            </w:pPr>
            <w:r>
              <w:t xml:space="preserve">Applied (text edited)</w:t>
            </w:r>
          </w:p>
        </w:tc>
      </w:tr>
      <w:tr>
        <w:tc>
          <w:tcPr/>
          <w:p>
            <w:pPr>
              <w:pStyle w:val="Compact"/>
              <w:jc w:val="left"/>
            </w:pPr>
            <w:r>
              <w:t xml:space="preserve">CM-21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Morgan and Watson 2007 (Surf. Sci. 601, 5034) is a DFT+U study of the rutile (110) surface, not anatase; citing it as</w:t>
            </w:r>
            <w:r>
              <w:t xml:space="preserve"> </w:t>
            </w:r>
            <w:r>
              <w:t xml:space="preserve">“</w:t>
            </w:r>
            <w:r>
              <w:t xml:space="preserve">anatase work</w:t>
            </w:r>
            <w:r>
              <w:t xml:space="preserve">”</w:t>
            </w:r>
            <w:r>
              <w:t xml:space="preserve"> </w:t>
            </w:r>
            <w:r>
              <w:t xml:space="preserve">is a wrong attribution. In addition, U values obtained with VASP PAW-sphere projectors are not strictly transferable to the ort…</w:t>
            </w:r>
          </w:p>
        </w:tc>
        <w:tc>
          <w:tcPr/>
          <w:p>
            <w:pPr>
              <w:pStyle w:val="Compact"/>
              <w:jc w:val="left"/>
            </w:pPr>
            <w:r>
              <w:t xml:space="preserve">Applied (text edited)</w:t>
            </w:r>
          </w:p>
        </w:tc>
      </w:tr>
      <w:tr>
        <w:tc>
          <w:tcPr/>
          <w:p>
            <w:pPr>
              <w:pStyle w:val="Compact"/>
              <w:jc w:val="left"/>
            </w:pPr>
            <w:r>
              <w:t xml:space="preserve">CM-22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phrase implies that a linear-response U was computed for the pristine cell; Section 2.2 shows that no linear-response calculation was performed at all (the value is taken from the literature).</w:t>
            </w:r>
          </w:p>
        </w:tc>
        <w:tc>
          <w:tcPr/>
          <w:p>
            <w:pPr>
              <w:pStyle w:val="Compact"/>
              <w:jc w:val="left"/>
            </w:pPr>
            <w:r>
              <w:t xml:space="preserve">Applied (text edited)</w:t>
            </w:r>
          </w:p>
        </w:tc>
      </w:tr>
      <w:tr>
        <w:tc>
          <w:tcPr/>
          <w:p>
            <w:pPr>
              <w:pStyle w:val="Compact"/>
              <w:jc w:val="left"/>
            </w:pPr>
            <w:r>
              <w:t xml:space="preserve">CM-23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Deák et al. 2014 entry is marked in refs.py as unverified (</w:t>
            </w:r>
            <w:r>
              <w:t xml:space="preserve">“</w:t>
            </w:r>
            <w:r>
              <w:t xml:space="preserve">verify against the full text</w:t>
            </w:r>
            <w:r>
              <w:t xml:space="preserve">”</w:t>
            </w:r>
            <w:r>
              <w:t xml:space="preserve">), and that paper concerns surface polarons and vacancies with hybrid functionals; whether it quotes a linear-response U for anatase has not been confirmed. The main t…</w:t>
            </w:r>
          </w:p>
        </w:tc>
        <w:tc>
          <w:tcPr/>
          <w:p>
            <w:pPr>
              <w:pStyle w:val="Compact"/>
              <w:jc w:val="left"/>
            </w:pPr>
            <w:r>
              <w:t xml:space="preserve">Applied (text edited)</w:t>
            </w:r>
          </w:p>
        </w:tc>
      </w:tr>
      <w:tr>
        <w:tc>
          <w:tcPr/>
          <w:p>
            <w:pPr>
              <w:pStyle w:val="Compact"/>
              <w:jc w:val="left"/>
            </w:pPr>
            <w:r>
              <w:t xml:space="preserve">CM-24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Γ-only sampling of a 48-atom cell is attributed to Arrigoni and Madsen, but the revision report states that their paper could not be opened and Section 3.2 already flags their values as unverified; the k-point protocol attributed to them must be verified too, …</w:t>
            </w:r>
          </w:p>
        </w:tc>
        <w:tc>
          <w:tcPr/>
          <w:p>
            <w:pPr>
              <w:pStyle w:val="Compact"/>
              <w:jc w:val="left"/>
            </w:pPr>
            <w:r>
              <w:t xml:space="preserve">Applied (text edited)</w:t>
            </w:r>
          </w:p>
        </w:tc>
      </w:tr>
      <w:tr>
        <w:tc>
          <w:tcPr/>
          <w:p>
            <w:pPr>
              <w:pStyle w:val="Compact"/>
              <w:jc w:val="left"/>
            </w:pPr>
            <w:r>
              <w:t xml:space="preserve">CM-25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HSE06 range</w:t>
            </w:r>
            <w:r>
              <w:t xml:space="preserve"> </w:t>
            </w:r>
            <w:r>
              <w:t xml:space="preserve">“</w:t>
            </w:r>
            <w:r>
              <w:t xml:space="preserve">5.3–5.5 eV</w:t>
            </w:r>
            <w:r>
              <w:t xml:space="preserve">”</w:t>
            </w:r>
            <w:r>
              <w:t xml:space="preserve"> </w:t>
            </w:r>
            <w:r>
              <w:t xml:space="preserve">is attributed to Boonchun 2016 and Deák 2014, but the existing marker asks only for Arrigoni–Madsen and Boonchun to be verified; Deák et al. 2014 is a surface-polaron paper and may not report a bulk neutral-vacancy formation energy…</w:t>
            </w:r>
          </w:p>
        </w:tc>
        <w:tc>
          <w:tcPr/>
          <w:p>
            <w:pPr>
              <w:pStyle w:val="Compact"/>
              <w:jc w:val="left"/>
            </w:pPr>
            <w:r>
              <w:t xml:space="preserve">Applied (text edited)</w:t>
            </w:r>
          </w:p>
        </w:tc>
      </w:tr>
      <w:tr>
        <w:tc>
          <w:tcPr/>
          <w:p>
            <w:pPr>
              <w:pStyle w:val="Compact"/>
              <w:jc w:val="left"/>
            </w:pPr>
            <w:r>
              <w:t xml:space="preserve">CM-26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PSlibrary generation input for Pr.pbe-spdn-kjpaw_psl.1.0.0 (paw_ps_low.job) is config = [Xe] 4f2.0 5d1.0 6s1.5 6p0.5 with pseudised 5S(2.00), 6S(1.50), 5P(6.00), 6P(0.50) and 5D(1.00) channels; Z_val = 2 + 1.5 + 6 + 0.5 + 1 = 11 is correct, but the UPF hea…</w:t>
            </w:r>
          </w:p>
        </w:tc>
        <w:tc>
          <w:tcPr/>
          <w:p>
            <w:pPr>
              <w:pStyle w:val="Compact"/>
              <w:jc w:val="left"/>
            </w:pPr>
            <w:r>
              <w:t xml:space="preserve">Applied (text edited)</w:t>
            </w:r>
          </w:p>
        </w:tc>
      </w:tr>
      <w:tr>
        <w:tc>
          <w:tcPr/>
          <w:p>
            <w:pPr>
              <w:pStyle w:val="Compact"/>
              <w:jc w:val="left"/>
            </w:pPr>
            <w:r>
              <w:t xml:space="preserve">CM-27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 relaxed Pr^3+–O distance of 2.17 Å is far below the Shannon-radius sum for six-fold Pr^3+ and O^2− (0.99 + 1.40 = 2.39 Å) and only 0.2 Å longer than Ti–O in the host; combined with the loose force tolerance, a referee will ask whether this is the relaxed fir…</w:t>
            </w:r>
          </w:p>
        </w:tc>
        <w:tc>
          <w:tcPr/>
          <w:p>
            <w:pPr>
              <w:pStyle w:val="Compact"/>
              <w:jc w:val="left"/>
            </w:pPr>
            <w:r>
              <w:t xml:space="preserve">Applied (text edited)</w:t>
            </w:r>
          </w:p>
        </w:tc>
      </w:tr>
      <w:tr>
        <w:tc>
          <w:tcPr/>
          <w:p>
            <w:pPr>
              <w:pStyle w:val="Compact"/>
              <w:jc w:val="left"/>
            </w:pPr>
            <w:r>
              <w:t xml:space="preserve">CM-28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k-mesh, cut-off and residual stress of the variable-cell relaxation are not given. At 40 Ry the Pulay stress is not negligible, and a Γ-only vc-relax of a 48-atom cell is poorly converged, so the fixed lattice parameters of all defect cells inherit an unqu…</w:t>
            </w:r>
          </w:p>
        </w:tc>
        <w:tc>
          <w:tcPr/>
          <w:p>
            <w:pPr>
              <w:pStyle w:val="Compact"/>
              <w:jc w:val="left"/>
            </w:pPr>
            <w:r>
              <w:t xml:space="preserve">Applied (text edited)</w:t>
            </w:r>
          </w:p>
        </w:tc>
      </w:tr>
      <w:tr>
        <w:tc>
          <w:tcPr/>
          <w:p>
            <w:pPr>
              <w:pStyle w:val="Compact"/>
              <w:jc w:val="left"/>
            </w:pPr>
            <w:r>
              <w:t xml:space="preserve">CM-29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says only the vacancy-free cells were treated, but Table 4 and Table S5 include a dual-U Rb_VO result, and it is not stated whether that entry is a relaxation or a single point.</w:t>
            </w:r>
          </w:p>
        </w:tc>
        <w:tc>
          <w:tcPr/>
          <w:p>
            <w:pPr>
              <w:pStyle w:val="Compact"/>
              <w:jc w:val="left"/>
            </w:pPr>
            <w:r>
              <w:t xml:space="preserve">Applied (text edited)</w:t>
            </w:r>
          </w:p>
        </w:tc>
      </w:tr>
      <w:tr>
        <w:tc>
          <w:tcPr/>
          <w:p>
            <w:pPr>
              <w:pStyle w:val="Compact"/>
              <w:jc w:val="left"/>
            </w:pPr>
            <w:r>
              <w:t xml:space="preserve">CM-30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3.6 states that printed Fermi energies of chemically different cells are unaligned and</w:t>
            </w:r>
            <w:r>
              <w:t xml:space="preserve"> </w:t>
            </w:r>
            <w:r>
              <w:t xml:space="preserve">“</w:t>
            </w:r>
            <w:r>
              <w:t xml:space="preserve">diagnostic only</w:t>
            </w:r>
            <w:r>
              <w:t xml:space="preserve">”</w:t>
            </w:r>
            <w:r>
              <w:t xml:space="preserve">, yet Section 3.4 uses a 0.53 eV difference between dual-U Pr_perfect and dual-U pristine as evidence for an acceptor state without the same caveat.</w:t>
            </w:r>
          </w:p>
        </w:tc>
        <w:tc>
          <w:tcPr/>
          <w:p>
            <w:pPr>
              <w:pStyle w:val="Compact"/>
              <w:jc w:val="left"/>
            </w:pPr>
            <w:r>
              <w:t xml:space="preserve">Applied (text edited)</w:t>
            </w:r>
          </w:p>
        </w:tc>
      </w:tr>
      <w:tr>
        <w:tc>
          <w:tcPr/>
          <w:p>
            <w:pPr>
              <w:pStyle w:val="Compact"/>
              <w:jc w:val="left"/>
            </w:pPr>
            <w:r>
              <w:t xml:space="preserve">CM-31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2×2×2 non-self-consistent Fermi energy of the pristine cell is reported nowhere (Table 3 gives only the Γ value 7.89 eV), so the statement that it is mesh-stable is unsupported; only Rb_VO (7.14 versus 7.13 eV) is documented.</w:t>
            </w:r>
          </w:p>
        </w:tc>
        <w:tc>
          <w:tcPr/>
          <w:p>
            <w:pPr>
              <w:pStyle w:val="Compact"/>
              <w:jc w:val="left"/>
            </w:pPr>
            <w:r>
              <w:t xml:space="preserve">Applied (text edited)</w:t>
            </w:r>
          </w:p>
        </w:tc>
      </w:tr>
      <w:tr>
        <w:tc>
          <w:tcPr/>
          <w:p>
            <w:pPr>
              <w:pStyle w:val="Compact"/>
              <w:jc w:val="left"/>
            </w:pPr>
            <w:r>
              <w:t xml:space="preserve">CM-32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Bader populations of Ti^3+ and Ti^4+ sites differ by a few tenths of an electron, not by ~1 e; stating that a Ti^3+ centre would produce a 1 e signature overstates the sensitivity of the test and invites the objection that a few-tenths signal could hide below …</w:t>
            </w:r>
          </w:p>
        </w:tc>
        <w:tc>
          <w:tcPr/>
          <w:p>
            <w:pPr>
              <w:pStyle w:val="Compact"/>
              <w:jc w:val="left"/>
            </w:pPr>
            <w:r>
              <w:t xml:space="preserve">Applied (text edited)</w:t>
            </w:r>
          </w:p>
        </w:tc>
      </w:tr>
      <w:tr>
        <w:tc>
          <w:tcPr/>
          <w:p>
            <w:pPr>
              <w:pStyle w:val="Compact"/>
              <w:jc w:val="left"/>
            </w:pPr>
            <w:r>
              <w:t xml:space="preserve">CM-33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width of the TiO2 stability field in Δμ_O (bounded by Ti2O3 formation) is asserted without a number or a source; a referee will ask for the TiO2/Ti2O3 boundary value.</w:t>
            </w:r>
          </w:p>
        </w:tc>
        <w:tc>
          <w:tcPr/>
          <w:p>
            <w:pPr>
              <w:pStyle w:val="Compact"/>
              <w:jc w:val="left"/>
            </w:pPr>
            <w:r>
              <w:t xml:space="preserve">Applied (text edited)</w:t>
            </w:r>
          </w:p>
        </w:tc>
      </w:tr>
      <w:tr>
        <w:tc>
          <w:tcPr/>
          <w:p>
            <w:pPr>
              <w:pStyle w:val="Compact"/>
              <w:jc w:val="left"/>
            </w:pPr>
            <w:r>
              <w:t xml:space="preserve">CM-34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Generalises from one dopant of each class to all dopants with /Δq/ = 1 or 3, which the paper elsewhere (Section 4.3, hypotheses (i)-(ii)) says it cannot do.</w:t>
            </w:r>
          </w:p>
        </w:tc>
        <w:tc>
          <w:tcPr/>
          <w:p>
            <w:pPr>
              <w:pStyle w:val="Compact"/>
              <w:jc w:val="left"/>
            </w:pPr>
            <w:r>
              <w:t xml:space="preserve">Applied (text edited)</w:t>
            </w:r>
          </w:p>
        </w:tc>
      </w:tr>
      <w:tr>
        <w:tc>
          <w:tcPr/>
          <w:p>
            <w:pPr>
              <w:pStyle w:val="Compact"/>
              <w:jc w:val="left"/>
            </w:pPr>
            <w:r>
              <w:t xml:space="preserve">CM-35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value ε∞ ≈ 5.8 for anatase is given without a source.</w:t>
            </w:r>
          </w:p>
        </w:tc>
        <w:tc>
          <w:tcPr/>
          <w:p>
            <w:pPr>
              <w:pStyle w:val="Compact"/>
              <w:jc w:val="left"/>
            </w:pPr>
            <w:r>
              <w:t xml:space="preserve">Applied (text edited)</w:t>
            </w:r>
          </w:p>
        </w:tc>
      </w:tr>
      <w:tr>
        <w:tc>
          <w:tcPr/>
          <w:p>
            <w:pPr>
              <w:pStyle w:val="Compact"/>
              <w:jc w:val="left"/>
            </w:pPr>
            <w:r>
              <w:t xml:space="preserve">CM-36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Section S1 says seven settings were changed but lists six (mixing_beta, mixing_ndim, degauss, electron_maxstep, diago_thr_init, starting_magnetization).</w:t>
            </w:r>
          </w:p>
        </w:tc>
        <w:tc>
          <w:tcPr/>
          <w:p>
            <w:pPr>
              <w:pStyle w:val="Compact"/>
              <w:jc w:val="left"/>
            </w:pPr>
            <w:r>
              <w:t xml:space="preserve">Applied (text edited)</w:t>
            </w:r>
          </w:p>
        </w:tc>
      </w:tr>
      <w:tr>
        <w:tc>
          <w:tcPr/>
          <w:p>
            <w:pPr>
              <w:pStyle w:val="Compact"/>
              <w:jc w:val="left"/>
            </w:pPr>
            <w:r>
              <w:t xml:space="preserve">CM-37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Known instability</w:t>
            </w:r>
            <w:r>
              <w:t xml:space="preserve">”</w:t>
            </w:r>
            <w:r>
              <w:t xml:space="preserve"> </w:t>
            </w:r>
            <w:r>
              <w:t xml:space="preserve">asserts literature knowledge without a citation, and</w:t>
            </w:r>
            <w:r>
              <w:t xml:space="preserve"> </w:t>
            </w:r>
            <w:r>
              <w:t xml:space="preserve">“</w:t>
            </w:r>
            <w:r>
              <w:t xml:space="preserve">half-filled</w:t>
            </w:r>
            <w:r>
              <w:t xml:space="preserve">”</w:t>
            </w:r>
            <w:r>
              <w:t xml:space="preserve"> </w:t>
            </w:r>
            <w:r>
              <w:t xml:space="preserve">is not accurate for two electrons in a conduction-band manifold of many states.</w:t>
            </w:r>
          </w:p>
        </w:tc>
        <w:tc>
          <w:tcPr/>
          <w:p>
            <w:pPr>
              <w:pStyle w:val="Compact"/>
              <w:jc w:val="left"/>
            </w:pPr>
            <w:r>
              <w:t xml:space="preserve">Applied (text edited)</w:t>
            </w:r>
          </w:p>
        </w:tc>
      </w:tr>
      <w:tr>
        <w:tc>
          <w:tcPr/>
          <w:p>
            <w:pPr>
              <w:pStyle w:val="Compact"/>
              <w:jc w:val="left"/>
            </w:pPr>
            <w:r>
              <w:t xml:space="preserve">CM-38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keyword</w:t>
            </w:r>
            <w:r>
              <w:t xml:space="preserve"> </w:t>
            </w:r>
            <w:r>
              <w:t xml:space="preserve">“</w:t>
            </w:r>
            <w:r>
              <w:t xml:space="preserve">hole polaron</w:t>
            </w:r>
            <w:r>
              <w:t xml:space="preserve">”</w:t>
            </w:r>
            <w:r>
              <w:t xml:space="preserve"> </w:t>
            </w:r>
            <w:r>
              <w:t xml:space="preserve">implies a demonstrated self-trapped state with lattice distortion; the paper reports only magnetisations and Bader differences and never analyses the local distortion, so the keyword overstates the evidence.</w:t>
            </w:r>
          </w:p>
        </w:tc>
        <w:tc>
          <w:tcPr/>
          <w:p>
            <w:pPr>
              <w:pStyle w:val="Compact"/>
              <w:jc w:val="left"/>
            </w:pPr>
            <w:r>
              <w:t xml:space="preserve">Applied (text edited)</w:t>
            </w:r>
          </w:p>
        </w:tc>
      </w:tr>
    </w:tbl>
    <w:p>
      <w:pPr>
        <w:pStyle w:val="BodyText"/>
      </w:pPr>
      <w:r>
        <w:t xml:space="preserve">Dispositions: Applied: 80, Graphical abstract created: 1, Interim raster patch of the artwork; regeneration from raw data remains an [AUTHOR ACTION]: 4, Not changed: 1, Highlights drafted: 1 (total 87).</w:t>
      </w:r>
    </w:p>
    <w:p>
      <w:pPr>
        <w:pStyle w:val="BodyText"/>
      </w:pPr>
      <w:r>
        <w:t xml:space="preserve">Most consequential corrections: the abstract rewritten to 243 words without the contradictory spin range; the double-rounded 8.80 eV replaced by 8.81 eV; the unsupported nearest-neighbour assignment of the production vacancy removed (the earlier draft had stated that site was not tested); the zero-starting-magnetisation claim replaced by a request for the actual input values; the two nearly degenerate Rb_VO spin solutions (m_abs = 1.21 versus 1.00 μB) disclosed; the HSE06 total-energy discrepancy of 348 Ry flagged; the Bader sum-rule inconsistency flagged; the k-mesh non-monotonicity stated; the</w:t>
      </w:r>
      <w:r>
        <w:t xml:space="preserve"> </w:t>
      </w:r>
      <w:r>
        <w:t xml:space="preserve">‘</w:t>
      </w:r>
      <w:r>
        <w:t xml:space="preserve">withdrawn / used earlier</w:t>
      </w:r>
      <w:r>
        <w:t xml:space="preserve">’</w:t>
      </w:r>
      <w:r>
        <w:t xml:space="preserve"> </w:t>
      </w:r>
      <w:r>
        <w:t xml:space="preserve">scaffolding removed from the Discussion and Conclusions; citation placeholders removed from the reference list; generative-AI, funding and CRediT statements brought to Elsevier form.</w:t>
      </w:r>
    </w:p>
    <w:bookmarkStart w:id="22" w:name="Xd5db98b2b87706b6483cf3f328d7555b25f0dcb"/>
    <w:p>
      <w:pPr>
        <w:pStyle w:val="Heading2"/>
      </w:pPr>
      <w:r>
        <w:t xml:space="preserve">Round 2 (3 October 2026): defect-chemistry, copy-editing, citation and SI/figure-consistency lenses (Opus 5.5)</w:t>
      </w:r>
    </w:p>
    <w:p>
      <w:pPr>
        <w:pStyle w:val="FirstParagraph"/>
      </w:pPr>
      <w:r>
        <w:t xml:space="preserve">The four lenses that the usage limit had interrupted in round 1 were re-run on the current sources with every reviewer, verifier and apply agent on Claude Opus 5.5. 13 agents completed without error. Verifiers accepted 192 findings (39 major, 153 minor, none desk-reject) and rejected 16. The apply agents made 157 edits; the remaining accepted findings either overlapped an edit already made or concerned figures and submission files, which were fixed by hand.</w:t>
      </w:r>
    </w:p>
    <w:p>
      <w:pPr>
        <w:pStyle w:val="BodyText"/>
      </w:pPr>
      <w:r>
        <w:t xml:space="preserve">Hand checks after the run. Four citation claims added by the agents (Arrigoni and Madsen’s U value, hybrid functional, Γ-only practice and ε</w:t>
      </w:r>
      <w:r>
        <w:rPr>
          <w:vertAlign w:val="subscript"/>
        </w:rPr>
        <w:t xml:space="preserve">∞</w:t>
      </w:r>
      <w:r>
        <w:t xml:space="preserve">; the Deák 2015 bulk study) were first reverted as unverified, then restored after the agent transcripts showed they were taken from the full text of the Arrigoni–Madsen arXiv preprint (1912.07260). The claim that Raghav et al. used PSlibrary datasets had no evidence and was removed. The Vural et al. marker keeps the agents’ observation that the abstract does not mention oxygen vacancies (institutional records). No computed value was changed (tools_check_numbers.py).</w:t>
      </w:r>
    </w:p>
    <w:p>
      <w:pPr>
        <w:pStyle w:val="BodyText"/>
      </w:pPr>
      <w:r>
        <w:t xml:space="preserve">Most consequential round-2 corrections: a sign error introduced in round 1 in the k-mesh paragraph (the 2×2×2 energies lie above, not below, the Γ-only values) was corrected in the main text, Limitation (ii) and SI S4; the build script no longer merges the</w:t>
      </w:r>
      <w:r>
        <w:t xml:space="preserve"> </w:t>
      </w:r>
      <w:r>
        <w:t xml:space="preserve">“</w:t>
      </w:r>
      <w:r>
        <w:t xml:space="preserve">3. Results</w:t>
      </w:r>
      <w:r>
        <w:t xml:space="preserve">”</w:t>
      </w:r>
      <w:r>
        <w:t xml:space="preserve"> </w:t>
      </w:r>
      <w:r>
        <w:t xml:space="preserve">and</w:t>
      </w:r>
      <w:r>
        <w:t xml:space="preserve"> </w:t>
      </w:r>
      <w:r>
        <w:t xml:space="preserve">“</w:t>
      </w:r>
      <w:r>
        <w:t xml:space="preserve">4. Discussion</w:t>
      </w:r>
      <w:r>
        <w:t xml:space="preserve">”</w:t>
      </w:r>
      <w:r>
        <w:t xml:space="preserve"> </w:t>
      </w:r>
      <w:r>
        <w:t xml:space="preserve">headings into the preceding paragraph; the radius confound is now stated (the ordering pristine &gt; Pr &gt; Rb is also the order of increasing cation radius);</w:t>
      </w:r>
      <w:r>
        <w:t xml:space="preserve"> </w:t>
      </w:r>
      <w:r>
        <w:t xml:space="preserve">“</w:t>
      </w:r>
      <w:r>
        <w:t xml:space="preserve">localisation</w:t>
      </w:r>
      <w:r>
        <w:t xml:space="preserve">”</w:t>
      </w:r>
      <w:r>
        <w:t xml:space="preserve"> </w:t>
      </w:r>
      <w:r>
        <w:t xml:space="preserve">is no longer asserted from magnetisation alone, and the title now reads</w:t>
      </w:r>
      <w:r>
        <w:t xml:space="preserve"> </w:t>
      </w:r>
      <w:r>
        <w:t xml:space="preserve">“</w:t>
      </w:r>
      <w:r>
        <w:t xml:space="preserve">Dopant-Induced Holes</w:t>
      </w:r>
      <w:r>
        <w:t xml:space="preserve">”</w:t>
      </w:r>
      <w:r>
        <w:t xml:space="preserve">; the charged-cell series is described as a spin count rather than a test of the hole count; Figure 1’s two panels are flagged as showing identical atomic positions; Figure 4’s spin channels are flagged as inconsistent with m = −0.97 μ</w:t>
      </w:r>
      <w:r>
        <w:rPr>
          <w:vertAlign w:val="subscript"/>
        </w:rPr>
        <w:t xml:space="preserve">B</w:t>
      </w:r>
      <w:r>
        <w:t xml:space="preserve">; the generative-AI declaration now covers the graphical abstract and the interim figure patches, with a warning that Elsevier does not permit AI-created or AI-altered images.</w:t>
      </w:r>
    </w:p>
    <w:bookmarkStart w:id="20" w:name="accepted-findings-and-dispositions"/>
    <w:p>
      <w:pPr>
        <w:pStyle w:val="Heading3"/>
      </w:pPr>
      <w:r>
        <w:t xml:space="preserve">Accepted findings and dispositions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DC-01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Overclaim contradicted by the paper itself. The ordering pristine &gt; Pr &gt; Rb is exactly the order of increasing cation radius (Ti4+ 0.605, Pr3+ 0.99, Rb+ 1.52 A, all quoted in this same paragraph), and Section 4.2 and the…</w:t>
            </w:r>
          </w:p>
        </w:tc>
        <w:tc>
          <w:tcPr/>
          <w:p>
            <w:pPr>
              <w:pStyle w:val="Compact"/>
              <w:jc w:val="left"/>
            </w:pPr>
            <w:r>
              <w:t xml:space="preserve">Applied</w:t>
            </w:r>
          </w:p>
        </w:tc>
      </w:tr>
      <w:tr>
        <w:tc>
          <w:tcPr/>
          <w:p>
            <w:pPr>
              <w:pStyle w:val="Compact"/>
              <w:jc w:val="left"/>
            </w:pPr>
            <w:r>
              <w:t xml:space="preserve">DC-02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Re-introduces the central error of the earlier audit (R01). Both dopants promote vacancy formation relative to pristine (E_f lowered by 3.45 and 8.81 eV); Pr does not</w:t>
            </w:r>
            <w:r>
              <w:t xml:space="preserve"> </w:t>
            </w:r>
            <w:r>
              <w:t xml:space="preserve">‘</w:t>
            </w:r>
            <w:r>
              <w:t xml:space="preserve">resist</w:t>
            </w:r>
            <w:r>
              <w:t xml:space="preserve">’</w:t>
            </w:r>
            <w:r>
              <w:t xml:space="preserve"> </w:t>
            </w:r>
            <w:r>
              <w:t xml:space="preserve">it.</w:t>
            </w:r>
            <w:r>
              <w:t xml:space="preserve"> </w:t>
            </w:r>
            <w:r>
              <w:t xml:space="preserve">‘</w:t>
            </w:r>
            <w:r>
              <w:t xml:space="preserve">Uphill</w:t>
            </w:r>
            <w:r>
              <w:t xml:space="preserve">’</w:t>
            </w:r>
            <w:r>
              <w:t xml:space="preserve"> </w:t>
            </w:r>
            <w:r>
              <w:t xml:space="preserve">versus</w:t>
            </w:r>
            <w:r>
              <w:t xml:space="preserve"> </w:t>
            </w:r>
            <w:r>
              <w:t xml:space="preserve">‘</w:t>
            </w:r>
            <w:r>
              <w:t xml:space="preserve">spontaneous</w:t>
            </w:r>
            <w:r>
              <w:t xml:space="preserve">’</w:t>
            </w:r>
            <w:r>
              <w:t xml:space="preserve"> </w:t>
            </w:r>
            <w:r>
              <w:t xml:space="preserve">at Delta m…</w:t>
            </w:r>
          </w:p>
        </w:tc>
        <w:tc>
          <w:tcPr/>
          <w:p>
            <w:pPr>
              <w:pStyle w:val="Compact"/>
              <w:jc w:val="left"/>
            </w:pPr>
            <w:r>
              <w:t xml:space="preserve">Applied</w:t>
            </w:r>
          </w:p>
        </w:tc>
      </w:tr>
      <w:tr>
        <w:tc>
          <w:tcPr/>
          <w:p>
            <w:pPr>
              <w:pStyle w:val="Compact"/>
              <w:jc w:val="left"/>
            </w:pPr>
            <w:r>
              <w:t xml:space="preserve">DC-03</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per-electron energy-gain argument is not checked against any reported observable and contains a self-contradiction. (a) The PBE+U band gap of this protocol is never reported (it is only requested in a Section 3.6 mar…</w:t>
            </w:r>
          </w:p>
        </w:tc>
        <w:tc>
          <w:tcPr/>
          <w:p>
            <w:pPr>
              <w:pStyle w:val="Compact"/>
              <w:jc w:val="left"/>
            </w:pPr>
            <w:r>
              <w:t xml:space="preserve">Applied</w:t>
            </w:r>
          </w:p>
        </w:tc>
      </w:tr>
      <w:tr>
        <w:tc>
          <w:tcPr/>
          <w:p>
            <w:pPr>
              <w:pStyle w:val="Compact"/>
              <w:jc w:val="left"/>
            </w:pPr>
            <w:r>
              <w:t xml:space="preserve">DC-05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omits Pristine_VO, although it is the reference of every formation-energy comparison and the baseline of the electron-transfer argument in Section 4.1. Its spin state appears only as</w:t>
            </w:r>
            <w:r>
              <w:t xml:space="preserve"> </w:t>
            </w:r>
            <w:r>
              <w:t xml:space="preserve">‘</w:t>
            </w:r>
            <w:r>
              <w:t xml:space="preserve">non-magnetic</w:t>
            </w:r>
            <w:r>
              <w:t xml:space="preserve">’</w:t>
            </w:r>
            <w:r>
              <w:t xml:space="preserve"> </w:t>
            </w:r>
            <w:r>
              <w:t xml:space="preserve">in SI S1, with…</w:t>
            </w:r>
          </w:p>
        </w:tc>
        <w:tc>
          <w:tcPr/>
          <w:p>
            <w:pPr>
              <w:pStyle w:val="Compact"/>
              <w:jc w:val="left"/>
            </w:pPr>
            <w:r>
              <w:t xml:space="preserve">Applied</w:t>
            </w:r>
          </w:p>
        </w:tc>
      </w:tr>
      <w:tr>
        <w:tc>
          <w:tcPr/>
          <w:p>
            <w:pPr>
              <w:pStyle w:val="Compact"/>
              <w:jc w:val="left"/>
            </w:pPr>
            <w:r>
              <w:t xml:space="preserve">DC-06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False as written and contradicted by Table 4 two paragraphs above: Rb_perfect has m_abs = 1.00 uB with U on Ti-3d only and 3.00 uB with the added O-2p term, so the Rb spin count is not consistent across the two Hubbard t…</w:t>
            </w:r>
          </w:p>
        </w:tc>
        <w:tc>
          <w:tcPr/>
          <w:p>
            <w:pPr>
              <w:pStyle w:val="Compact"/>
              <w:jc w:val="left"/>
            </w:pPr>
            <w:r>
              <w:t xml:space="preserve">Applied</w:t>
            </w:r>
          </w:p>
        </w:tc>
      </w:tr>
      <w:tr>
        <w:tc>
          <w:tcPr/>
          <w:p>
            <w:pPr>
              <w:pStyle w:val="Compact"/>
              <w:jc w:val="left"/>
            </w:pPr>
            <w:r>
              <w:t xml:space="preserve">DC-07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charged series is presented as an independent confirmation of three holes per Rb, but it is internally inconsistent with the neutral Ti-3d-only result. Rb_VO at q = +2 (373 electrons) and neutral Rb_perfect (381 elec…</w:t>
            </w:r>
          </w:p>
        </w:tc>
        <w:tc>
          <w:tcPr/>
          <w:p>
            <w:pPr>
              <w:pStyle w:val="Compact"/>
              <w:jc w:val="left"/>
            </w:pPr>
            <w:r>
              <w:t xml:space="preserve">Applied</w:t>
            </w:r>
          </w:p>
        </w:tc>
      </w:tr>
      <w:tr>
        <w:tc>
          <w:tcPr/>
          <w:p>
            <w:pPr>
              <w:pStyle w:val="Compact"/>
              <w:jc w:val="left"/>
            </w:pPr>
            <w:r>
              <w:t xml:space="preserve">DC-08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electron ledger of the charged Pr cells is not stated, so the observation is uninterpretable. Pr_VO at q = +1 (376 electrons) is the fully compensated Pr’(Ti)+V_O(2+) cell with no formal carriers, for which m = 0 is …</w:t>
            </w:r>
          </w:p>
        </w:tc>
        <w:tc>
          <w:tcPr/>
          <w:p>
            <w:pPr>
              <w:pStyle w:val="Compact"/>
              <w:jc w:val="left"/>
            </w:pPr>
            <w:r>
              <w:t xml:space="preserve">Applied</w:t>
            </w:r>
          </w:p>
        </w:tc>
      </w:tr>
      <w:tr>
        <w:tc>
          <w:tcPr/>
          <w:p>
            <w:pPr>
              <w:pStyle w:val="Compact"/>
              <w:jc w:val="left"/>
            </w:pPr>
            <w:r>
              <w:t xml:space="preserve">DC-09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Localised</w:t>
            </w:r>
            <w:r>
              <w:t xml:space="preserve">’</w:t>
            </w:r>
            <w:r>
              <w:t xml:space="preserve"> </w:t>
            </w:r>
            <w:r>
              <w:t xml:space="preserve">is not supported by the observable. m_abs = 3.00 uB shows three unpaired spins, but a fully spin-polarised delocalised (half-metallic) hole band gives the same integer value; localisation requires site-projec…</w:t>
            </w:r>
          </w:p>
        </w:tc>
        <w:tc>
          <w:tcPr/>
          <w:p>
            <w:pPr>
              <w:pStyle w:val="Compact"/>
              <w:jc w:val="left"/>
            </w:pPr>
            <w:r>
              <w:t xml:space="preserve">Applied</w:t>
            </w:r>
          </w:p>
        </w:tc>
      </w:tr>
      <w:tr>
        <w:tc>
          <w:tcPr/>
          <w:p>
            <w:pPr>
              <w:pStyle w:val="Compact"/>
              <w:jc w:val="left"/>
            </w:pPr>
            <w:r>
              <w:t xml:space="preserve">DC-10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Same overclaim: m_abs = 1.00 uB in an odd-electron cell shows that the hole has become spin-polarised, not that it is localised. A spin-polarised delocalised valence-band hole also gives m = m_abs = 1. This is the observ…</w:t>
            </w:r>
          </w:p>
        </w:tc>
        <w:tc>
          <w:tcPr/>
          <w:p>
            <w:pPr>
              <w:pStyle w:val="Compact"/>
              <w:jc w:val="left"/>
            </w:pPr>
            <w:r>
              <w:t xml:space="preserve">Applied</w:t>
            </w:r>
          </w:p>
        </w:tc>
      </w:tr>
      <w:tr>
        <w:tc>
          <w:tcPr/>
          <w:p>
            <w:pPr>
              <w:pStyle w:val="Compact"/>
              <w:jc w:val="left"/>
            </w:pPr>
            <w:r>
              <w:t xml:space="preserve">DC-11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The dual-U pristine cell is an insulator, so its printed E_F sits somewhere in the gap at a position set by the smearing; any hole-containing cell has E_F pinned at the hole level at or ne…</w:t>
            </w:r>
          </w:p>
        </w:tc>
        <w:tc>
          <w:tcPr/>
          <w:p>
            <w:pPr>
              <w:pStyle w:val="Compact"/>
              <w:jc w:val="left"/>
            </w:pPr>
            <w:r>
              <w:t xml:space="preserve">Applied</w:t>
            </w:r>
          </w:p>
        </w:tc>
      </w:tr>
      <w:tr>
        <w:tc>
          <w:tcPr/>
          <w:p>
            <w:pPr>
              <w:pStyle w:val="Compact"/>
              <w:jc w:val="left"/>
            </w:pPr>
            <w:r>
              <w:t xml:space="preserve">DC-12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Contradicts the same section, which states that residence on oxygen</w:t>
            </w:r>
            <w:r>
              <w:t xml:space="preserve"> </w:t>
            </w:r>
            <w:r>
              <w:t xml:space="preserve">‘</w:t>
            </w:r>
            <w:r>
              <w:t xml:space="preserve">has not been confirmed from site-projected moments or spin densities</w:t>
            </w:r>
            <w:r>
              <w:t xml:space="preserve">’</w:t>
            </w:r>
            <w:r>
              <w:t xml:space="preserve">. The Ti-3d-only description (</w:t>
            </w:r>
            <w:r>
              <w:t xml:space="preserve">‘</w:t>
            </w:r>
            <w:r>
              <w:t xml:space="preserve">delocalised</w:t>
            </w:r>
            <w:r>
              <w:t xml:space="preserve">’</w:t>
            </w:r>
            <w:r>
              <w:t xml:space="preserve">) is also an inference: the fractional …</w:t>
            </w:r>
          </w:p>
        </w:tc>
        <w:tc>
          <w:tcPr/>
          <w:p>
            <w:pPr>
              <w:pStyle w:val="Compact"/>
              <w:jc w:val="left"/>
            </w:pPr>
            <w:r>
              <w:t xml:space="preserve">Applied</w:t>
            </w:r>
          </w:p>
        </w:tc>
      </w:tr>
      <w:tr>
        <w:tc>
          <w:tcPr/>
          <w:p>
            <w:pPr>
              <w:pStyle w:val="Compact"/>
              <w:jc w:val="left"/>
            </w:pPr>
            <w:r>
              <w:t xml:space="preserve">DC-13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Category error: the electron count N_e is an input fixed by composition and Z_val, so a spin count cannot</w:t>
            </w:r>
            <w:r>
              <w:t xml:space="preserve"> </w:t>
            </w:r>
            <w:r>
              <w:t xml:space="preserve">‘</w:t>
            </w:r>
            <w:r>
              <w:t xml:space="preserve">reproduce</w:t>
            </w:r>
            <w:r>
              <w:t xml:space="preserve">’</w:t>
            </w:r>
            <w:r>
              <w:t xml:space="preserve"> </w:t>
            </w:r>
            <w:r>
              <w:t xml:space="preserve">it; what matches is the formal hole count. In addition, the trivalent Pr state behind ’one hole per Pr…</w:t>
            </w:r>
          </w:p>
        </w:tc>
        <w:tc>
          <w:tcPr/>
          <w:p>
            <w:pPr>
              <w:pStyle w:val="Compact"/>
              <w:jc w:val="left"/>
            </w:pPr>
            <w:r>
              <w:t xml:space="preserve">Applied</w:t>
            </w:r>
          </w:p>
        </w:tc>
      </w:tr>
      <w:tr>
        <w:tc>
          <w:tcPr/>
          <w:p>
            <w:pPr>
              <w:pStyle w:val="Compact"/>
              <w:jc w:val="left"/>
            </w:pPr>
            <w:r>
              <w:t xml:space="preserve">DC-14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control is over-interpreted. A closed-shell cell with no carriers cannot spin-polarise under any reasonable U; the relevant question (whether a large transferred U(O-2p) biases hole-containing cells towards spin-pola…</w:t>
            </w:r>
          </w:p>
        </w:tc>
        <w:tc>
          <w:tcPr/>
          <w:p>
            <w:pPr>
              <w:pStyle w:val="Compact"/>
              <w:jc w:val="left"/>
            </w:pPr>
            <w:r>
              <w:t xml:space="preserve">Applied</w:t>
            </w:r>
          </w:p>
        </w:tc>
      </w:tr>
      <w:tr>
        <w:tc>
          <w:tcPr/>
          <w:p>
            <w:pPr>
              <w:pStyle w:val="Compact"/>
              <w:jc w:val="left"/>
            </w:pPr>
            <w:r>
              <w:t xml:space="preserve">DC-15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section heading asserts localisation, which the section itself says has not been confirmed (no site-projected moments or spin density). The observable reported is the spin state.</w:t>
            </w:r>
          </w:p>
        </w:tc>
        <w:tc>
          <w:tcPr/>
          <w:p>
            <w:pPr>
              <w:pStyle w:val="Compact"/>
              <w:jc w:val="left"/>
            </w:pPr>
            <w:r>
              <w:t xml:space="preserve">Applied</w:t>
            </w:r>
          </w:p>
        </w:tc>
      </w:tr>
      <w:tr>
        <w:tc>
          <w:tcPr/>
          <w:p>
            <w:pPr>
              <w:pStyle w:val="Compact"/>
              <w:jc w:val="left"/>
            </w:pPr>
            <w:r>
              <w:t xml:space="preserve">DC-16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 contradiction within one paragraph:</w:t>
            </w:r>
            <w:r>
              <w:t xml:space="preserve"> </w:t>
            </w:r>
            <w:r>
              <w:t xml:space="preserve">‘</w:t>
            </w:r>
            <w:r>
              <w:t xml:space="preserve">localises one unpaired spin</w:t>
            </w:r>
            <w:r>
              <w:t xml:space="preserve">’</w:t>
            </w:r>
            <w:r>
              <w:t xml:space="preserve"> </w:t>
            </w:r>
            <w:r>
              <w:t xml:space="preserve">versus the paragraph’s last sentence (</w:t>
            </w:r>
            <w:r>
              <w:t xml:space="preserve">‘</w:t>
            </w:r>
            <w:r>
              <w:t xml:space="preserve">a partly delocalised hole rather than a single-site moment</w:t>
            </w:r>
            <w:r>
              <w:t xml:space="preserve">’</w:t>
            </w:r>
            <w:r>
              <w:t xml:space="preserve">) and the PDOS (Section 3.6), where the Rb_VO h…</w:t>
            </w:r>
          </w:p>
        </w:tc>
        <w:tc>
          <w:tcPr/>
          <w:p>
            <w:pPr>
              <w:pStyle w:val="Compact"/>
              <w:jc w:val="left"/>
            </w:pPr>
            <w:r>
              <w:t xml:space="preserve">Applied</w:t>
            </w:r>
          </w:p>
        </w:tc>
      </w:tr>
      <w:tr>
        <w:tc>
          <w:tcPr/>
          <w:p>
            <w:pPr>
              <w:pStyle w:val="Compact"/>
              <w:jc w:val="left"/>
            </w:pPr>
            <w:r>
              <w:t xml:space="preserve">DC-17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Opposite-sign spin density (m_abs &gt; /m/) is the usual signature of spin polarisation of the ions around a moment, which occurs as readily for a localised hole as for a delocalised one; a d…</w:t>
            </w:r>
          </w:p>
        </w:tc>
        <w:tc>
          <w:tcPr/>
          <w:p>
            <w:pPr>
              <w:pStyle w:val="Compact"/>
              <w:jc w:val="left"/>
            </w:pPr>
            <w:r>
              <w:t xml:space="preserve">Applied</w:t>
            </w:r>
          </w:p>
        </w:tc>
      </w:tr>
      <w:tr>
        <w:tc>
          <w:tcPr/>
          <w:p>
            <w:pPr>
              <w:pStyle w:val="Compact"/>
              <w:jc w:val="left"/>
            </w:pPr>
            <w:r>
              <w:t xml:space="preserve">DC-18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ranking compares smearing free energies (SI S9: the</w:t>
            </w:r>
            <w:r>
              <w:t xml:space="preserve"> </w:t>
            </w:r>
            <w:r>
              <w:t xml:space="preserve">‘</w:t>
            </w:r>
            <w:r>
              <w:t xml:space="preserve">!</w:t>
            </w:r>
            <w:r>
              <w:t xml:space="preserve">’</w:t>
            </w:r>
            <w:r>
              <w:t xml:space="preserve"> </w:t>
            </w:r>
            <w:r>
              <w:t xml:space="preserve">line) of a fractionally occupied non-magnetic solution and an integer-like magnetic one. Gaussian smearing (0.01 Ry = 136 meV in the only run documented) lowers…</w:t>
            </w:r>
          </w:p>
        </w:tc>
        <w:tc>
          <w:tcPr/>
          <w:p>
            <w:pPr>
              <w:pStyle w:val="Compact"/>
              <w:jc w:val="left"/>
            </w:pPr>
            <w:r>
              <w:t xml:space="preserve">Applied</w:t>
            </w:r>
          </w:p>
        </w:tc>
      </w:tr>
      <w:tr>
        <w:tc>
          <w:tcPr/>
          <w:p>
            <w:pPr>
              <w:pStyle w:val="Compact"/>
              <w:jc w:val="left"/>
            </w:pPr>
            <w:r>
              <w:t xml:space="preserve">DC-19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An m = 0 solution of an odd-electron cell requires fractional occupation at E_F, but not necessarily of band-edge states: a half-occupied localised level pinned at E_F gives the same m = 0. For Pr_VO the PDOS shows E_F i…</w:t>
            </w:r>
          </w:p>
        </w:tc>
        <w:tc>
          <w:tcPr/>
          <w:p>
            <w:pPr>
              <w:pStyle w:val="Compact"/>
              <w:jc w:val="left"/>
            </w:pPr>
            <w:r>
              <w:t xml:space="preserve">Applied</w:t>
            </w:r>
          </w:p>
        </w:tc>
      </w:tr>
      <w:tr>
        <w:tc>
          <w:tcPr/>
          <w:p>
            <w:pPr>
              <w:pStyle w:val="Compact"/>
              <w:jc w:val="left"/>
            </w:pPr>
            <w:r>
              <w:t xml:space="preserve">DC-21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Logic inverted. A species-resolved PDOS does give the orbital (O-2p versus Ti-3d) weight of the feature; what it does not give is its spatial extent. Conversely, the dual-U Rb_VO result is only a magnetisation (m_abs = 1…</w:t>
            </w:r>
          </w:p>
        </w:tc>
        <w:tc>
          <w:tcPr/>
          <w:p>
            <w:pPr>
              <w:pStyle w:val="Compact"/>
              <w:jc w:val="left"/>
            </w:pPr>
            <w:r>
              <w:t xml:space="preserve">Applied</w:t>
            </w:r>
          </w:p>
        </w:tc>
      </w:tr>
      <w:tr>
        <w:tc>
          <w:tcPr/>
          <w:p>
            <w:pPr>
              <w:pStyle w:val="Compact"/>
              <w:jc w:val="left"/>
            </w:pPr>
            <w:r>
              <w:t xml:space="preserve">DC-22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Figure 4 (Rb_VO panel and inset) places the empty part of the spin-split feature at E_F in the spin-down channel (downward DOS extends to about +0.3 eV, upward DOS ends below E_F). Empty minority states mean N_up &gt; N_dow…</w:t>
            </w:r>
          </w:p>
        </w:tc>
        <w:tc>
          <w:tcPr/>
          <w:p>
            <w:pPr>
              <w:pStyle w:val="Compact"/>
              <w:jc w:val="left"/>
            </w:pPr>
            <w:r>
              <w:t xml:space="preserve">Applied</w:t>
            </w:r>
          </w:p>
        </w:tc>
      </w:tr>
      <w:tr>
        <w:tc>
          <w:tcPr/>
          <w:p>
            <w:pPr>
              <w:pStyle w:val="Compact"/>
              <w:jc w:val="left"/>
            </w:pPr>
            <w:r>
              <w:t xml:space="preserve">DC-23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caption calls the relevant feature an</w:t>
            </w:r>
            <w:r>
              <w:t xml:space="preserve"> </w:t>
            </w:r>
            <w:r>
              <w:t xml:space="preserve">‘</w:t>
            </w:r>
            <w:r>
              <w:t xml:space="preserve">occupied state</w:t>
            </w:r>
            <w:r>
              <w:t xml:space="preserve">’</w:t>
            </w:r>
            <w:r>
              <w:t xml:space="preserve"> </w:t>
            </w:r>
            <w:r>
              <w:t xml:space="preserve">in the</w:t>
            </w:r>
            <w:r>
              <w:t xml:space="preserve"> </w:t>
            </w:r>
            <w:r>
              <w:t xml:space="preserve">‘</w:t>
            </w:r>
            <w:r>
              <w:t xml:space="preserve">gap region</w:t>
            </w:r>
            <w:r>
              <w:t xml:space="preserve">’</w:t>
            </w:r>
            <w:r>
              <w:t xml:space="preserve">, but the hole is the empty spin component of a feature at the valence-band edge (Section 3.6: E_F at the top of the valence band; occupied in…</w:t>
            </w:r>
          </w:p>
        </w:tc>
        <w:tc>
          <w:tcPr/>
          <w:p>
            <w:pPr>
              <w:pStyle w:val="Compact"/>
              <w:jc w:val="left"/>
            </w:pPr>
            <w:r>
              <w:t xml:space="preserve">Applied</w:t>
            </w:r>
          </w:p>
        </w:tc>
      </w:tr>
      <w:tr>
        <w:tc>
          <w:tcPr/>
          <w:p>
            <w:pPr>
              <w:pStyle w:val="Compact"/>
              <w:jc w:val="left"/>
            </w:pPr>
            <w:r>
              <w:t xml:space="preserve">DC-24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Beyond the alignment problem, the pristine cell is an insulator: its printed E_F lies in the gap at a position set by the smearing and the band-edge densities of states, not at a physical level. Differences between it an…</w:t>
            </w:r>
          </w:p>
        </w:tc>
        <w:tc>
          <w:tcPr/>
          <w:p>
            <w:pPr>
              <w:pStyle w:val="Compact"/>
              <w:jc w:val="left"/>
            </w:pPr>
            <w:r>
              <w:t xml:space="preserve">Applied</w:t>
            </w:r>
          </w:p>
        </w:tc>
      </w:tr>
      <w:tr>
        <w:tc>
          <w:tcPr/>
          <w:p>
            <w:pPr>
              <w:pStyle w:val="Compact"/>
              <w:jc w:val="left"/>
            </w:pPr>
            <w:r>
              <w:t xml:space="preserve">DC-25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pristine perfect cell has 384 electrons and no carriers; a non-magnetic solution is expected with any functional, so the check carries no information about the defect cells and should not be listed as a contribution …</w:t>
            </w:r>
          </w:p>
        </w:tc>
        <w:tc>
          <w:tcPr/>
          <w:p>
            <w:pPr>
              <w:pStyle w:val="Compact"/>
              <w:jc w:val="left"/>
            </w:pPr>
            <w:r>
              <w:t xml:space="preserve">Applied</w:t>
            </w:r>
          </w:p>
        </w:tc>
      </w:tr>
      <w:tr>
        <w:tc>
          <w:tcPr/>
          <w:p>
            <w:pPr>
              <w:pStyle w:val="Compact"/>
              <w:jc w:val="left"/>
            </w:pPr>
            <w:r>
              <w:t xml:space="preserve">DC-26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Overgeneralises the U sweep: it covers U on Ti-3d only, single points at a fixed geometry (no relaxation, so polaron formation cannot occur) and magnetisations only; no formation energies were recomputed (Pr_perfect and …</w:t>
            </w:r>
          </w:p>
        </w:tc>
        <w:tc>
          <w:tcPr/>
          <w:p>
            <w:pPr>
              <w:pStyle w:val="Compact"/>
              <w:jc w:val="left"/>
            </w:pPr>
            <w:r>
              <w:t xml:space="preserve">Applied</w:t>
            </w:r>
          </w:p>
        </w:tc>
      </w:tr>
      <w:tr>
        <w:tc>
          <w:tcPr/>
          <w:p>
            <w:pPr>
              <w:pStyle w:val="Compact"/>
              <w:jc w:val="left"/>
            </w:pPr>
            <w:r>
              <w:t xml:space="preserve">DC-27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Unsupported: no magnetisation from the 2x2x1, 2x2x2 or 3x3x2 runs is reported anywhere (Table S2 lists energies only).</w:t>
            </w:r>
          </w:p>
        </w:tc>
        <w:tc>
          <w:tcPr/>
          <w:p>
            <w:pPr>
              <w:pStyle w:val="Compact"/>
              <w:jc w:val="left"/>
            </w:pPr>
            <w:r>
              <w:t xml:space="preserve">Applied</w:t>
            </w:r>
          </w:p>
        </w:tc>
      </w:tr>
      <w:tr>
        <w:tc>
          <w:tcPr/>
          <w:p>
            <w:pPr>
              <w:pStyle w:val="Compact"/>
              <w:jc w:val="left"/>
            </w:pPr>
            <w:r>
              <w:t xml:space="preserve">DC-28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Internally incoherent: an excess of</w:t>
            </w:r>
            <w:r>
              <w:t xml:space="preserve"> </w:t>
            </w:r>
            <w:r>
              <w:t xml:space="preserve">‘</w:t>
            </w:r>
            <w:r>
              <w:t xml:space="preserve">a few tenths of an electron</w:t>
            </w:r>
            <w:r>
              <w:t xml:space="preserve">’</w:t>
            </w:r>
            <w:r>
              <w:t xml:space="preserve"> </w:t>
            </w:r>
            <w:r>
              <w:t xml:space="preserve">is 4-8 times the 0.05 e maximum observed, so it does not</w:t>
            </w:r>
            <w:r>
              <w:t xml:space="preserve"> </w:t>
            </w:r>
            <w:r>
              <w:t xml:space="preserve">‘</w:t>
            </w:r>
            <w:r>
              <w:t xml:space="preserve">approach</w:t>
            </w:r>
            <w:r>
              <w:t xml:space="preserve">’</w:t>
            </w:r>
            <w:r>
              <w:t xml:space="preserve"> </w:t>
            </w:r>
            <w:r>
              <w:t xml:space="preserve">that threshold. The real weakness is that the expected Ti3+ signal was never calibrate…</w:t>
            </w:r>
          </w:p>
        </w:tc>
        <w:tc>
          <w:tcPr/>
          <w:p>
            <w:pPr>
              <w:pStyle w:val="Compact"/>
              <w:jc w:val="left"/>
            </w:pPr>
            <w:r>
              <w:t xml:space="preserve">Applied</w:t>
            </w:r>
          </w:p>
        </w:tc>
      </w:tr>
      <w:tr>
        <w:tc>
          <w:tcPr/>
          <w:p>
            <w:pPr>
              <w:pStyle w:val="Compact"/>
              <w:jc w:val="left"/>
            </w:pPr>
            <w:r>
              <w:t xml:space="preserve">DC-29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Bader interpretation omits the main confound. Pr_VO (377 e) carries one net excess electron and Rb_VO (375 e) one residual hole (Table 1), so the two cells differ by two carriers, not one: the -0.97 e oxygen depletio…</w:t>
            </w:r>
          </w:p>
        </w:tc>
        <w:tc>
          <w:tcPr/>
          <w:p>
            <w:pPr>
              <w:pStyle w:val="Compact"/>
              <w:jc w:val="left"/>
            </w:pPr>
            <w:r>
              <w:t xml:space="preserve">Applied</w:t>
            </w:r>
          </w:p>
        </w:tc>
      </w:tr>
      <w:tr>
        <w:tc>
          <w:tcPr/>
          <w:p>
            <w:pPr>
              <w:pStyle w:val="Compact"/>
              <w:jc w:val="left"/>
            </w:pPr>
            <w:r>
              <w:t xml:space="preserve">DC-30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largest single-atom depletion is on a second-shell oxygen of Rb (O8) and the second on O30, whose position is not given. For an alkali acceptor the hole would usually be sought on the under-bonded first-shell oxygens…</w:t>
            </w:r>
          </w:p>
        </w:tc>
        <w:tc>
          <w:tcPr/>
          <w:p>
            <w:pPr>
              <w:pStyle w:val="Compact"/>
              <w:jc w:val="left"/>
            </w:pPr>
            <w:r>
              <w:t xml:space="preserve">Applied</w:t>
            </w:r>
          </w:p>
        </w:tc>
      </w:tr>
      <w:tr>
        <w:tc>
          <w:tcPr/>
          <w:p>
            <w:pPr>
              <w:pStyle w:val="Compact"/>
              <w:jc w:val="left"/>
            </w:pPr>
            <w:r>
              <w:t xml:space="preserve">DC-31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title (</w:t>
            </w:r>
            <w:r>
              <w:t xml:space="preserve">‘</w:t>
            </w:r>
            <w:r>
              <w:t xml:space="preserve">Hole Localisation</w:t>
            </w:r>
            <w:r>
              <w:t xml:space="preserve">’</w:t>
            </w:r>
            <w:r>
              <w:t xml:space="preserve">), the Abstract and the Conclusions claim localisation, but no reported observable measures it: m and m_abs are equally consistent with a spin-polarised delocalised hole, the PDOS is species…</w:t>
            </w:r>
          </w:p>
        </w:tc>
        <w:tc>
          <w:tcPr/>
          <w:p>
            <w:pPr>
              <w:pStyle w:val="Compact"/>
              <w:jc w:val="left"/>
            </w:pPr>
            <w:r>
              <w:t xml:space="preserve">Applied</w:t>
            </w:r>
          </w:p>
        </w:tc>
      </w:tr>
      <w:tr>
        <w:tc>
          <w:tcPr/>
          <w:p>
            <w:pPr>
              <w:pStyle w:val="Compact"/>
              <w:jc w:val="left"/>
            </w:pPr>
            <w:r>
              <w:t xml:space="preserve">DC-32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the nearest-neighbour assignment that the editorial pass removed: Section 2.3 and Section 3.7 state that the production site’s nearest-neighbour status is unreconciled (’the nearest-neighbour candidate…</w:t>
            </w:r>
          </w:p>
        </w:tc>
        <w:tc>
          <w:tcPr/>
          <w:p>
            <w:pPr>
              <w:pStyle w:val="Compact"/>
              <w:jc w:val="left"/>
            </w:pPr>
            <w:r>
              <w:t xml:space="preserve">Applied</w:t>
            </w:r>
          </w:p>
        </w:tc>
      </w:tr>
      <w:tr>
        <w:tc>
          <w:tcPr/>
          <w:p>
            <w:pPr>
              <w:pStyle w:val="Compact"/>
              <w:jc w:val="left"/>
            </w:pPr>
            <w:r>
              <w:t xml:space="preserve">DC-33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sign of E_f at Delta mu_O = 0 is a property of the chosen reference and cannot be compared with experiment; what Tian et al. can support is the direction (Rb promotes vacancy formation relative to undoped TiO2). The …</w:t>
            </w:r>
          </w:p>
        </w:tc>
        <w:tc>
          <w:tcPr/>
          <w:p>
            <w:pPr>
              <w:pStyle w:val="Compact"/>
              <w:jc w:val="left"/>
            </w:pPr>
            <w:r>
              <w:t xml:space="preserve">Applied</w:t>
            </w:r>
          </w:p>
        </w:tc>
      </w:tr>
      <w:tr>
        <w:tc>
          <w:tcPr/>
          <w:p>
            <w:pPr>
              <w:pStyle w:val="Compact"/>
              <w:jc w:val="left"/>
            </w:pPr>
            <w:r>
              <w:t xml:space="preserve">DC-34</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only observable is m_abs = 1.00 uB, which shows an unpaired (spin-polarised) hole, not a localised one (DC-10). What is method dependent, on the reported evidence, is the spin state of the Pr-induced hole.</w:t>
            </w:r>
          </w:p>
        </w:tc>
        <w:tc>
          <w:tcPr/>
          <w:p>
            <w:pPr>
              <w:pStyle w:val="Compact"/>
              <w:jc w:val="left"/>
            </w:pPr>
            <w:r>
              <w:t xml:space="preserve">Applied</w:t>
            </w:r>
          </w:p>
        </w:tc>
      </w:tr>
      <w:tr>
        <w:tc>
          <w:tcPr/>
          <w:p>
            <w:pPr>
              <w:pStyle w:val="Compact"/>
              <w:jc w:val="left"/>
            </w:pPr>
            <w:r>
              <w:t xml:space="preserve">DC-35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Physically incorrect defect-chemistry label. In the neutral Rb_VO cell the vacancy is already doubly ionised (Rb’’’(Ti) + V_O(2+) + h): its two electrons fill two Rb holes. Raising q to +2 removes two further electrons f…</w:t>
            </w:r>
          </w:p>
        </w:tc>
        <w:tc>
          <w:tcPr/>
          <w:p>
            <w:pPr>
              <w:pStyle w:val="Compact"/>
              <w:jc w:val="left"/>
            </w:pPr>
            <w:r>
              <w:t xml:space="preserve">Applied</w:t>
            </w:r>
          </w:p>
        </w:tc>
      </w:tr>
      <w:tr>
        <w:tc>
          <w:tcPr/>
          <w:p>
            <w:pPr>
              <w:pStyle w:val="Compact"/>
              <w:jc w:val="left"/>
            </w:pPr>
            <w:r>
              <w:t xml:space="preserve">DC-36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strength of the central claim: the Conclusions say</w:t>
            </w:r>
            <w:r>
              <w:t xml:space="preserve"> </w:t>
            </w:r>
            <w:r>
              <w:t xml:space="preserve">‘</w:t>
            </w:r>
            <w:r>
              <w:t xml:space="preserve">is consistent with</w:t>
            </w:r>
            <w:r>
              <w:t xml:space="preserve">’</w:t>
            </w:r>
            <w:r>
              <w:t xml:space="preserve">, and the same Abstract sentence and Section 4.3 say the design does not separate oxidation state from size.</w:t>
            </w:r>
            <w:r>
              <w:t xml:space="preserve"> </w:t>
            </w:r>
            <w:r>
              <w:t xml:space="preserve">‘</w:t>
            </w:r>
            <w:r>
              <w:t xml:space="preserve">Support … control</w:t>
            </w:r>
            <w:r>
              <w:t xml:space="preserve">’</w:t>
            </w:r>
            <w:r>
              <w:t xml:space="preserve"> </w:t>
            </w:r>
            <w:r>
              <w:t xml:space="preserve">impli…</w:t>
            </w:r>
          </w:p>
        </w:tc>
        <w:tc>
          <w:tcPr/>
          <w:p>
            <w:pPr>
              <w:pStyle w:val="Compact"/>
              <w:jc w:val="left"/>
            </w:pPr>
            <w:r>
              <w:t xml:space="preserve">Applied</w:t>
            </w:r>
          </w:p>
        </w:tc>
      </w:tr>
      <w:tr>
        <w:tc>
          <w:tcPr/>
          <w:p>
            <w:pPr>
              <w:pStyle w:val="Compact"/>
              <w:jc w:val="left"/>
            </w:pPr>
            <w:r>
              <w:t xml:space="preserve">DC-37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Chemically incorrect premise: after Ce, Pr is the lanthanide best known for an accessible +4 state in oxides (PrO2, Pr6O11). In this work the +3 state is not established but imposed by the 4f-in-core spdn dataset, so the…</w:t>
            </w:r>
          </w:p>
        </w:tc>
        <w:tc>
          <w:tcPr/>
          <w:p>
            <w:pPr>
              <w:pStyle w:val="Compact"/>
              <w:jc w:val="left"/>
            </w:pPr>
            <w:r>
              <w:t xml:space="preserve">Applied</w:t>
            </w:r>
          </w:p>
        </w:tc>
      </w:tr>
      <w:tr>
        <w:tc>
          <w:tcPr/>
          <w:p>
            <w:pPr>
              <w:pStyle w:val="Compact"/>
              <w:jc w:val="left"/>
            </w:pPr>
            <w:r>
              <w:t xml:space="preserve">DC-38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Incomplete limitation. Beyond mechanisms, the frozen-4f dataset fixes Pr as trivalent, so the formal hole count of the Pr cells (Table 1), the over-compensation argument of Section 4.1 and the spin-count agreement of Sec…</w:t>
            </w:r>
          </w:p>
        </w:tc>
        <w:tc>
          <w:tcPr/>
          <w:p>
            <w:pPr>
              <w:pStyle w:val="Compact"/>
              <w:jc w:val="left"/>
            </w:pPr>
            <w:r>
              <w:t xml:space="preserve">Applied</w:t>
            </w:r>
          </w:p>
        </w:tc>
      </w:tr>
      <w:tr>
        <w:tc>
          <w:tcPr/>
          <w:p>
            <w:pPr>
              <w:pStyle w:val="Compact"/>
              <w:jc w:val="left"/>
            </w:pPr>
            <w:r>
              <w:t xml:space="preserve">DC-39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Invites the converse inference used throughout the paper (integer moment =&gt; localised). A single unpaired electron in a fully spin-polarised delocalised state also gives m = m_abs = 1 uB; neither quantity measures locali…</w:t>
            </w:r>
          </w:p>
        </w:tc>
        <w:tc>
          <w:tcPr/>
          <w:p>
            <w:pPr>
              <w:pStyle w:val="Compact"/>
              <w:jc w:val="left"/>
            </w:pPr>
            <w:r>
              <w:t xml:space="preserve">Applied</w:t>
            </w:r>
          </w:p>
        </w:tc>
      </w:tr>
      <w:tr>
        <w:tc>
          <w:tcPr/>
          <w:p>
            <w:pPr>
              <w:pStyle w:val="Compact"/>
              <w:jc w:val="left"/>
            </w:pPr>
            <w:r>
              <w:t xml:space="preserve">DC-41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section draws its causal reading from an ordering of three points that is also the order of increasing cation radius; the alternative must be named where the argument is made, not only in Section 4.3.</w:t>
            </w:r>
          </w:p>
        </w:tc>
        <w:tc>
          <w:tcPr/>
          <w:p>
            <w:pPr>
              <w:pStyle w:val="Compact"/>
              <w:jc w:val="left"/>
            </w:pPr>
            <w:r>
              <w:t xml:space="preserve">Applied</w:t>
            </w:r>
          </w:p>
        </w:tc>
      </w:tr>
      <w:tr>
        <w:tc>
          <w:tcPr/>
          <w:p>
            <w:pPr>
              <w:pStyle w:val="Compact"/>
              <w:jc w:val="left"/>
            </w:pPr>
            <w:r>
              <w:t xml:space="preserve">DC-42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Mislabelled defect chemistry. With one vacancy per Pr the cell is over-compensated (Table 1: one net excess electron); vacancy compensation of a trivalent dopant corresponds to 2Pr’(Ti) + V_O(2+), which was not computed.…</w:t>
            </w:r>
          </w:p>
        </w:tc>
        <w:tc>
          <w:tcPr/>
          <w:p>
            <w:pPr>
              <w:pStyle w:val="Compact"/>
              <w:jc w:val="left"/>
            </w:pPr>
            <w:r>
              <w:t xml:space="preserve">Applied</w:t>
            </w:r>
          </w:p>
        </w:tc>
      </w:tr>
      <w:tr>
        <w:tc>
          <w:tcPr/>
          <w:p>
            <w:pPr>
              <w:pStyle w:val="Compact"/>
              <w:jc w:val="left"/>
            </w:pPr>
            <w:r>
              <w:t xml:space="preserve">DC-43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Three problems in one clause:</w:t>
            </w:r>
            <w:r>
              <w:t xml:space="preserve"> </w:t>
            </w:r>
            <w:r>
              <w:t xml:space="preserve">‘</w:t>
            </w:r>
            <w:r>
              <w:t xml:space="preserve">exothermic</w:t>
            </w:r>
            <w:r>
              <w:t xml:space="preserve">’</w:t>
            </w:r>
            <w:r>
              <w:t xml:space="preserve"> </w:t>
            </w:r>
            <w:r>
              <w:t xml:space="preserve">is an enthalpy term, whereas E_f + Delta mu_O with a temperature- and pressure-dependent Delta mu_O is a formation free energy;</w:t>
            </w:r>
            <w:r>
              <w:t xml:space="preserve"> </w:t>
            </w:r>
            <w:r>
              <w:t xml:space="preserve">‘</w:t>
            </w:r>
            <w:r>
              <w:t xml:space="preserve">next to</w:t>
            </w:r>
            <w:r>
              <w:t xml:space="preserve">’</w:t>
            </w:r>
            <w:r>
              <w:t xml:space="preserve"> </w:t>
            </w:r>
            <w:r>
              <w:t xml:space="preserve">asserts the unreconciled nearest-neighb…</w:t>
            </w:r>
          </w:p>
        </w:tc>
        <w:tc>
          <w:tcPr/>
          <w:p>
            <w:pPr>
              <w:pStyle w:val="Compact"/>
              <w:jc w:val="left"/>
            </w:pPr>
            <w:r>
              <w:t xml:space="preserve">Applied</w:t>
            </w:r>
          </w:p>
        </w:tc>
      </w:tr>
      <w:tr>
        <w:tc>
          <w:tcPr/>
          <w:p>
            <w:pPr>
              <w:pStyle w:val="Compact"/>
              <w:jc w:val="left"/>
            </w:pPr>
            <w:r>
              <w:t xml:space="preserve">DC-44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t>
            </w:r>
            <w:r>
              <w:t xml:space="preserve">Reproduces</w:t>
            </w:r>
            <w:r>
              <w:t xml:space="preserve">’</w:t>
            </w:r>
            <w:r>
              <w:t xml:space="preserve"> </w:t>
            </w:r>
            <w:r>
              <w:t xml:space="preserve">claims both the strong reduction of E_f and the O-2p hole localisation reported by Carey and Nolan; the latter has not been shown here (Section 3.4: residence on oxygen unconfirmed).</w:t>
            </w:r>
          </w:p>
        </w:tc>
        <w:tc>
          <w:tcPr/>
          <w:p>
            <w:pPr>
              <w:pStyle w:val="Compact"/>
              <w:jc w:val="left"/>
            </w:pPr>
            <w:r>
              <w:t xml:space="preserve">Applied</w:t>
            </w:r>
          </w:p>
        </w:tc>
      </w:tr>
      <w:tr>
        <w:tc>
          <w:tcPr/>
          <w:p>
            <w:pPr>
              <w:pStyle w:val="Compact"/>
              <w:jc w:val="left"/>
            </w:pPr>
            <w:r>
              <w:t xml:space="preserve">DC-45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localisation overclaim as DC-10; the observable is spin polarisation (m_abs = 1.00 uB).</w:t>
            </w:r>
          </w:p>
        </w:tc>
        <w:tc>
          <w:tcPr/>
          <w:p>
            <w:pPr>
              <w:pStyle w:val="Compact"/>
              <w:jc w:val="left"/>
            </w:pPr>
            <w:r>
              <w:t xml:space="preserve">Applied</w:t>
            </w:r>
          </w:p>
        </w:tc>
      </w:tr>
      <w:tr>
        <w:tc>
          <w:tcPr/>
          <w:p>
            <w:pPr>
              <w:pStyle w:val="Compact"/>
              <w:jc w:val="left"/>
            </w:pPr>
            <w:r>
              <w:t xml:space="preserve">DC-46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sign of E_f is fixed only at the chosen reference Delta mu_O = 0; at reducing conditions both E_f values are negative. Without the qualifier the statement reads as a reference-independent property.</w:t>
            </w:r>
          </w:p>
        </w:tc>
        <w:tc>
          <w:tcPr/>
          <w:p>
            <w:pPr>
              <w:pStyle w:val="Compact"/>
              <w:jc w:val="left"/>
            </w:pPr>
            <w:r>
              <w:t xml:space="preserve">Applied</w:t>
            </w:r>
          </w:p>
        </w:tc>
      </w:tr>
      <w:tr>
        <w:tc>
          <w:tcPr/>
          <w:p>
            <w:pPr>
              <w:pStyle w:val="Compact"/>
              <w:jc w:val="left"/>
            </w:pPr>
            <w:r>
              <w:t xml:space="preserve">DC-47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Contradicts Results. (a) Section 3.4 states that residence on oxygen</w:t>
            </w:r>
            <w:r>
              <w:t xml:space="preserve"> </w:t>
            </w:r>
            <w:r>
              <w:t xml:space="preserve">‘</w:t>
            </w:r>
            <w:r>
              <w:t xml:space="preserve">has not been confirmed</w:t>
            </w:r>
            <w:r>
              <w:t xml:space="preserve">’</w:t>
            </w:r>
            <w:r>
              <w:t xml:space="preserve">, and m_abs = 1.00 uB does not establish localisation. (b) Both solutions contain exactly the one formal hole required by the e…</w:t>
            </w:r>
          </w:p>
        </w:tc>
        <w:tc>
          <w:tcPr/>
          <w:p>
            <w:pPr>
              <w:pStyle w:val="Compact"/>
              <w:jc w:val="left"/>
            </w:pPr>
            <w:r>
              <w:t xml:space="preserve">Applied</w:t>
            </w:r>
          </w:p>
        </w:tc>
      </w:tr>
      <w:tr>
        <w:tc>
          <w:tcPr/>
          <w:p>
            <w:pPr>
              <w:pStyle w:val="Compact"/>
              <w:jc w:val="left"/>
            </w:pPr>
            <w:r>
              <w:t xml:space="preserve">DC-48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Table 1 gives the formal count only and its caption explicitly says it</w:t>
            </w:r>
            <w:r>
              <w:t xml:space="preserve"> </w:t>
            </w:r>
            <w:r>
              <w:t xml:space="preserve">‘</w:t>
            </w:r>
            <w:r>
              <w:t xml:space="preserve">does not state where the carriers localise</w:t>
            </w:r>
            <w:r>
              <w:t xml:space="preserve">’</w:t>
            </w:r>
            <w:r>
              <w:t xml:space="preserve">; citing it for the placement misuses it.</w:t>
            </w:r>
          </w:p>
        </w:tc>
        <w:tc>
          <w:tcPr/>
          <w:p>
            <w:pPr>
              <w:pStyle w:val="Compact"/>
              <w:jc w:val="left"/>
            </w:pPr>
            <w:r>
              <w:t xml:space="preserve">Applied</w:t>
            </w:r>
          </w:p>
        </w:tc>
      </w:tr>
      <w:tr>
        <w:tc>
          <w:tcPr/>
          <w:p>
            <w:pPr>
              <w:pStyle w:val="Compact"/>
              <w:jc w:val="left"/>
            </w:pPr>
            <w:r>
              <w:t xml:space="preserve">DC-49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Physically incorrect: Nb5+/Ta5+ on Ti4+ carry a +1 e mismatch, the counterpart of the trivalent (-1 e) case, not of the monovalent (-3 e) alkali case.</w:t>
            </w:r>
          </w:p>
        </w:tc>
        <w:tc>
          <w:tcPr/>
          <w:p>
            <w:pPr>
              <w:pStyle w:val="Compact"/>
              <w:jc w:val="left"/>
            </w:pPr>
            <w:r>
              <w:t xml:space="preserve">Applied</w:t>
            </w:r>
          </w:p>
        </w:tc>
      </w:tr>
      <w:tr>
        <w:tc>
          <w:tcPr/>
          <w:p>
            <w:pPr>
              <w:pStyle w:val="Compact"/>
              <w:jc w:val="left"/>
            </w:pPr>
            <w:r>
              <w:t xml:space="preserve">DC-50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 an n-type ETL with E_F near the conduction band, acceptor-induced holes are filled by compensating electrons (or vacancies, as the paper’s own Rb result implies); the relevant entities for recombination are the accept…</w:t>
            </w:r>
          </w:p>
        </w:tc>
        <w:tc>
          <w:tcPr/>
          <w:p>
            <w:pPr>
              <w:pStyle w:val="Compact"/>
              <w:jc w:val="left"/>
            </w:pPr>
            <w:r>
              <w:t xml:space="preserve">Applied</w:t>
            </w:r>
          </w:p>
        </w:tc>
      </w:tr>
      <w:tr>
        <w:tc>
          <w:tcPr/>
          <w:p>
            <w:pPr>
              <w:pStyle w:val="Compact"/>
              <w:jc w:val="left"/>
            </w:pPr>
            <w:r>
              <w:t xml:space="preserve">DC-51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A vacancy is not a substitution. (b) The finite-size terms are not only defect-image interactions: each vacancy cell contains a net carrier at 1.75x10^21 cm^-3 (Section 2.3), a conduction electron in Pr_VO and a vale…</w:t>
            </w:r>
          </w:p>
        </w:tc>
        <w:tc>
          <w:tcPr/>
          <w:p>
            <w:pPr>
              <w:pStyle w:val="Compact"/>
              <w:jc w:val="left"/>
            </w:pPr>
            <w:r>
              <w:t xml:space="preserve">Applied</w:t>
            </w:r>
          </w:p>
        </w:tc>
      </w:tr>
      <w:tr>
        <w:tc>
          <w:tcPr/>
          <w:p>
            <w:pPr>
              <w:pStyle w:val="Compact"/>
              <w:jc w:val="left"/>
            </w:pPr>
            <w:r>
              <w:t xml:space="preserve">DC-52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single denser mesh does not bound the residual: Section 3.7 shows that the 2x2x2 energies lie 0.05-0.08 eV below the 3x3x2 values (non-monotonic), and the pristine E_f has no mesh check at all (Table 2 footnote a), so …</w:t>
            </w:r>
          </w:p>
        </w:tc>
        <w:tc>
          <w:tcPr/>
          <w:p>
            <w:pPr>
              <w:pStyle w:val="Compact"/>
              <w:jc w:val="left"/>
            </w:pPr>
            <w:r>
              <w:t xml:space="preserve">Applied</w:t>
            </w:r>
          </w:p>
        </w:tc>
      </w:tr>
      <w:tr>
        <w:tc>
          <w:tcPr/>
          <w:p>
            <w:pPr>
              <w:pStyle w:val="Compact"/>
              <w:jc w:val="left"/>
            </w:pPr>
            <w:r>
              <w:t xml:space="preserve">DC-53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limitation does not state its consequence for the headline numbers: E_f is a difference of total energies, so a lower-energy spin solution of any parent or vacancy cell shifts the corresponding E_f one-for-one. Pr_pe…</w:t>
            </w:r>
          </w:p>
        </w:tc>
        <w:tc>
          <w:tcPr/>
          <w:p>
            <w:pPr>
              <w:pStyle w:val="Compact"/>
              <w:jc w:val="left"/>
            </w:pPr>
            <w:r>
              <w:t xml:space="preserve">Applied</w:t>
            </w:r>
          </w:p>
        </w:tc>
      </w:tr>
      <w:tr>
        <w:tc>
          <w:tcPr/>
          <w:p>
            <w:pPr>
              <w:pStyle w:val="Compact"/>
              <w:jc w:val="left"/>
            </w:pPr>
            <w:r>
              <w:t xml:space="preserve">DC-54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Pr counterpart, 2 Pr + 1 V_O (the configuration that actually represents vacancy compensation of a trivalent dopant), is equally missing and is not listed; the 1:1 Pr cell is over-compensated (Table 1).</w:t>
            </w:r>
          </w:p>
        </w:tc>
        <w:tc>
          <w:tcPr/>
          <w:p>
            <w:pPr>
              <w:pStyle w:val="Compact"/>
              <w:jc w:val="left"/>
            </w:pPr>
            <w:r>
              <w:t xml:space="preserve">Applied</w:t>
            </w:r>
          </w:p>
        </w:tc>
      </w:tr>
      <w:tr>
        <w:tc>
          <w:tcPr/>
          <w:p>
            <w:pPr>
              <w:pStyle w:val="Compact"/>
              <w:jc w:val="left"/>
            </w:pPr>
            <w:r>
              <w:t xml:space="preserve">DC-55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Must follow the corrected Section 3.7 reading (DC-29): the cells also differ by two carriers, and the comparison carries no spin information.</w:t>
            </w:r>
          </w:p>
        </w:tc>
        <w:tc>
          <w:tcPr/>
          <w:p>
            <w:pPr>
              <w:pStyle w:val="Compact"/>
              <w:jc w:val="left"/>
            </w:pPr>
            <w:r>
              <w:t xml:space="preserve">Applied</w:t>
            </w:r>
          </w:p>
        </w:tc>
      </w:tr>
      <w:tr>
        <w:tc>
          <w:tcPr/>
          <w:p>
            <w:pPr>
              <w:pStyle w:val="Compact"/>
              <w:jc w:val="left"/>
            </w:pPr>
            <w:r>
              <w:t xml:space="preserve">DC-56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Contradiction between Results and Conclusions. Section 3.4 states that residence of the spins on oxygen</w:t>
            </w:r>
            <w:r>
              <w:t xml:space="preserve"> </w:t>
            </w:r>
            <w:r>
              <w:t xml:space="preserve">‘</w:t>
            </w:r>
            <w:r>
              <w:t xml:space="preserve">has not been confirmed from site-projected moments or spin densities</w:t>
            </w:r>
            <w:r>
              <w:t xml:space="preserve">’</w:t>
            </w:r>
            <w:r>
              <w:t xml:space="preserve">; the oxygen-site Hubbard calculation reports …</w:t>
            </w:r>
          </w:p>
        </w:tc>
        <w:tc>
          <w:tcPr/>
          <w:p>
            <w:pPr>
              <w:pStyle w:val="Compact"/>
              <w:jc w:val="left"/>
            </w:pPr>
            <w:r>
              <w:t xml:space="preserve">Applied</w:t>
            </w:r>
          </w:p>
        </w:tc>
      </w:tr>
      <w:tr>
        <w:tc>
          <w:tcPr/>
          <w:p>
            <w:pPr>
              <w:pStyle w:val="Compact"/>
              <w:jc w:val="left"/>
            </w:pPr>
            <w:r>
              <w:t xml:space="preserve">DC-57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localisation overclaim as DC-10/DC-34, in the section editors read most carefully: the observable is m_abs = 1.00 uB.</w:t>
            </w:r>
          </w:p>
        </w:tc>
        <w:tc>
          <w:tcPr/>
          <w:p>
            <w:pPr>
              <w:pStyle w:val="Compact"/>
              <w:jc w:val="left"/>
            </w:pPr>
            <w:r>
              <w:t xml:space="preserve">Applied</w:t>
            </w:r>
          </w:p>
        </w:tc>
      </w:tr>
      <w:tr>
        <w:tc>
          <w:tcPr/>
          <w:p>
            <w:pPr>
              <w:pStyle w:val="Compact"/>
              <w:jc w:val="left"/>
            </w:pPr>
            <w:r>
              <w:t xml:space="preserve">DC-58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per family to</w:t>
            </w:r>
            <w:r>
              <w:t xml:space="preserve"> </w:t>
            </w:r>
            <w:r>
              <w:t xml:space="preserve">‘</w:t>
            </w:r>
            <w:r>
              <w:t xml:space="preserve">the two dopant families</w:t>
            </w:r>
            <w:r>
              <w:t xml:space="preserve">’</w:t>
            </w:r>
            <w:r>
              <w:t xml:space="preserve"> </w:t>
            </w:r>
            <w:r>
              <w:t xml:space="preserve">(the overclaim that ED-22 removed from Section 4.5) and calls Gamma-only, 40 Ry, loosely relaxed values a</w:t>
            </w:r>
            <w:r>
              <w:t xml:space="preserve"> </w:t>
            </w:r>
            <w:r>
              <w:t xml:space="preserve">‘</w:t>
            </w:r>
            <w:r>
              <w:t xml:space="preserve">benchmark</w:t>
            </w:r>
            <w:r>
              <w:t xml:space="preserve">’</w:t>
            </w:r>
            <w:r>
              <w:t xml:space="preserve">, which Limitations (ii)-(iv) contr…</w:t>
            </w:r>
          </w:p>
        </w:tc>
        <w:tc>
          <w:tcPr/>
          <w:p>
            <w:pPr>
              <w:pStyle w:val="Compact"/>
              <w:jc w:val="left"/>
            </w:pPr>
            <w:r>
              <w:t xml:space="preserve">Applied</w:t>
            </w:r>
          </w:p>
        </w:tc>
      </w:tr>
      <w:tr>
        <w:tc>
          <w:tcPr/>
          <w:p>
            <w:pPr>
              <w:pStyle w:val="Compact"/>
              <w:jc w:val="left"/>
            </w:pPr>
            <w:r>
              <w:t xml:space="preserve">DC-59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Only one mesh change (Gamma to 2x2x2) was made for the formation-energy cycle, and the 2x2x2 totals are not monotonic with respect to 3x3x2 (Section 3.7);</w:t>
            </w:r>
            <w:r>
              <w:t xml:space="preserve"> </w:t>
            </w:r>
            <w:r>
              <w:t xml:space="preserve">‘</w:t>
            </w:r>
            <w:r>
              <w:t xml:space="preserve">stable against the k-mesh</w:t>
            </w:r>
            <w:r>
              <w:t xml:space="preserve">’</w:t>
            </w:r>
            <w:r>
              <w:t xml:space="preserve"> </w:t>
            </w:r>
            <w:r>
              <w:t xml:space="preserve">implies a convergence study that was …</w:t>
            </w:r>
          </w:p>
        </w:tc>
        <w:tc>
          <w:tcPr/>
          <w:p>
            <w:pPr>
              <w:pStyle w:val="Compact"/>
              <w:jc w:val="left"/>
            </w:pPr>
            <w:r>
              <w:t xml:space="preserve">Applied</w:t>
            </w:r>
          </w:p>
        </w:tc>
      </w:tr>
      <w:tr>
        <w:tc>
          <w:tcPr/>
          <w:p>
            <w:pPr>
              <w:pStyle w:val="Compact"/>
              <w:jc w:val="left"/>
            </w:pPr>
            <w:r>
              <w:t xml:space="preserve">DC-60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Electron-ledger notation in the SI contradicts Table 1 and Section 2.1 of the main text, which give 5s2 5p6 5d1 (6s,6p)2 with fractional 6s/6p occupations; both sum to 11, but the configurations differ.</w:t>
            </w:r>
          </w:p>
        </w:tc>
        <w:tc>
          <w:tcPr/>
          <w:p>
            <w:pPr>
              <w:pStyle w:val="Compact"/>
              <w:jc w:val="left"/>
            </w:pPr>
            <w:r>
              <w:t xml:space="preserve">Applied</w:t>
            </w:r>
          </w:p>
        </w:tc>
      </w:tr>
      <w:tr>
        <w:tc>
          <w:tcPr/>
          <w:p>
            <w:pPr>
              <w:pStyle w:val="Compact"/>
              <w:jc w:val="left"/>
            </w:pPr>
            <w:r>
              <w:t xml:space="preserve">DC-61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graphical abstract (figures/Graphical_Abstract.png) repeats the localisation overclaim (observable: m_abs = 1.00 uB) and presents the hole-count ordering without the radius confound that the paper concedes.</w:t>
            </w:r>
          </w:p>
        </w:tc>
        <w:tc>
          <w:tcPr/>
          <w:p>
            <w:pPr>
              <w:pStyle w:val="Compact"/>
              <w:jc w:val="left"/>
            </w:pPr>
            <w:r>
              <w:t xml:space="preserve">Applied by hand: Graphical abstract text corrected (spin state; cation-size confound)</w:t>
            </w:r>
          </w:p>
        </w:tc>
      </w:tr>
      <w:tr>
        <w:tc>
          <w:tcPr/>
          <w:p>
            <w:pPr>
              <w:pStyle w:val="Compact"/>
              <w:jc w:val="left"/>
            </w:pPr>
            <w:r>
              <w:t xml:space="preserve">DC-62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(not a manuscript source file) repeats the localisation overclaim; the reported observable is the spin state (m_abs 0 versus 1.00 uB).</w:t>
            </w:r>
          </w:p>
        </w:tc>
        <w:tc>
          <w:tcPr/>
          <w:p>
            <w:pPr>
              <w:pStyle w:val="Compact"/>
              <w:jc w:val="left"/>
            </w:pPr>
            <w:r>
              <w:t xml:space="preserve">Applied by hand: Highlights corrected</w:t>
            </w:r>
          </w:p>
        </w:tc>
      </w:tr>
      <w:tr>
        <w:tc>
          <w:tcPr/>
          <w:p>
            <w:pPr>
              <w:pStyle w:val="Compact"/>
              <w:jc w:val="left"/>
            </w:pPr>
            <w:r>
              <w:t xml:space="preserve">LS-01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Build artefact that survives into Word: tools_rebuild.sh joins the parts with</w:t>
            </w:r>
            <w:r>
              <w:t xml:space="preserve"> </w:t>
            </w:r>
            <w:r>
              <w:rPr>
                <w:rStyle w:val="VerbatimChar"/>
              </w:rPr>
              <w:t xml:space="preserve">cat</w:t>
            </w:r>
            <w:r>
              <w:t xml:space="preserve">, and part1 ends with a single newline, so</w:t>
            </w:r>
            <w:r>
              <w:t xml:space="preserve"> </w:t>
            </w:r>
            <w:r>
              <w:t xml:space="preserve">‘</w:t>
            </w:r>
            <w:r>
              <w:rPr>
                <w:bCs/>
                <w:b/>
              </w:rPr>
              <w:t xml:space="preserve">3. Results</w:t>
            </w:r>
            <w:r>
              <w:t xml:space="preserve">’</w:t>
            </w:r>
            <w:r>
              <w:t xml:space="preserve"> </w:t>
            </w:r>
            <w:r>
              <w:t xml:space="preserve">sits on the line right after the Section 2.8 paragraph. Pandoc reads it as pa…</w:t>
            </w:r>
          </w:p>
        </w:tc>
        <w:tc>
          <w:tcPr/>
          <w:p>
            <w:pPr>
              <w:pStyle w:val="Compact"/>
              <w:jc w:val="left"/>
            </w:pPr>
            <w:r>
              <w:t xml:space="preserve">Applied</w:t>
            </w:r>
          </w:p>
        </w:tc>
      </w:tr>
      <w:tr>
        <w:tc>
          <w:tcPr/>
          <w:p>
            <w:pPr>
              <w:pStyle w:val="Compact"/>
              <w:jc w:val="left"/>
            </w:pPr>
            <w:r>
              <w:t xml:space="preserve">LS-02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concatenation artefact as LS-01. part2 ends with a single newline, so</w:t>
            </w:r>
            <w:r>
              <w:t xml:space="preserve"> </w:t>
            </w:r>
            <w:r>
              <w:t xml:space="preserve">‘</w:t>
            </w:r>
            <w:r>
              <w:rPr>
                <w:bCs/>
                <w:b/>
              </w:rPr>
              <w:t xml:space="preserve">4. Discussion</w:t>
            </w:r>
            <w:r>
              <w:t xml:space="preserve">’</w:t>
            </w:r>
            <w:r>
              <w:t xml:space="preserve"> </w:t>
            </w:r>
            <w:r>
              <w:t xml:space="preserve">merges into the Bader-charges paragraph of Section 3.7 and disappears as a heading in the Word file.</w:t>
            </w:r>
          </w:p>
        </w:tc>
        <w:tc>
          <w:tcPr/>
          <w:p>
            <w:pPr>
              <w:pStyle w:val="Compact"/>
              <w:jc w:val="left"/>
            </w:pPr>
            <w:r>
              <w:t xml:space="preserve">Applied</w:t>
            </w:r>
          </w:p>
        </w:tc>
      </w:tr>
      <w:tr>
        <w:tc>
          <w:tcPr/>
          <w:p>
            <w:pPr>
              <w:pStyle w:val="Compact"/>
              <w:jc w:val="left"/>
            </w:pPr>
            <w:r>
              <w:t xml:space="preserve">LS-03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sign is wrong, and Table S2 and the Table S9 ledger contradict it. The 2×2×2 totals are less negative than the Γ totals: Pr_VO −4535.01814 vs −4535.10106 Ry; Rb_VO −4289.08034 vs −4289.17135 Ry. So the 2×2×2 energies…</w:t>
            </w:r>
          </w:p>
        </w:tc>
        <w:tc>
          <w:tcPr/>
          <w:p>
            <w:pPr>
              <w:pStyle w:val="Compact"/>
              <w:jc w:val="left"/>
            </w:pPr>
            <w:r>
              <w:t xml:space="preserve">Applied</w:t>
            </w:r>
          </w:p>
        </w:tc>
      </w:tr>
      <w:tr>
        <w:tc>
          <w:tcPr/>
          <w:p>
            <w:pPr>
              <w:pStyle w:val="Compact"/>
              <w:jc w:val="left"/>
            </w:pPr>
            <w:r>
              <w:t xml:space="preserve">LS-04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Limitation (ii) has two problems. It repeats the unsupported direction</w:t>
            </w:r>
            <w:r>
              <w:t xml:space="preserve"> </w:t>
            </w:r>
            <w:r>
              <w:t xml:space="preserve">‘</w:t>
            </w:r>
            <w:r>
              <w:t xml:space="preserve">above the 3×3×2 values</w:t>
            </w:r>
            <w:r>
              <w:t xml:space="preserve">’</w:t>
            </w:r>
            <w:r>
              <w:t xml:space="preserve"> </w:t>
            </w:r>
            <w:r>
              <w:t xml:space="preserve">(see LS-03; the ledger places 2×2×2 above Γ, so Γ most likely lies below the multi-k meshes). It also says the 2×2×2 check b…</w:t>
            </w:r>
          </w:p>
        </w:tc>
        <w:tc>
          <w:tcPr/>
          <w:p>
            <w:pPr>
              <w:pStyle w:val="Compact"/>
              <w:jc w:val="left"/>
            </w:pPr>
            <w:r>
              <w:t xml:space="preserve">Superseded by an overlapping fix (The quoted text no longer matched. DC-52 had already handled the part …)</w:t>
            </w:r>
          </w:p>
        </w:tc>
      </w:tr>
      <w:tr>
        <w:tc>
          <w:tcPr/>
          <w:p>
            <w:pPr>
              <w:pStyle w:val="Compact"/>
              <w:jc w:val="left"/>
            </w:pPr>
            <w:r>
              <w:t xml:space="preserve">LS-05</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The SI repeats the sign error of LS-03, and its own Table S2 contradicts it. Its ΔE column is positive (+0.08292, +0.09101 Ry), i.e. E(2×2×2) − E(Γ) &gt; 0, but the table never defines which way ΔE is taken. The signed ’Γ −…</w:t>
            </w:r>
          </w:p>
        </w:tc>
        <w:tc>
          <w:tcPr/>
          <w:p>
            <w:pPr>
              <w:pStyle w:val="Compact"/>
              <w:jc w:val="left"/>
            </w:pPr>
            <w:r>
              <w:t xml:space="preserve">Applied</w:t>
            </w:r>
          </w:p>
        </w:tc>
      </w:tr>
      <w:tr>
        <w:tc>
          <w:tcPr/>
          <w:p>
            <w:pPr>
              <w:pStyle w:val="Compact"/>
              <w:jc w:val="left"/>
            </w:pPr>
            <w:r>
              <w:t xml:space="preserve">LS-06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AI declaration is incomplete. The same tool also generated the graphical abstract (figures/make_graphical_abstract.py, editorial log ED-02) and raster-patched text labels on the interim artwork of Figures 1, 4, S1 an…</w:t>
            </w:r>
          </w:p>
        </w:tc>
        <w:tc>
          <w:tcPr/>
          <w:p>
            <w:pPr>
              <w:pStyle w:val="Compact"/>
              <w:jc w:val="left"/>
            </w:pPr>
            <w:r>
              <w:t xml:space="preserve">Applied</w:t>
            </w:r>
          </w:p>
        </w:tc>
      </w:tr>
      <w:tr>
        <w:tc>
          <w:tcPr/>
          <w:p>
            <w:pPr>
              <w:pStyle w:val="Compact"/>
              <w:jc w:val="left"/>
            </w:pPr>
            <w:r>
              <w:t xml:space="preserve">LS-07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says the vacancy is a nearest neighbour of the dopant. Section 2.3 now says only</w:t>
            </w:r>
            <w:r>
              <w:t xml:space="preserve"> </w:t>
            </w:r>
            <w:r>
              <w:t xml:space="preserve">‘</w:t>
            </w:r>
            <w:r>
              <w:t xml:space="preserve">in the neighbourhood of the dopant site</w:t>
            </w:r>
            <w:r>
              <w:t xml:space="preserve">’</w:t>
            </w:r>
            <w:r>
              <w:t xml:space="preserve">, Section 3.1 says the same, and the 2.3 AUTHOR ACTION says no nearest-neighbour statem…</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LS-08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overstates the result relative to the preceding paragraph of 3.4, which says the spins</w:t>
            </w:r>
            <w:r>
              <w:t xml:space="preserve"> </w:t>
            </w:r>
            <w:r>
              <w:t xml:space="preserve">‘</w:t>
            </w:r>
            <w:r>
              <w:t xml:space="preserve">are expected to reside on oxygen, but this has not been confirmed from site-projected moments or spin densities</w:t>
            </w:r>
            <w:r>
              <w:t xml:space="preserve">’</w:t>
            </w:r>
            <w:r>
              <w:t xml:space="preserve">. The AUTHOR AC…</w:t>
            </w:r>
          </w:p>
        </w:tc>
        <w:tc>
          <w:tcPr/>
          <w:p>
            <w:pPr>
              <w:pStyle w:val="Compact"/>
              <w:jc w:val="left"/>
            </w:pPr>
            <w:r>
              <w:t xml:space="preserve">Superseded by an overlapping fix (DC-12 already rewrote the sentence, and its version covers the same po…)</w:t>
            </w:r>
          </w:p>
        </w:tc>
      </w:tr>
      <w:tr>
        <w:tc>
          <w:tcPr/>
          <w:p>
            <w:pPr>
              <w:pStyle w:val="Compact"/>
              <w:jc w:val="left"/>
            </w:pPr>
            <w:r>
              <w:t xml:space="preserve">LS-09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Section 4.4 calls the dual-U Pr_perfect state an</w:t>
            </w:r>
            <w:r>
              <w:t xml:space="preserve"> </w:t>
            </w:r>
            <w:r>
              <w:t xml:space="preserve">‘</w:t>
            </w:r>
            <w:r>
              <w:t xml:space="preserve">oxygen hole</w:t>
            </w:r>
            <w:r>
              <w:t xml:space="preserve">’</w:t>
            </w:r>
            <w:r>
              <w:t xml:space="preserve">. Section 3.4 says the oxygen character is expected but not confirmed (no site-projected moments or spin density are reported).</w:t>
            </w:r>
          </w:p>
        </w:tc>
        <w:tc>
          <w:tcPr/>
          <w:p>
            <w:pPr>
              <w:pStyle w:val="Compact"/>
              <w:jc w:val="left"/>
            </w:pPr>
            <w:r>
              <w:t xml:space="preserve">Superseded by an overlapping fix (DC-47 had already replaced this clause with ’one unpaired spin (m</w:t>
            </w:r>
            <w:r>
              <w:rPr>
                <w:vertAlign w:val="subscript"/>
              </w:rPr>
              <w:t xml:space="preserve">abs</w:t>
            </w:r>
            <w:r>
              <w:t xml:space="preserve">…)</w:t>
            </w:r>
          </w:p>
        </w:tc>
      </w:tr>
      <w:tr>
        <w:tc>
          <w:tcPr/>
          <w:p>
            <w:pPr>
              <w:pStyle w:val="Compact"/>
              <w:jc w:val="left"/>
            </w:pPr>
            <w:r>
              <w:t xml:space="preserve">LS-10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Conclusions say the dual-U calculation places the Rb spins on oxygen, but Section 3.4 says this</w:t>
            </w:r>
            <w:r>
              <w:t xml:space="preserve"> </w:t>
            </w:r>
            <w:r>
              <w:t xml:space="preserve">‘</w:t>
            </w:r>
            <w:r>
              <w:t xml:space="preserve">has not been confirmed</w:t>
            </w:r>
            <w:r>
              <w:t xml:space="preserve">’</w:t>
            </w:r>
            <w:r>
              <w:t xml:space="preserve">. Bader analysis was done only for Rb_VO (Section 3.7, Table S3), not for</w:t>
            </w:r>
            <w:r>
              <w:t xml:space="preserve"> </w:t>
            </w:r>
            <w:r>
              <w:t xml:space="preserve">‘</w:t>
            </w:r>
            <w:r>
              <w:t xml:space="preserve">the Rb cells</w:t>
            </w:r>
            <w:r>
              <w:t xml:space="preserve">’</w:t>
            </w:r>
            <w:r>
              <w:t xml:space="preserve"> </w:t>
            </w:r>
            <w:r>
              <w:t xml:space="preserve">in gene…</w:t>
            </w:r>
          </w:p>
        </w:tc>
        <w:tc>
          <w:tcPr/>
          <w:p>
            <w:pPr>
              <w:pStyle w:val="Compact"/>
              <w:jc w:val="left"/>
            </w:pPr>
            <w:r>
              <w:t xml:space="preserve">Superseded by an overlapping fix (DC-56 had already rewritten this clause in the Conclusions to ’are com…)</w:t>
            </w:r>
          </w:p>
        </w:tc>
      </w:tr>
      <w:tr>
        <w:tc>
          <w:tcPr/>
          <w:p>
            <w:pPr>
              <w:pStyle w:val="Compact"/>
              <w:jc w:val="left"/>
            </w:pPr>
            <w:r>
              <w:t xml:space="preserve">LS-11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row 1 gives starting_magnetization = 0 for Pristine_perfect. Main-text Section 2.5 (after CM-06) says Quantum ESPRESSO needs a non-zero value for at least one species in an nspin = 2 run, and that ’zero magneti…</w:t>
            </w:r>
          </w:p>
        </w:tc>
        <w:tc>
          <w:tcPr/>
          <w:p>
            <w:pPr>
              <w:pStyle w:val="Compact"/>
              <w:jc w:val="left"/>
            </w:pPr>
            <w:r>
              <w:t xml:space="preserve">Applied</w:t>
            </w:r>
          </w:p>
        </w:tc>
      </w:tr>
      <w:tr>
        <w:tc>
          <w:tcPr/>
          <w:p>
            <w:pPr>
              <w:pStyle w:val="Compact"/>
              <w:jc w:val="left"/>
            </w:pPr>
            <w:r>
              <w:t xml:space="preserve">LS-12</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Revision scaffolding in SI prose, outside any marker. Reviewers have never seen</w:t>
            </w:r>
            <w:r>
              <w:t xml:space="preserve"> </w:t>
            </w:r>
            <w:r>
              <w:t xml:space="preserve">‘</w:t>
            </w:r>
            <w:r>
              <w:t xml:space="preserve">the earlier version of this figure</w:t>
            </w:r>
            <w:r>
              <w:t xml:space="preserve">’</w:t>
            </w:r>
            <w:r>
              <w:t xml:space="preserve">, and</w:t>
            </w:r>
            <w:r>
              <w:t xml:space="preserve"> </w:t>
            </w:r>
            <w:r>
              <w:t xml:space="preserve">‘</w:t>
            </w:r>
            <w:r>
              <w:t xml:space="preserve">must be removed</w:t>
            </w:r>
            <w:r>
              <w:t xml:space="preserve">’</w:t>
            </w:r>
            <w:r>
              <w:t xml:space="preserve"> </w:t>
            </w:r>
            <w:r>
              <w:t xml:space="preserve">is an instruction to the authors. This is the same category as ED-17/18/19, whic…</w:t>
            </w:r>
          </w:p>
        </w:tc>
        <w:tc>
          <w:tcPr/>
          <w:p>
            <w:pPr>
              <w:pStyle w:val="Compact"/>
              <w:jc w:val="left"/>
            </w:pPr>
            <w:r>
              <w:t xml:space="preserve">Applied</w:t>
            </w:r>
          </w:p>
        </w:tc>
      </w:tr>
      <w:tr>
        <w:tc>
          <w:tcPr/>
          <w:p>
            <w:pPr>
              <w:pStyle w:val="Compact"/>
              <w:jc w:val="left"/>
            </w:pPr>
            <w:r>
              <w:t xml:space="preserve">LS-13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Scaffolding in the Figure S1 caption, outside an AUTHOR ACTION marker. It would print in the submitted SI and tells reviewers the artwork is provisional.</w:t>
            </w:r>
          </w:p>
        </w:tc>
        <w:tc>
          <w:tcPr/>
          <w:p>
            <w:pPr>
              <w:pStyle w:val="Compact"/>
              <w:jc w:val="left"/>
            </w:pPr>
            <w:r>
              <w:t xml:space="preserve">Applied</w:t>
            </w:r>
          </w:p>
        </w:tc>
      </w:tr>
      <w:tr>
        <w:tc>
          <w:tcPr/>
          <w:p>
            <w:pPr>
              <w:pStyle w:val="Compact"/>
              <w:jc w:val="left"/>
            </w:pPr>
            <w:r>
              <w:t xml:space="preserve">LS-14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abstract’s third sentence is 59 words long and ends with a dangling appositive:</w:t>
            </w:r>
            <w:r>
              <w:t xml:space="preserve"> </w:t>
            </w:r>
            <w:r>
              <w:t xml:space="preserve">‘</w:t>
            </w:r>
            <w:r>
              <w:t xml:space="preserve">a 5.36 eV contrast</w:t>
            </w:r>
            <w:r>
              <w:t xml:space="preserve">’</w:t>
            </w:r>
            <w:r>
              <w:t xml:space="preserve"> </w:t>
            </w:r>
            <w:r>
              <w:t xml:space="preserve">has no clear antecedent (contrast between what?). The abstract is exactly 250 words by</w:t>
            </w:r>
            <w:r>
              <w:t xml:space="preserve"> </w:t>
            </w:r>
            <w:r>
              <w:rPr>
                <w:rStyle w:val="VerbatimChar"/>
              </w:rPr>
              <w:t xml:space="preserve">wc -w</w:t>
            </w:r>
            <w:r>
              <w:t xml:space="preserve"> </w:t>
            </w:r>
            <w:r>
              <w:t xml:space="preserve">(the 250-word cap), …</w:t>
            </w:r>
          </w:p>
        </w:tc>
        <w:tc>
          <w:tcPr/>
          <w:p>
            <w:pPr>
              <w:pStyle w:val="Compact"/>
              <w:jc w:val="left"/>
            </w:pPr>
            <w:r>
              <w:t xml:space="preserve">Applied</w:t>
            </w:r>
          </w:p>
        </w:tc>
      </w:tr>
      <w:tr>
        <w:tc>
          <w:tcPr/>
          <w:p>
            <w:pPr>
              <w:pStyle w:val="Compact"/>
              <w:jc w:val="left"/>
            </w:pPr>
            <w:r>
              <w:t xml:space="preserve">LS-15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Garden-path phrasing: with no comma after the introductory phrase,</w:t>
            </w:r>
            <w:r>
              <w:t xml:space="preserve"> </w:t>
            </w:r>
            <w:r>
              <w:t xml:space="preserve">‘</w:t>
            </w:r>
            <w:r>
              <w:t xml:space="preserve">Ti-3d only the Pr cells</w:t>
            </w:r>
            <w:r>
              <w:t xml:space="preserve">’</w:t>
            </w:r>
            <w:r>
              <w:t xml:space="preserve"> </w:t>
            </w:r>
            <w:r>
              <w:t xml:space="preserve">misreads.</w:t>
            </w:r>
            <w:r>
              <w:t xml:space="preserve"> </w:t>
            </w:r>
            <w:r>
              <w:t xml:space="preserve">‘</w:t>
            </w:r>
            <w:r>
              <w:t xml:space="preserve">There</w:t>
            </w:r>
            <w:r>
              <w:t xml:space="preserve">’</w:t>
            </w:r>
            <w:r>
              <w:t xml:space="preserve"> </w:t>
            </w:r>
            <w:r>
              <w:t xml:space="preserve">has no clear referent; it is meant to be the vacancy-free Pr cell.</w:t>
            </w:r>
          </w:p>
        </w:tc>
        <w:tc>
          <w:tcPr/>
          <w:p>
            <w:pPr>
              <w:pStyle w:val="Compact"/>
              <w:jc w:val="left"/>
            </w:pPr>
            <w:r>
              <w:t xml:space="preserve">Applied</w:t>
            </w:r>
          </w:p>
        </w:tc>
      </w:tr>
      <w:tr>
        <w:tc>
          <w:tcPr/>
          <w:p>
            <w:pPr>
              <w:pStyle w:val="Compact"/>
              <w:jc w:val="left"/>
            </w:pPr>
            <w:r>
              <w:t xml:space="preserve">LS-16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 vs U_eff: Section 2.2 is the only place that writes U</w:t>
            </w:r>
            <w:r>
              <w:rPr>
                <w:vertAlign w:val="subscript"/>
              </w:rPr>
              <w:t xml:space="preserve">eff</w:t>
            </w:r>
            <w:r>
              <w:t xml:space="preserve"> </w:t>
            </w:r>
            <w:r>
              <w:t xml:space="preserve">(for Ti and O). The rest of the paper, the abstract and the tables write U, U(Ti-3d) or U(O-2p). Figure S1 writes U_eff, and the SI also uses U</w:t>
            </w:r>
            <w:r>
              <w:rPr>
                <w:vertAlign w:val="subscript"/>
              </w:rPr>
              <w:t xml:space="preserve">Ti</w:t>
            </w:r>
            <w:r>
              <w:t xml:space="preserve">/U</w:t>
            </w:r>
            <w:r>
              <w:rPr>
                <w:vertAlign w:val="subscript"/>
              </w:rPr>
              <w:t xml:space="preserve">O</w:t>
            </w:r>
            <w:r>
              <w:t xml:space="preserve"> </w:t>
            </w:r>
            <w:r>
              <w:t xml:space="preserve">and ’U…</w:t>
            </w:r>
          </w:p>
        </w:tc>
        <w:tc>
          <w:tcPr/>
          <w:p>
            <w:pPr>
              <w:pStyle w:val="Compact"/>
              <w:jc w:val="left"/>
            </w:pPr>
            <w:r>
              <w:t xml:space="preserve">Applied</w:t>
            </w:r>
          </w:p>
        </w:tc>
      </w:tr>
      <w:tr>
        <w:tc>
          <w:tcPr/>
          <w:p>
            <w:pPr>
              <w:pStyle w:val="Compact"/>
              <w:jc w:val="left"/>
            </w:pPr>
            <w:r>
              <w:t xml:space="preserve">LS-17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Not performed for the dopant-containing cells</w:t>
            </w:r>
            <w:r>
              <w:t xml:space="preserve">’</w:t>
            </w:r>
            <w:r>
              <w:t xml:space="preserve"> </w:t>
            </w:r>
            <w:r>
              <w:t xml:space="preserve">implies a linear-response U was computed for the pristine cell. None was computed; 3.5 eV is a literature value. This is a residue of CM-22: the Deák clause was fixed, but …</w:t>
            </w:r>
          </w:p>
        </w:tc>
        <w:tc>
          <w:tcPr/>
          <w:p>
            <w:pPr>
              <w:pStyle w:val="Compact"/>
              <w:jc w:val="left"/>
            </w:pPr>
            <w:r>
              <w:t xml:space="preserve">Applied</w:t>
            </w:r>
          </w:p>
        </w:tc>
      </w:tr>
      <w:tr>
        <w:tc>
          <w:tcPr/>
          <w:p>
            <w:pPr>
              <w:pStyle w:val="Compact"/>
              <w:jc w:val="left"/>
            </w:pPr>
            <w:r>
              <w:t xml:space="preserve">LS-18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Cell names such as Pr_VO, Rb_perfect and Pristine_VO are code-style labels used throughout the prose, figures and SI, but they are never introduced as labels. The text also switches between Pr</w:t>
            </w:r>
            <w:r>
              <w:rPr>
                <w:vertAlign w:val="subscript"/>
              </w:rPr>
              <w:t xml:space="preserve">Ti</w:t>
            </w:r>
            <w:r>
              <w:t xml:space="preserve">+V</w:t>
            </w:r>
            <w:r>
              <w:rPr>
                <w:vertAlign w:val="subscript"/>
              </w:rPr>
              <w:t xml:space="preserve">O</w:t>
            </w:r>
            <w:r>
              <w:t xml:space="preserve">,</w:t>
            </w:r>
            <w:r>
              <w:t xml:space="preserve"> </w:t>
            </w:r>
            <w:r>
              <w:t xml:space="preserve">‘</w:t>
            </w:r>
            <w:r>
              <w:t xml:space="preserve">the Pr cell</w:t>
            </w:r>
            <w:r>
              <w:t xml:space="preserve">’</w:t>
            </w:r>
            <w:r>
              <w:t xml:space="preserve">, ’P…</w:t>
            </w:r>
          </w:p>
        </w:tc>
        <w:tc>
          <w:tcPr/>
          <w:p>
            <w:pPr>
              <w:pStyle w:val="Compact"/>
              <w:jc w:val="left"/>
            </w:pPr>
            <w:r>
              <w:t xml:space="preserve">Applied</w:t>
            </w:r>
          </w:p>
        </w:tc>
      </w:tr>
      <w:tr>
        <w:tc>
          <w:tcPr/>
          <w:p>
            <w:pPr>
              <w:pStyle w:val="Compact"/>
              <w:jc w:val="left"/>
            </w:pPr>
            <w:r>
              <w:t xml:space="preserve">LS-19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spacing: Section 2.1 writes Pr</w:t>
            </w:r>
            <w:r>
              <w:rPr>
                <w:vertAlign w:val="subscript"/>
              </w:rPr>
              <w:t xml:space="preserve">Ti</w:t>
            </w:r>
            <w:r>
              <w:t xml:space="preserve">+V</w:t>
            </w:r>
            <w:r>
              <w:rPr>
                <w:vertAlign w:val="subscript"/>
              </w:rPr>
              <w:t xml:space="preserve">O</w:t>
            </w:r>
            <w:r>
              <w:t xml:space="preserve">, while Figure 1 and Table 2 use spaced</w:t>
            </w:r>
            <w:r>
              <w:t xml:space="preserve"> </w:t>
            </w:r>
            <w:r>
              <w:t xml:space="preserve">‘</w:t>
            </w:r>
            <w:r>
              <w:t xml:space="preserve">Pr</w:t>
            </w:r>
            <w:r>
              <w:rPr>
                <w:vertAlign w:val="subscript"/>
              </w:rPr>
              <w:t xml:space="preserve">Ti</w:t>
            </w:r>
            <w:r>
              <w:t xml:space="preserve"> </w:t>
            </w:r>
            <w:r>
              <w:t xml:space="preserve">+ V</w:t>
            </w:r>
            <w:r>
              <w:rPr>
                <w:vertAlign w:val="subscript"/>
              </w:rPr>
              <w:t xml:space="preserve">O</w:t>
            </w:r>
            <w:r>
              <w:t xml:space="preserve">’</w:t>
            </w:r>
            <w:r>
              <w:t xml:space="preserve">.</w:t>
            </w:r>
          </w:p>
        </w:tc>
        <w:tc>
          <w:tcPr/>
          <w:p>
            <w:pPr>
              <w:pStyle w:val="Compact"/>
              <w:jc w:val="left"/>
            </w:pPr>
            <w:r>
              <w:t xml:space="preserve">Applied</w:t>
            </w:r>
          </w:p>
        </w:tc>
      </w:tr>
      <w:tr>
        <w:tc>
          <w:tcPr/>
          <w:p>
            <w:pPr>
              <w:pStyle w:val="Compact"/>
              <w:jc w:val="left"/>
            </w:pPr>
            <w:r>
              <w:t xml:space="preserve">LS-20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abbreviation PAW is used in the prose (</w:t>
            </w:r>
            <w:r>
              <w:t xml:space="preserve">‘</w:t>
            </w:r>
            <w:r>
              <w:t xml:space="preserve">relative to the PAW valence</w:t>
            </w:r>
            <w:r>
              <w:t xml:space="preserve">’</w:t>
            </w:r>
            <w:r>
              <w:t xml:space="preserve">, Section 3.7) and in markers, but is never defined.</w:t>
            </w:r>
          </w:p>
        </w:tc>
        <w:tc>
          <w:tcPr/>
          <w:p>
            <w:pPr>
              <w:pStyle w:val="Compact"/>
              <w:jc w:val="left"/>
            </w:pPr>
            <w:r>
              <w:t xml:space="preserve">Applied</w:t>
            </w:r>
          </w:p>
        </w:tc>
      </w:tr>
      <w:tr>
        <w:tc>
          <w:tcPr/>
          <w:p>
            <w:pPr>
              <w:pStyle w:val="Compact"/>
              <w:jc w:val="left"/>
            </w:pPr>
            <w:r>
              <w:t xml:space="preserve">LS-21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Figures S1 and S2 are never cited in the main text. The first SI figure cited is S3 (Section 2.6), so the SI figures are also out of order of first citation.</w:t>
            </w:r>
          </w:p>
        </w:tc>
        <w:tc>
          <w:tcPr/>
          <w:p>
            <w:pPr>
              <w:pStyle w:val="Compact"/>
              <w:jc w:val="left"/>
            </w:pPr>
            <w:r>
              <w:t xml:space="preserve">Applied</w:t>
            </w:r>
          </w:p>
        </w:tc>
      </w:tr>
      <w:tr>
        <w:tc>
          <w:tcPr/>
          <w:p>
            <w:pPr>
              <w:pStyle w:val="Compact"/>
              <w:jc w:val="left"/>
            </w:pPr>
            <w:r>
              <w:t xml:space="preserve">LS-22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Table S6 (hardware and wall times) is never cited in the main text. The Section 3.7 marker refers to</w:t>
            </w:r>
            <w:r>
              <w:t xml:space="preserve"> </w:t>
            </w:r>
            <w:r>
              <w:t xml:space="preserve">‘</w:t>
            </w:r>
            <w:r>
              <w:t xml:space="preserve">the stated hardware</w:t>
            </w:r>
            <w:r>
              <w:t xml:space="preserve">’</w:t>
            </w:r>
            <w:r>
              <w:t xml:space="preserve">, but the main text never states it.</w:t>
            </w:r>
          </w:p>
        </w:tc>
        <w:tc>
          <w:tcPr/>
          <w:p>
            <w:pPr>
              <w:pStyle w:val="Compact"/>
              <w:jc w:val="left"/>
            </w:pPr>
            <w:r>
              <w:t xml:space="preserve">Applied</w:t>
            </w:r>
          </w:p>
        </w:tc>
      </w:tr>
      <w:tr>
        <w:tc>
          <w:tcPr/>
          <w:p>
            <w:pPr>
              <w:pStyle w:val="Compact"/>
              <w:jc w:val="left"/>
            </w:pPr>
            <w:r>
              <w:t xml:space="preserve">LS-23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Unit capitalisation is inconsistent:</w:t>
            </w:r>
            <w:r>
              <w:t xml:space="preserve"> </w:t>
            </w:r>
            <w:r>
              <w:t xml:space="preserve">‘</w:t>
            </w:r>
            <w:r>
              <w:t xml:space="preserve">bohr</w:t>
            </w:r>
            <w:r>
              <w:rPr>
                <w:vertAlign w:val="superscript"/>
              </w:rPr>
              <w:t xml:space="preserve">−1</w:t>
            </w:r>
            <w:r>
              <w:t xml:space="preserve">’</w:t>
            </w:r>
            <w:r>
              <w:t xml:space="preserve"> </w:t>
            </w:r>
            <w:r>
              <w:t xml:space="preserve">here, but</w:t>
            </w:r>
            <w:r>
              <w:t xml:space="preserve"> </w:t>
            </w:r>
            <w:r>
              <w:t xml:space="preserve">‘</w:t>
            </w:r>
            <w:r>
              <w:t xml:space="preserve">Ry/Bohr</w:t>
            </w:r>
            <w:r>
              <w:t xml:space="preserve">’</w:t>
            </w:r>
            <w:r>
              <w:t xml:space="preserve"> </w:t>
            </w:r>
            <w:r>
              <w:t xml:space="preserve">everywhere else (about ten times in the main text and SI).</w:t>
            </w:r>
          </w:p>
        </w:tc>
        <w:tc>
          <w:tcPr/>
          <w:p>
            <w:pPr>
              <w:pStyle w:val="Compact"/>
              <w:jc w:val="left"/>
            </w:pPr>
            <w:r>
              <w:t xml:space="preserve">Applied</w:t>
            </w:r>
          </w:p>
        </w:tc>
      </w:tr>
      <w:tr>
        <w:tc>
          <w:tcPr/>
          <w:p>
            <w:pPr>
              <w:pStyle w:val="Compact"/>
              <w:jc w:val="left"/>
            </w:pPr>
            <w:r>
              <w:t xml:space="preserve">LS-24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Dual-U</w:t>
            </w:r>
            <w:r>
              <w:t xml:space="preserve">’</w:t>
            </w:r>
            <w:r>
              <w:t xml:space="preserve"> </w:t>
            </w:r>
            <w:r>
              <w:t xml:space="preserve">is used throughout 3.4, 3.5, Table S5, Table S9 and the Limitations, but is never defined in the main text.</w:t>
            </w:r>
          </w:p>
        </w:tc>
        <w:tc>
          <w:tcPr/>
          <w:p>
            <w:pPr>
              <w:pStyle w:val="Compact"/>
              <w:jc w:val="left"/>
            </w:pPr>
            <w:r>
              <w:t xml:space="preserve">Applied</w:t>
            </w:r>
          </w:p>
        </w:tc>
      </w:tr>
      <w:tr>
        <w:tc>
          <w:tcPr/>
          <w:p>
            <w:pPr>
              <w:pStyle w:val="Compact"/>
              <w:jc w:val="left"/>
            </w:pPr>
            <w:r>
              <w:t xml:space="preserve">LS-25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2.5 defines the total magnetisation as the signed m, but the caption calls /m/</w:t>
            </w:r>
            <w:r>
              <w:t xml:space="preserve"> </w:t>
            </w:r>
            <w:r>
              <w:t xml:space="preserve">‘</w:t>
            </w:r>
            <w:r>
              <w:t xml:space="preserve">Total</w:t>
            </w:r>
            <w:r>
              <w:t xml:space="preserve">’</w:t>
            </w:r>
            <w:r>
              <w:t xml:space="preserve">. Rb_VO has m = −0.97 and is plotted as 0.97.</w:t>
            </w:r>
            <w:r>
              <w:t xml:space="preserve"> </w:t>
            </w:r>
            <w:r>
              <w:t xml:space="preserve">‘</w:t>
            </w:r>
            <w:r>
              <w:t xml:space="preserve">single-U(Ti-3d)</w:t>
            </w:r>
            <w:r>
              <w:t xml:space="preserve">’</w:t>
            </w:r>
            <w:r>
              <w:t xml:space="preserve"> </w:t>
            </w:r>
            <w:r>
              <w:t xml:space="preserve">is the undefined notation ED-43 removed elsewhere.</w:t>
            </w:r>
          </w:p>
        </w:tc>
        <w:tc>
          <w:tcPr/>
          <w:p>
            <w:pPr>
              <w:pStyle w:val="Compact"/>
              <w:jc w:val="left"/>
            </w:pPr>
            <w:r>
              <w:t xml:space="preserve">Applied</w:t>
            </w:r>
          </w:p>
        </w:tc>
      </w:tr>
      <w:tr>
        <w:tc>
          <w:tcPr/>
          <w:p>
            <w:pPr>
              <w:pStyle w:val="Compact"/>
              <w:jc w:val="left"/>
            </w:pPr>
            <w:r>
              <w:t xml:space="preserve">LS-26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 cross-reference: Section 5 covers cut-off (iii) and force tolerance (iv), but not the smearing (−TS) contribution. That is discussed in Section 2.4, together with its AUTHOR ACTION.</w:t>
            </w:r>
          </w:p>
        </w:tc>
        <w:tc>
          <w:tcPr/>
          <w:p>
            <w:pPr>
              <w:pStyle w:val="Compact"/>
              <w:jc w:val="left"/>
            </w:pPr>
            <w:r>
              <w:t xml:space="preserve">Applied</w:t>
            </w:r>
          </w:p>
        </w:tc>
      </w:tr>
      <w:tr>
        <w:tc>
          <w:tcPr/>
          <w:p>
            <w:pPr>
              <w:pStyle w:val="Compact"/>
              <w:jc w:val="left"/>
            </w:pPr>
            <w:r>
              <w:t xml:space="preserve">LS-27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3.2 says 0.1–0.15 eV, while Table 2’s caption, Section 3.7 and Limitation (ii) give the shifts as −0.10 and −0.14 eV (0.10–0.14 eV). The 0.15 is left over from the withdrawn ±0.15 eV uncertainty (CM-15).</w:t>
            </w:r>
          </w:p>
        </w:tc>
        <w:tc>
          <w:tcPr/>
          <w:p>
            <w:pPr>
              <w:pStyle w:val="Compact"/>
              <w:jc w:val="left"/>
            </w:pPr>
            <w:r>
              <w:t xml:space="preserve">Applied</w:t>
            </w:r>
          </w:p>
        </w:tc>
      </w:tr>
      <w:tr>
        <w:tc>
          <w:tcPr/>
          <w:p>
            <w:pPr>
              <w:pStyle w:val="Compact"/>
              <w:jc w:val="left"/>
            </w:pPr>
            <w:r>
              <w:t xml:space="preserve">LS-28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 reader subtracting the printed values gets 5.39 − 5.36 = 0.03 eV, not +0.04 eV. This is the same double-rounding trap the paragraph above flags for 5.35 vs 5.36.</w:t>
            </w:r>
          </w:p>
        </w:tc>
        <w:tc>
          <w:tcPr/>
          <w:p>
            <w:pPr>
              <w:pStyle w:val="Compact"/>
              <w:jc w:val="left"/>
            </w:pPr>
            <w:r>
              <w:t xml:space="preserve">Applied</w:t>
            </w:r>
          </w:p>
        </w:tc>
      </w:tr>
      <w:tr>
        <w:tc>
          <w:tcPr/>
          <w:p>
            <w:pPr>
              <w:pStyle w:val="Compact"/>
              <w:jc w:val="left"/>
            </w:pPr>
            <w:r>
              <w:t xml:space="preserve">LS-29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At this reference</w:t>
            </w:r>
            <w:r>
              <w:t xml:space="preserve">’</w:t>
            </w:r>
            <w:r>
              <w:t xml:space="preserve"> </w:t>
            </w:r>
            <w:r>
              <w:t xml:space="preserve">appears twice in one sentence (</w:t>
            </w:r>
            <w:r>
              <w:t xml:space="preserve">‘</w:t>
            </w:r>
            <w:r>
              <w:t xml:space="preserve">The Pr cell remains uphill at this reference, … at this reference</w:t>
            </w:r>
            <w:r>
              <w:t xml:space="preserve">’</w:t>
            </w:r>
            <w:r>
              <w:t xml:space="preserve">).</w:t>
            </w:r>
          </w:p>
        </w:tc>
        <w:tc>
          <w:tcPr/>
          <w:p>
            <w:pPr>
              <w:pStyle w:val="Compact"/>
              <w:jc w:val="left"/>
            </w:pPr>
            <w:r>
              <w:t xml:space="preserve">Applied</w:t>
            </w:r>
          </w:p>
        </w:tc>
      </w:tr>
      <w:tr>
        <w:tc>
          <w:tcPr/>
          <w:p>
            <w:pPr>
              <w:pStyle w:val="Compact"/>
              <w:jc w:val="left"/>
            </w:pPr>
            <w:r>
              <w:t xml:space="preserve">LS-30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Formation energy can be formed</w:t>
            </w:r>
            <w:r>
              <w:t xml:space="preserve">’</w:t>
            </w:r>
            <w:r>
              <w:t xml:space="preserve"> </w:t>
            </w:r>
            <w:r>
              <w:t xml:space="preserve">is awkward wording in the Table 2 footnote a.</w:t>
            </w:r>
          </w:p>
        </w:tc>
        <w:tc>
          <w:tcPr/>
          <w:p>
            <w:pPr>
              <w:pStyle w:val="Compact"/>
              <w:jc w:val="left"/>
            </w:pPr>
            <w:r>
              <w:t xml:space="preserve">Applied</w:t>
            </w:r>
          </w:p>
        </w:tc>
      </w:tr>
      <w:tr>
        <w:tc>
          <w:tcPr/>
          <w:p>
            <w:pPr>
              <w:pStyle w:val="Compact"/>
              <w:jc w:val="left"/>
            </w:pPr>
            <w:r>
              <w:t xml:space="preserve">LS-31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footnote b is nothing but an AUTHOR ACTION marker. Once the marker is deleted, the</w:t>
            </w:r>
            <w:r>
              <w:t xml:space="preserve"> </w:t>
            </w:r>
            <w:r>
              <w:t xml:space="preserve">‘</w:t>
            </w:r>
            <w:r>
              <w:t xml:space="preserve">–</w:t>
            </w:r>
            <w:r>
              <w:t xml:space="preserve"> </w:t>
            </w:r>
            <w:r>
              <w:rPr>
                <w:vertAlign w:val="superscript"/>
              </w:rPr>
              <w:t xml:space="preserve">b</w:t>
            </w:r>
            <w:r>
              <w:t xml:space="preserve">’</w:t>
            </w:r>
            <w:r>
              <w:t xml:space="preserve"> </w:t>
            </w:r>
            <w:r>
              <w:t xml:space="preserve">entries in the table point to an empty footnote.</w:t>
            </w:r>
          </w:p>
        </w:tc>
        <w:tc>
          <w:tcPr/>
          <w:p>
            <w:pPr>
              <w:pStyle w:val="Compact"/>
              <w:jc w:val="left"/>
            </w:pPr>
            <w:r>
              <w:t xml:space="preserve">Applied</w:t>
            </w:r>
          </w:p>
        </w:tc>
      </w:tr>
      <w:tr>
        <w:tc>
          <w:tcPr/>
          <w:p>
            <w:pPr>
              <w:pStyle w:val="Compact"/>
              <w:jc w:val="left"/>
            </w:pPr>
            <w:r>
              <w:t xml:space="preserve">LS-32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Logic error left over from CM-32. A signal of</w:t>
            </w:r>
            <w:r>
              <w:t xml:space="preserve"> </w:t>
            </w:r>
            <w:r>
              <w:t xml:space="preserve">‘</w:t>
            </w:r>
            <w:r>
              <w:t xml:space="preserve">a few tenths of an electron</w:t>
            </w:r>
            <w:r>
              <w:t xml:space="preserve">’</w:t>
            </w:r>
            <w:r>
              <w:t xml:space="preserve"> </w:t>
            </w:r>
            <w:r>
              <w:t xml:space="preserve">does not</w:t>
            </w:r>
            <w:r>
              <w:t xml:space="preserve"> </w:t>
            </w:r>
            <w:r>
              <w:t xml:space="preserve">‘</w:t>
            </w:r>
            <w:r>
              <w:t xml:space="preserve">approach</w:t>
            </w:r>
            <w:r>
              <w:t xml:space="preserve">’</w:t>
            </w:r>
            <w:r>
              <w:t xml:space="preserve"> </w:t>
            </w:r>
            <w:r>
              <w:t xml:space="preserve">a 0.05 e threshold; it is several times larger. The intended point is that the margin over the 0.05 e scatter is modest.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LS-33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Factual slip. Nb</w:t>
            </w:r>
            <w:r>
              <w:rPr>
                <w:vertAlign w:val="superscript"/>
              </w:rPr>
              <w:t xml:space="preserve">5+</w:t>
            </w:r>
            <w:r>
              <w:t xml:space="preserve">/Ta</w:t>
            </w:r>
            <w:r>
              <w:rPr>
                <w:vertAlign w:val="superscript"/>
              </w:rPr>
              <w:t xml:space="preserve">5+</w:t>
            </w:r>
            <w:r>
              <w:t xml:space="preserve"> </w:t>
            </w:r>
            <w:r>
              <w:t xml:space="preserve">on a Ti</w:t>
            </w:r>
            <w:r>
              <w:rPr>
                <w:vertAlign w:val="superscript"/>
              </w:rPr>
              <w:t xml:space="preserve">4+</w:t>
            </w:r>
            <w:r>
              <w:t xml:space="preserve"> </w:t>
            </w:r>
            <w:r>
              <w:t xml:space="preserve">site give Δq = +1, the mirror image of the trivalent (−1) case, not of the alkali (−3) case.</w:t>
            </w:r>
          </w:p>
        </w:tc>
        <w:tc>
          <w:tcPr/>
          <w:p>
            <w:pPr>
              <w:pStyle w:val="Compact"/>
              <w:jc w:val="left"/>
            </w:pPr>
            <w:r>
              <w:t xml:space="preserve">Superseded by an overlapping fix (DC-49 had already replaced the same phrase with ’having a +1 e mismatc…)</w:t>
            </w:r>
          </w:p>
        </w:tc>
      </w:tr>
      <w:tr>
        <w:tc>
          <w:tcPr/>
          <w:p>
            <w:pPr>
              <w:pStyle w:val="Compact"/>
              <w:jc w:val="left"/>
            </w:pPr>
            <w:r>
              <w:t xml:space="preserve">LS-34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The sentence is 55 words long. (b) Wang2020’s title in refs.py is</w:t>
            </w:r>
            <w:r>
              <w:t xml:space="preserve"> </w:t>
            </w:r>
            <w:r>
              <w:t xml:space="preserve">‘</w:t>
            </w:r>
            <w:r>
              <w:t xml:space="preserve">Role of Cu Species over the CuOx/TiO2 Catalyst for CO2 Photoreduction</w:t>
            </w:r>
            <w:r>
              <w:t xml:space="preserve">’</w:t>
            </w:r>
            <w:r>
              <w:t xml:space="preserve">, a supported-CuOx system, not substitutional</w:t>
            </w:r>
            <w:r>
              <w:t xml:space="preserve"> </w:t>
            </w:r>
            <w:r>
              <w:t xml:space="preserve">‘</w:t>
            </w:r>
            <w:r>
              <w:t xml:space="preserve">Cu-doped anatase</w:t>
            </w:r>
            <w:r>
              <w:t xml:space="preserve">’</w:t>
            </w:r>
            <w:r>
              <w:t xml:space="preserve">.</w:t>
            </w:r>
          </w:p>
        </w:tc>
        <w:tc>
          <w:tcPr/>
          <w:p>
            <w:pPr>
              <w:pStyle w:val="Compact"/>
              <w:jc w:val="left"/>
            </w:pPr>
            <w:r>
              <w:t xml:space="preserve">Applied</w:t>
            </w:r>
          </w:p>
        </w:tc>
      </w:tr>
      <w:tr>
        <w:tc>
          <w:tcPr/>
          <w:p>
            <w:pPr>
              <w:pStyle w:val="Compact"/>
              <w:jc w:val="left"/>
            </w:pPr>
            <w:r>
              <w:t xml:space="preserve">LS-35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dangling appositive as the abstract (LS-14):</w:t>
            </w:r>
            <w:r>
              <w:t xml:space="preserve"> </w:t>
            </w:r>
            <w:r>
              <w:t xml:space="preserve">‘</w:t>
            </w:r>
            <w:r>
              <w:t xml:space="preserve">a 5.36 eV contrast</w:t>
            </w:r>
            <w:r>
              <w:t xml:space="preserve">’</w:t>
            </w:r>
            <w:r>
              <w:t xml:space="preserve"> </w:t>
            </w:r>
            <w:r>
              <w:t xml:space="preserve">has no antecedent.</w:t>
            </w:r>
          </w:p>
        </w:tc>
        <w:tc>
          <w:tcPr/>
          <w:p>
            <w:pPr>
              <w:pStyle w:val="Compact"/>
              <w:jc w:val="left"/>
            </w:pPr>
            <w:r>
              <w:t xml:space="preserve">Applied</w:t>
            </w:r>
          </w:p>
        </w:tc>
      </w:tr>
      <w:tr>
        <w:tc>
          <w:tcPr/>
          <w:p>
            <w:pPr>
              <w:pStyle w:val="Compact"/>
              <w:jc w:val="left"/>
            </w:pPr>
            <w:r>
              <w:t xml:space="preserve">LS-37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is not Elsevier’s standard wording, which the editorial office and the declaration tool expect.</w:t>
            </w:r>
          </w:p>
        </w:tc>
        <w:tc>
          <w:tcPr/>
          <w:p>
            <w:pPr>
              <w:pStyle w:val="Compact"/>
              <w:jc w:val="left"/>
            </w:pPr>
            <w:r>
              <w:t xml:space="preserve">Applied</w:t>
            </w:r>
          </w:p>
        </w:tc>
      </w:tr>
      <w:tr>
        <w:tc>
          <w:tcPr/>
          <w:p>
            <w:pPr>
              <w:pStyle w:val="Compact"/>
              <w:jc w:val="left"/>
            </w:pPr>
            <w:r>
              <w:t xml:space="preserve">LS-39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Abbreviation PDOS is used in the Data availability statement but never defined in the main text, which otherwise writes</w:t>
            </w:r>
            <w:r>
              <w:t xml:space="preserve"> </w:t>
            </w:r>
            <w:r>
              <w:t xml:space="preserve">‘</w:t>
            </w:r>
            <w:r>
              <w:t xml:space="preserve">projected densities of states</w:t>
            </w:r>
            <w:r>
              <w:t xml:space="preserve">’</w:t>
            </w:r>
            <w:r>
              <w:t xml:space="preserve">.</w:t>
            </w:r>
          </w:p>
        </w:tc>
        <w:tc>
          <w:tcPr/>
          <w:p>
            <w:pPr>
              <w:pStyle w:val="Compact"/>
              <w:jc w:val="left"/>
            </w:pPr>
            <w:r>
              <w:t xml:space="preserve">Applied</w:t>
            </w:r>
          </w:p>
        </w:tc>
      </w:tr>
      <w:tr>
        <w:tc>
          <w:tcPr/>
          <w:p>
            <w:pPr>
              <w:pStyle w:val="Compact"/>
              <w:jc w:val="left"/>
            </w:pPr>
            <w:r>
              <w:t xml:space="preserve">LS-40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 valence configuration in SI S2.1 contradicts main-text Table 1 and Section 2.1. Those were corrected under CM-26 to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r>
              <w:t xml:space="preserve">, with fractional 6s/6p occupation in the generation configuration.</w:t>
            </w:r>
          </w:p>
        </w:tc>
        <w:tc>
          <w:tcPr/>
          <w:p>
            <w:pPr>
              <w:pStyle w:val="Compact"/>
              <w:jc w:val="left"/>
            </w:pPr>
            <w:r>
              <w:t xml:space="preserve">Superseded by an overlapping fix (Already covered. DC-60 had already replaced the same Pr valence string…)</w:t>
            </w:r>
          </w:p>
        </w:tc>
      </w:tr>
      <w:tr>
        <w:tc>
          <w:tcPr/>
          <w:p>
            <w:pPr>
              <w:pStyle w:val="Compact"/>
              <w:jc w:val="left"/>
            </w:pPr>
            <w:r>
              <w:t xml:space="preserve">LS-41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single-U Ti-3d</w:t>
            </w:r>
            <w:r>
              <w:t xml:space="preserve">’</w:t>
            </w:r>
            <w:r>
              <w:t xml:space="preserve"> </w:t>
            </w:r>
            <w:r>
              <w:t xml:space="preserve">is undefined notation; the main text uses</w:t>
            </w:r>
            <w:r>
              <w:t xml:space="preserve"> </w:t>
            </w:r>
            <w:r>
              <w:t xml:space="preserve">‘</w:t>
            </w:r>
            <w:r>
              <w:t xml:space="preserve">U(Ti-3d) = 3.5 eV</w:t>
            </w:r>
            <w:r>
              <w:t xml:space="preserve">’</w:t>
            </w:r>
            <w:r>
              <w:t xml:space="preserve"> </w:t>
            </w:r>
            <w:r>
              <w:t xml:space="preserve">/</w:t>
            </w:r>
            <w:r>
              <w:t xml:space="preserve"> </w:t>
            </w:r>
            <w:r>
              <w:t xml:space="preserve">‘</w:t>
            </w:r>
            <w:r>
              <w:t xml:space="preserve">Ti-3d-only</w:t>
            </w:r>
            <w:r>
              <w:t xml:space="preserve">’</w:t>
            </w:r>
            <w:r>
              <w:t xml:space="preserve">.</w:t>
            </w:r>
          </w:p>
        </w:tc>
        <w:tc>
          <w:tcPr/>
          <w:p>
            <w:pPr>
              <w:pStyle w:val="Compact"/>
              <w:jc w:val="left"/>
            </w:pPr>
            <w:r>
              <w:t xml:space="preserve">Applied</w:t>
            </w:r>
          </w:p>
        </w:tc>
      </w:tr>
      <w:tr>
        <w:tc>
          <w:tcPr/>
          <w:p>
            <w:pPr>
              <w:pStyle w:val="Compact"/>
              <w:jc w:val="left"/>
            </w:pPr>
            <w:r>
              <w:t xml:space="preserve">LS-42</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Inconsistent unit capitalisation (</w:t>
            </w:r>
            <w:r>
              <w:t xml:space="preserve">‘</w:t>
            </w:r>
            <w:r>
              <w:t xml:space="preserve">bohr</w:t>
            </w:r>
            <w:r>
              <w:t xml:space="preserve">’</w:t>
            </w:r>
            <w:r>
              <w:t xml:space="preserve"> </w:t>
            </w:r>
            <w:r>
              <w:t xml:space="preserve">here vs</w:t>
            </w:r>
            <w:r>
              <w:t xml:space="preserve"> </w:t>
            </w:r>
            <w:r>
              <w:t xml:space="preserve">‘</w:t>
            </w:r>
            <w:r>
              <w:t xml:space="preserve">Ry/Bohr</w:t>
            </w:r>
            <w:r>
              <w:t xml:space="preserve">’</w:t>
            </w:r>
            <w:r>
              <w:t xml:space="preserve"> </w:t>
            </w:r>
            <w:r>
              <w:t xml:space="preserve">everywhere else in the SI).</w:t>
            </w:r>
          </w:p>
        </w:tc>
        <w:tc>
          <w:tcPr/>
          <w:p>
            <w:pPr>
              <w:pStyle w:val="Compact"/>
              <w:jc w:val="left"/>
            </w:pPr>
            <w:r>
              <w:t xml:space="preserve">Applied</w:t>
            </w:r>
          </w:p>
        </w:tc>
      </w:tr>
      <w:tr>
        <w:tc>
          <w:tcPr/>
          <w:p>
            <w:pPr>
              <w:pStyle w:val="Compact"/>
              <w:jc w:val="left"/>
            </w:pPr>
            <w:r>
              <w:t xml:space="preserve">LS-43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A third Hubbard notation (U</w:t>
            </w:r>
            <w:r>
              <w:rPr>
                <w:vertAlign w:val="subscript"/>
              </w:rPr>
              <w:t xml:space="preserve">Ti</w:t>
            </w:r>
            <w:r>
              <w:t xml:space="preserve">, U</w:t>
            </w:r>
            <w:r>
              <w:rPr>
                <w:vertAlign w:val="subscript"/>
              </w:rPr>
              <w:t xml:space="preserve">O</w:t>
            </w:r>
            <w:r>
              <w:t xml:space="preserve">) not used anywhere in the main text, which writes U(Ti-3d) and U(O-2p).</w:t>
            </w:r>
          </w:p>
        </w:tc>
        <w:tc>
          <w:tcPr/>
          <w:p>
            <w:pPr>
              <w:pStyle w:val="Compact"/>
              <w:jc w:val="left"/>
            </w:pPr>
            <w:r>
              <w:t xml:space="preserve">Applied</w:t>
            </w:r>
          </w:p>
        </w:tc>
      </w:tr>
      <w:tr>
        <w:tc>
          <w:tcPr/>
          <w:p>
            <w:pPr>
              <w:pStyle w:val="Compact"/>
              <w:jc w:val="left"/>
            </w:pPr>
            <w:r>
              <w:t xml:space="preserve">LS-44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Fourth Hubbard notation variant (</w:t>
            </w:r>
            <w:r>
              <w:t xml:space="preserve">‘</w:t>
            </w:r>
            <w:r>
              <w:t xml:space="preserve">U Ti-3d 3.5 eV</w:t>
            </w:r>
            <w:r>
              <w:t xml:space="preserve">’</w:t>
            </w:r>
            <w:r>
              <w:t xml:space="preserve">).</w:t>
            </w:r>
          </w:p>
        </w:tc>
        <w:tc>
          <w:tcPr/>
          <w:p>
            <w:pPr>
              <w:pStyle w:val="Compact"/>
              <w:jc w:val="left"/>
            </w:pPr>
            <w:r>
              <w:t xml:space="preserve">Applied</w:t>
            </w:r>
          </w:p>
        </w:tc>
      </w:tr>
      <w:tr>
        <w:tc>
          <w:tcPr/>
          <w:p>
            <w:pPr>
              <w:pStyle w:val="Compact"/>
              <w:jc w:val="left"/>
            </w:pPr>
            <w:r>
              <w:t xml:space="preserve">LS-45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Protocol column of Table S9 (and Table S6) uses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w:t>
            </w:r>
            <w:r>
              <w:t xml:space="preserve">without defining them anywhere in the SI.</w:t>
            </w:r>
          </w:p>
        </w:tc>
        <w:tc>
          <w:tcPr/>
          <w:p>
            <w:pPr>
              <w:pStyle w:val="Compact"/>
              <w:jc w:val="left"/>
            </w:pPr>
            <w:r>
              <w:t xml:space="preserve">Applied</w:t>
            </w:r>
          </w:p>
        </w:tc>
      </w:tr>
      <w:tr>
        <w:tc>
          <w:tcPr/>
          <w:p>
            <w:pPr>
              <w:pStyle w:val="Compact"/>
              <w:jc w:val="left"/>
            </w:pPr>
            <w:r>
              <w:t xml:space="preserve">LS-46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Figure S2 caption gives no colour for the filled channel, while Figure 4 says</w:t>
            </w:r>
            <w:r>
              <w:t xml:space="preserve"> </w:t>
            </w:r>
            <w:r>
              <w:t xml:space="preserve">‘</w:t>
            </w:r>
            <w:r>
              <w:t xml:space="preserve">Filled blue: Ti-3d</w:t>
            </w:r>
            <w:r>
              <w:t xml:space="preserve">’</w:t>
            </w:r>
            <w:r>
              <w:t xml:space="preserve">.</w:t>
            </w:r>
          </w:p>
        </w:tc>
        <w:tc>
          <w:tcPr/>
          <w:p>
            <w:pPr>
              <w:pStyle w:val="Compact"/>
              <w:jc w:val="left"/>
            </w:pPr>
            <w:r>
              <w:t xml:space="preserve">Applied</w:t>
            </w:r>
          </w:p>
        </w:tc>
      </w:tr>
      <w:tr>
        <w:tc>
          <w:tcPr/>
          <w:p>
            <w:pPr>
              <w:pStyle w:val="Compact"/>
              <w:jc w:val="left"/>
            </w:pPr>
            <w:r>
              <w:t xml:space="preserve">LS-47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artwork labels its panels (a) and (b), but the caption says left/right. The panel (b) title also reads</w:t>
            </w:r>
            <w:r>
              <w:t xml:space="preserve"> </w:t>
            </w:r>
            <w:r>
              <w:t xml:space="preserve">‘</w:t>
            </w:r>
            <w:r>
              <w:t xml:space="preserve">natural JOB DONE</w:t>
            </w:r>
            <w:r>
              <w:t xml:space="preserve">’</w:t>
            </w:r>
            <w:r>
              <w:t xml:space="preserve">, pw.x log jargon that should go when the figure is regenerated under the existing marker.</w:t>
            </w:r>
          </w:p>
        </w:tc>
        <w:tc>
          <w:tcPr/>
          <w:p>
            <w:pPr>
              <w:pStyle w:val="Compact"/>
              <w:jc w:val="left"/>
            </w:pPr>
            <w:r>
              <w:t xml:space="preserve">Applied</w:t>
            </w:r>
          </w:p>
        </w:tc>
      </w:tr>
      <w:tr>
        <w:tc>
          <w:tcPr/>
          <w:p>
            <w:pPr>
              <w:pStyle w:val="Compact"/>
              <w:jc w:val="left"/>
            </w:pPr>
            <w:r>
              <w:t xml:space="preserve">LS-48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Capitalisation does not match the main-text heading</w:t>
            </w:r>
            <w:r>
              <w:t xml:space="preserve"> </w:t>
            </w:r>
            <w:r>
              <w:t xml:space="preserve">‘</w:t>
            </w:r>
            <w:r>
              <w:t xml:space="preserve">Data availability</w:t>
            </w:r>
            <w:r>
              <w:t xml:space="preserve">’</w:t>
            </w:r>
            <w:r>
              <w:t xml:space="preserve">.</w:t>
            </w:r>
          </w:p>
        </w:tc>
        <w:tc>
          <w:tcPr/>
          <w:p>
            <w:pPr>
              <w:pStyle w:val="Compact"/>
              <w:jc w:val="left"/>
            </w:pPr>
            <w:r>
              <w:t xml:space="preserve">Applied</w:t>
            </w:r>
          </w:p>
        </w:tc>
      </w:tr>
      <w:tr>
        <w:tc>
          <w:tcPr/>
          <w:p>
            <w:pPr>
              <w:pStyle w:val="Compact"/>
              <w:jc w:val="left"/>
            </w:pPr>
            <w:r>
              <w:t xml:space="preserve">LS-49</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Code-style notation printed in the artwork. The labels patched into Figures 1, 4 and S2 (figures/patch_labels.py) print literal</w:t>
            </w:r>
            <w:r>
              <w:t xml:space="preserve">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 </w:t>
            </w:r>
            <w:r>
              <w:t xml:space="preserve">and</w:t>
            </w:r>
            <w:r>
              <w:t xml:space="preserve"> </w:t>
            </w:r>
            <w:r>
              <w:t xml:space="preserve">‘</w:t>
            </w:r>
            <w:r>
              <w:t xml:space="preserve">μB</w:t>
            </w:r>
            <w:r>
              <w:t xml:space="preserve">’</w:t>
            </w:r>
            <w:r>
              <w:t xml:space="preserve"> </w:t>
            </w:r>
            <w:r>
              <w:t xml:space="preserve">without subscripts, whereas the captions and text us…</w:t>
            </w:r>
          </w:p>
        </w:tc>
        <w:tc>
          <w:tcPr/>
          <w:p>
            <w:pPr>
              <w:pStyle w:val="Compact"/>
              <w:jc w:val="left"/>
            </w:pPr>
            <w:r>
              <w:t xml:space="preserve">Applied by hand: Highlights now plain text; artwork notation remains for author regeneration</w:t>
            </w:r>
          </w:p>
        </w:tc>
      </w:tr>
      <w:tr>
        <w:tc>
          <w:tcPr/>
          <w:p>
            <w:pPr>
              <w:pStyle w:val="Compact"/>
              <w:jc w:val="left"/>
            </w:pPr>
            <w:r>
              <w:t xml:space="preserve">LS-50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Hyphen-minus in the artwork. Figure 2 prints</w:t>
            </w:r>
            <w:r>
              <w:t xml:space="preserve"> </w:t>
            </w:r>
            <w:r>
              <w:t xml:space="preserve">‘</w:t>
            </w:r>
            <w:r>
              <w:t xml:space="preserve">-4.06 eV</w:t>
            </w:r>
            <w:r>
              <w:t xml:space="preserve">’</w:t>
            </w:r>
            <w:r>
              <w:t xml:space="preserve"> </w:t>
            </w:r>
            <w:r>
              <w:t xml:space="preserve">and</w:t>
            </w:r>
            <w:r>
              <w:t xml:space="preserve"> </w:t>
            </w:r>
            <w:r>
              <w:t xml:space="preserve">‘</w:t>
            </w:r>
            <w:r>
              <w:t xml:space="preserve">-4.20 (2×2×2)</w:t>
            </w:r>
            <w:r>
              <w:t xml:space="preserve">’</w:t>
            </w:r>
            <w:r>
              <w:t xml:space="preserve">, and the graphical abstract prints</w:t>
            </w:r>
            <w:r>
              <w:t xml:space="preserve"> </w:t>
            </w:r>
            <w:r>
              <w:t xml:space="preserve">‘</w:t>
            </w:r>
            <w:r>
              <w:t xml:space="preserve">-4.06</w:t>
            </w:r>
            <w:r>
              <w:t xml:space="preserve">’</w:t>
            </w:r>
            <w:r>
              <w:t xml:space="preserve">, all with ASCII hyphens: matplotlib’s unicode_minus applies only to tick labels, not to ax.text strin…</w:t>
            </w:r>
          </w:p>
        </w:tc>
        <w:tc>
          <w:tcPr/>
          <w:p>
            <w:pPr>
              <w:pStyle w:val="Compact"/>
              <w:jc w:val="left"/>
            </w:pPr>
            <w:r>
              <w:t xml:space="preserve">Applied by hand: True minus signs in Figure 2 and the graphical abstract</w:t>
            </w:r>
          </w:p>
        </w:tc>
      </w:tr>
      <w:tr>
        <w:tc>
          <w:tcPr/>
          <w:p>
            <w:pPr>
              <w:pStyle w:val="Compact"/>
              <w:jc w:val="left"/>
            </w:pPr>
            <w:r>
              <w:t xml:space="preserve">LS-51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3 artwork title uses the undefined</w:t>
            </w:r>
            <w:r>
              <w:t xml:space="preserve"> </w:t>
            </w:r>
            <w:r>
              <w:t xml:space="preserve">‘</w:t>
            </w:r>
            <w:r>
              <w:t xml:space="preserve">single-U(Ti-3d)</w:t>
            </w:r>
            <w:r>
              <w:t xml:space="preserve">’</w:t>
            </w:r>
            <w:r>
              <w:t xml:space="preserve"> </w:t>
            </w:r>
            <w:r>
              <w:t xml:space="preserve">notation. The legend labels /m/ as</w:t>
            </w:r>
            <w:r>
              <w:t xml:space="preserve"> </w:t>
            </w:r>
            <w:r>
              <w:t xml:space="preserve">‘</w:t>
            </w:r>
            <w:r>
              <w:t xml:space="preserve">total magnetisation</w:t>
            </w:r>
            <w:r>
              <w:t xml:space="preserve">’</w:t>
            </w:r>
            <w:r>
              <w:t xml:space="preserve">, which Section 2.5 reserves for the signed m. The x-axis writes</w:t>
            </w:r>
            <w:r>
              <w:t xml:space="preserve"> </w:t>
            </w:r>
            <w:r>
              <w:t xml:space="preserve">‘</w:t>
            </w:r>
            <w:r>
              <w:t xml:space="preserve">Pristine perfect</w:t>
            </w:r>
            <w:r>
              <w:t xml:space="preserve">’</w:t>
            </w:r>
            <w:r>
              <w:t xml:space="preserve"> </w:t>
            </w:r>
            <w:r>
              <w:t xml:space="preserve">(no underscore) …</w:t>
            </w:r>
          </w:p>
        </w:tc>
        <w:tc>
          <w:tcPr/>
          <w:p>
            <w:pPr>
              <w:pStyle w:val="Compact"/>
              <w:jc w:val="left"/>
            </w:pPr>
            <w:r>
              <w:t xml:space="preserve">Applied by hand: Figure 3 title and legend corrected</w:t>
            </w:r>
          </w:p>
        </w:tc>
      </w:tr>
      <w:tr>
        <w:tc>
          <w:tcPr/>
          <w:p>
            <w:pPr>
              <w:pStyle w:val="Compact"/>
              <w:jc w:val="left"/>
            </w:pPr>
            <w:r>
              <w:t xml:space="preserve">LS-52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prints the literal Markdown/code form</w:t>
            </w:r>
            <w:r>
              <w:t xml:space="preserve"> </w:t>
            </w:r>
            <w:r>
              <w:t xml:space="preserve">‘</w:t>
            </w:r>
            <w:r>
              <w:t xml:space="preserve">V_O</w:t>
            </w:r>
            <w:r>
              <w:t xml:space="preserve">’</w:t>
            </w:r>
            <w:r>
              <w:t xml:space="preserve"> </w:t>
            </w:r>
            <w:r>
              <w:t xml:space="preserve">in a highlight. The Elsevier highlights field is plain text, so the underscore would appear as typed.</w:t>
            </w:r>
          </w:p>
        </w:tc>
        <w:tc>
          <w:tcPr/>
          <w:p>
            <w:pPr>
              <w:pStyle w:val="Compact"/>
              <w:jc w:val="left"/>
            </w:pPr>
            <w:r>
              <w:t xml:space="preserve">Applied by hand: Highlights corrected</w:t>
            </w:r>
          </w:p>
        </w:tc>
      </w:tr>
      <w:tr>
        <w:tc>
          <w:tcPr/>
          <w:p>
            <w:pPr>
              <w:pStyle w:val="Compact"/>
              <w:jc w:val="left"/>
            </w:pPr>
            <w:r>
              <w:t xml:space="preserve">LS-54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87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62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59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74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57 words (ignoring citation placeholders and markers), well over the ~45-word guideline.</w:t>
            </w:r>
          </w:p>
        </w:tc>
        <w:tc>
          <w:tcPr/>
          <w:p>
            <w:pPr>
              <w:pStyle w:val="Compact"/>
              <w:jc w:val="left"/>
            </w:pPr>
            <w:r>
              <w:t xml:space="preserve">Superseded by an overlapping fix (DC-03 had already rewritten this sentence and taken out the ’several e…)</w:t>
            </w:r>
          </w:p>
        </w:tc>
      </w:tr>
      <w:tr>
        <w:tc>
          <w:tcPr/>
          <w:p>
            <w:pPr>
              <w:pStyle w:val="Compact"/>
              <w:jc w:val="left"/>
            </w:pPr>
            <w:r>
              <w:t xml:space="preserve">LS-69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56 words (ignoring citation placeholders and markers), well over the ~45-word guideline.</w:t>
            </w:r>
          </w:p>
        </w:tc>
        <w:tc>
          <w:tcPr/>
          <w:p>
            <w:pPr>
              <w:pStyle w:val="Compact"/>
              <w:jc w:val="left"/>
            </w:pPr>
            <w:r>
              <w:t xml:space="preserve">Applied</w:t>
            </w:r>
          </w:p>
        </w:tc>
      </w:tr>
      <w:tr>
        <w:tc>
          <w:tcPr/>
          <w:p>
            <w:pPr>
              <w:pStyle w:val="Compact"/>
              <w:jc w:val="left"/>
            </w:pPr>
            <w:r>
              <w:t xml:space="preserve">LS-70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CT-01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Arrigoni and Madsen did not use U = 4.2 eV. Their PBE+U[Ti] series applies U = 5.8 eV to Ti-3d, and their PBE+U[Ti,O] series adds U(O-2p) = 5.25 eV (arXiv:1912.07260, the preprint of the cited JCP paper, Computational De…</w:t>
            </w:r>
          </w:p>
        </w:tc>
        <w:tc>
          <w:tcPr/>
          <w:p>
            <w:pPr>
              <w:pStyle w:val="Compact"/>
              <w:jc w:val="left"/>
            </w:pPr>
            <w:r>
              <w:t xml:space="preserve">Applied</w:t>
            </w:r>
          </w:p>
        </w:tc>
      </w:tr>
      <w:tr>
        <w:tc>
          <w:tcPr/>
          <w:p>
            <w:pPr>
              <w:pStyle w:val="Compact"/>
              <w:jc w:val="left"/>
            </w:pPr>
            <w:r>
              <w:t xml:space="preserve">CT-02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same wrong U is attributed to Arrigoni and Madsen in Section 3.2. Their DFT+U defect energies use U(Ti-3d) = 5.8 eV, and the formation energies they compare are the</w:t>
            </w:r>
            <w:r>
              <w:t xml:space="preserve"> </w:t>
            </w:r>
            <w:r>
              <w:t xml:space="preserve">‘</w:t>
            </w:r>
            <w:r>
              <w:t xml:space="preserve">corrected PBE+U[Ti]</w:t>
            </w:r>
            <w:r>
              <w:t xml:space="preserve">’</w:t>
            </w:r>
            <w:r>
              <w:t xml:space="preserve"> </w:t>
            </w:r>
            <w:r>
              <w:t xml:space="preserve">values, which include fitted …</w:t>
            </w:r>
          </w:p>
        </w:tc>
        <w:tc>
          <w:tcPr/>
          <w:p>
            <w:pPr>
              <w:pStyle w:val="Compact"/>
              <w:jc w:val="left"/>
            </w:pPr>
            <w:r>
              <w:t xml:space="preserve">Applied</w:t>
            </w:r>
          </w:p>
        </w:tc>
      </w:tr>
      <w:tr>
        <w:tc>
          <w:tcPr/>
          <w:p>
            <w:pPr>
              <w:pStyle w:val="Compact"/>
              <w:jc w:val="left"/>
            </w:pPr>
            <w:r>
              <w:t xml:space="preserve">CT-03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Deak2014 (</w:t>
            </w:r>
            <w:r>
              <w:t xml:space="preserve">‘</w:t>
            </w:r>
            <w:r>
              <w:t xml:space="preserve">Polarons and Oxygen Vacancies at the Surface of Anatase TiO2</w:t>
            </w:r>
            <w:r>
              <w:t xml:space="preserve">’</w:t>
            </w:r>
            <w:r>
              <w:t xml:space="preserve">, pss RRL) is a surface paper, yet it is cited for the bulk neutral-vacancy HSE06 formation energy at the oxygen-rich limit. Arrigoni and Madsen’s b…</w:t>
            </w:r>
          </w:p>
        </w:tc>
        <w:tc>
          <w:tcPr/>
          <w:p>
            <w:pPr>
              <w:pStyle w:val="Compact"/>
              <w:jc w:val="left"/>
            </w:pPr>
            <w:r>
              <w:t xml:space="preserve">Applied</w:t>
            </w:r>
          </w:p>
        </w:tc>
      </w:tr>
      <w:tr>
        <w:tc>
          <w:tcPr/>
          <w:p>
            <w:pPr>
              <w:pStyle w:val="Compact"/>
              <w:jc w:val="left"/>
            </w:pPr>
            <w:r>
              <w:t xml:space="preserve">CT-04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sentence attributes a</w:t>
            </w:r>
            <w:r>
              <w:t xml:space="preserve"> </w:t>
            </w:r>
            <w:r>
              <w:t xml:space="preserve">‘</w:t>
            </w:r>
            <w:r>
              <w:t xml:space="preserve">Pr–V_O association</w:t>
            </w:r>
            <w:r>
              <w:t xml:space="preserve">’</w:t>
            </w:r>
            <w:r>
              <w:t xml:space="preserve"> </w:t>
            </w:r>
            <w:r>
              <w:t xml:space="preserve">to Vural et al. Their abstract, from the institutional record of the Applied Surface Science paper, reports Pr incorporation at the (101) surface, Pr-induced gap states, opt…</w:t>
            </w:r>
          </w:p>
        </w:tc>
        <w:tc>
          <w:tcPr/>
          <w:p>
            <w:pPr>
              <w:pStyle w:val="Compact"/>
              <w:jc w:val="left"/>
            </w:pPr>
            <w:r>
              <w:t xml:space="preserve">Applied</w:t>
            </w:r>
          </w:p>
        </w:tc>
      </w:tr>
      <w:tr>
        <w:tc>
          <w:tcPr/>
          <w:p>
            <w:pPr>
              <w:pStyle w:val="Compact"/>
              <w:jc w:val="left"/>
            </w:pPr>
            <w:r>
              <w:t xml:space="preserve">CT-05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Wang2020 is</w:t>
            </w:r>
            <w:r>
              <w:t xml:space="preserve"> </w:t>
            </w:r>
            <w:r>
              <w:t xml:space="preserve">‘</w:t>
            </w:r>
            <w:r>
              <w:t xml:space="preserve">Mechanistic Understanding on the Role of Cu Species over the CuOx/TiO2 Catalyst for CO2 Photoreduction</w:t>
            </w:r>
            <w:r>
              <w:t xml:space="preserve">’</w:t>
            </w:r>
            <w:r>
              <w:t xml:space="preserve">. Its subject is supported CuOx (Cu+/Cu0 surface species) on TiO2, not substitutional Cu-doped anatase. …</w:t>
            </w:r>
          </w:p>
        </w:tc>
        <w:tc>
          <w:tcPr/>
          <w:p>
            <w:pPr>
              <w:pStyle w:val="Compact"/>
              <w:jc w:val="left"/>
            </w:pPr>
            <w:r>
              <w:t xml:space="preserve">Applied</w:t>
            </w:r>
          </w:p>
        </w:tc>
      </w:tr>
      <w:tr>
        <w:tc>
          <w:tcPr/>
          <w:p>
            <w:pPr>
              <w:pStyle w:val="Compact"/>
              <w:jc w:val="left"/>
            </w:pPr>
            <w:r>
              <w:t xml:space="preserve">CT-06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11-entry list supports a specific claim: the two V_O electrons can delocalise or localise as Ti3+, and the localised configuration acts as a trap. Two entries are off-topic. Yang2020 is a time-domain ab initio study…</w:t>
            </w:r>
          </w:p>
        </w:tc>
        <w:tc>
          <w:tcPr/>
          <w:p>
            <w:pPr>
              <w:pStyle w:val="Compact"/>
              <w:jc w:val="left"/>
            </w:pPr>
            <w:r>
              <w:t xml:space="preserve">Applied</w:t>
            </w:r>
          </w:p>
        </w:tc>
      </w:tr>
      <w:tr>
        <w:tc>
          <w:tcPr/>
          <w:p>
            <w:pPr>
              <w:pStyle w:val="Compact"/>
              <w:jc w:val="left"/>
            </w:pPr>
            <w:r>
              <w:t xml:space="preserve">CT-08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Arrigoni and Madsen used Γ-only sampling only for their HSE15 hybrid calculations, on 108-atom (3×3×1) cells. Their PBE+U and PBEsol defect calculations used a k-mesh scaled down from 6×6×2 (preprint, Computational Detai…</w:t>
            </w:r>
          </w:p>
        </w:tc>
        <w:tc>
          <w:tcPr/>
          <w:p>
            <w:pPr>
              <w:pStyle w:val="Compact"/>
              <w:jc w:val="left"/>
            </w:pPr>
            <w:r>
              <w:t xml:space="preserve">Applied</w:t>
            </w:r>
          </w:p>
        </w:tc>
      </w:tr>
      <w:tr>
        <w:tc>
          <w:tcPr/>
          <w:p>
            <w:pPr>
              <w:pStyle w:val="Compact"/>
              <w:jc w:val="left"/>
            </w:pPr>
            <w:r>
              <w:t xml:space="preserve">CT-09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studied intrinsic defects in undoped anatase, so they contain no Pr or Rb. Their 55 Ry cut-off applies only to PSlibrary PAW datasets for Ti and O (QE, spin-unpolarised, 96-atom cell; arXiv:2002.05351, Sect…</w:t>
            </w:r>
          </w:p>
        </w:tc>
        <w:tc>
          <w:tcPr/>
          <w:p>
            <w:pPr>
              <w:pStyle w:val="Compact"/>
              <w:jc w:val="left"/>
            </w:pPr>
            <w:r>
              <w:t xml:space="preserve">Applied</w:t>
            </w:r>
          </w:p>
        </w:tc>
      </w:tr>
      <w:tr>
        <w:tc>
          <w:tcPr/>
          <w:p>
            <w:pPr>
              <w:pStyle w:val="Compact"/>
              <w:jc w:val="left"/>
            </w:pPr>
            <w:r>
              <w:t xml:space="preserve">CT-10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(iii) repeats the CT-09 overstatement. It also writes</w:t>
            </w:r>
            <w:r>
              <w:t xml:space="preserve"> </w:t>
            </w:r>
            <w:r>
              <w:t xml:space="preserve">‘</w:t>
            </w:r>
            <w:r>
              <w:t xml:space="preserve">studies</w:t>
            </w:r>
            <w:r>
              <w:t xml:space="preserve">’</w:t>
            </w:r>
            <w:r>
              <w:t xml:space="preserve"> </w:t>
            </w:r>
            <w:r>
              <w:t xml:space="preserve">(plural) but cites only one study.</w:t>
            </w:r>
          </w:p>
        </w:tc>
        <w:tc>
          <w:tcPr/>
          <w:p>
            <w:pPr>
              <w:pStyle w:val="Compact"/>
              <w:jc w:val="left"/>
            </w:pPr>
            <w:r>
              <w:t xml:space="preserve">Applied</w:t>
            </w:r>
          </w:p>
        </w:tc>
      </w:tr>
      <w:tr>
        <w:tc>
          <w:tcPr/>
          <w:p>
            <w:pPr>
              <w:pStyle w:val="Compact"/>
              <w:jc w:val="left"/>
            </w:pPr>
            <w:r>
              <w:t xml:space="preserve">CT-11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clause attached to Cococcioni2005 implies that a linear-response U was computed for the pristine cell. No linear-response calculation was performed for any cell; the FINAL draft says a host-specific linear-response d…</w:t>
            </w:r>
          </w:p>
        </w:tc>
        <w:tc>
          <w:tcPr/>
          <w:p>
            <w:pPr>
              <w:pStyle w:val="Compact"/>
              <w:jc w:val="left"/>
            </w:pPr>
            <w:r>
              <w:t xml:space="preserve">Superseded by an overlapping fix (LS-17 already rewrote this clause to ’was not performed for any cell i…)</w:t>
            </w:r>
          </w:p>
        </w:tc>
      </w:tr>
      <w:tr>
        <w:tc>
          <w:tcPr/>
          <w:p>
            <w:pPr>
              <w:pStyle w:val="Compact"/>
              <w:jc w:val="left"/>
            </w:pPr>
            <w:r>
              <w:t xml:space="preserve">CT-12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 Albuquerque et al. (Ce-doped anatase), Ce substitutes as isovalent Ce4+. Ce3+ only appears once a vacancy forms (title:</w:t>
            </w:r>
            <w:r>
              <w:t xml:space="preserve"> </w:t>
            </w:r>
            <w:r>
              <w:t xml:space="preserve">‘</w:t>
            </w:r>
            <w:r>
              <w:t xml:space="preserve">Nature of Ce3+ and Ti3+ Centers Triggered by Oxygen Vacancy Formation</w:t>
            </w:r>
            <w:r>
              <w:t xml:space="preserve">’</w:t>
            </w:r>
            <w:r>
              <w:t xml:space="preserve">). Ce is therefore not a t…</w:t>
            </w:r>
          </w:p>
        </w:tc>
        <w:tc>
          <w:tcPr/>
          <w:p>
            <w:pPr>
              <w:pStyle w:val="Compact"/>
              <w:jc w:val="left"/>
            </w:pPr>
            <w:r>
              <w:t xml:space="preserve">Applied</w:t>
            </w:r>
          </w:p>
        </w:tc>
      </w:tr>
      <w:tr>
        <w:tc>
          <w:tcPr/>
          <w:p>
            <w:pPr>
              <w:pStyle w:val="Compact"/>
              <w:jc w:val="left"/>
            </w:pPr>
            <w:r>
              <w:t xml:space="preserve">CT-13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five papers are cited together for a specific mechanism: electronic accommodation of the −1 e deficit by valence-band rehybridisation or a change of dopant oxidation state. By title, Ahmad2020 is an experimental phot…</w:t>
            </w:r>
          </w:p>
        </w:tc>
        <w:tc>
          <w:tcPr/>
          <w:p>
            <w:pPr>
              <w:pStyle w:val="Compact"/>
              <w:jc w:val="left"/>
            </w:pPr>
            <w:r>
              <w:t xml:space="preserve">Applied</w:t>
            </w:r>
          </w:p>
        </w:tc>
      </w:tr>
      <w:tr>
        <w:tc>
          <w:tcPr/>
          <w:p>
            <w:pPr>
              <w:pStyle w:val="Compact"/>
              <w:jc w:val="left"/>
            </w:pPr>
            <w:r>
              <w:t xml:space="preserve">CT-14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title describes a</w:t>
            </w:r>
            <w:r>
              <w:t xml:space="preserve"> </w:t>
            </w:r>
            <w:r>
              <w:t xml:space="preserve">‘</w:t>
            </w:r>
            <w:r>
              <w:t xml:space="preserve">New Defect Equilibria Formalism</w:t>
            </w:r>
            <w:r>
              <w:t xml:space="preserve">’</w:t>
            </w:r>
            <w:r>
              <w:t xml:space="preserve"> </w:t>
            </w:r>
            <w:r>
              <w:t xml:space="preserve">specific to Ce-doped anatase, so</w:t>
            </w:r>
            <w:r>
              <w:t xml:space="preserve"> </w:t>
            </w:r>
            <w:r>
              <w:t xml:space="preserve">‘</w:t>
            </w:r>
            <w:r>
              <w:t xml:space="preserve">general</w:t>
            </w:r>
            <w:r>
              <w:t xml:space="preserve">’</w:t>
            </w:r>
            <w:r>
              <w:t xml:space="preserve"> </w:t>
            </w:r>
            <w:r>
              <w:t xml:space="preserve">is unsupported. The specific claim that both compensation channels appear has no verification marker. Ledger item 29 asks…</w:t>
            </w:r>
          </w:p>
        </w:tc>
        <w:tc>
          <w:tcPr/>
          <w:p>
            <w:pPr>
              <w:pStyle w:val="Compact"/>
              <w:jc w:val="left"/>
            </w:pPr>
            <w:r>
              <w:t xml:space="preserve">Applied</w:t>
            </w:r>
          </w:p>
        </w:tc>
      </w:tr>
      <w:tr>
        <w:tc>
          <w:tcPr/>
          <w:p>
            <w:pPr>
              <w:pStyle w:val="Compact"/>
              <w:jc w:val="left"/>
            </w:pPr>
            <w:r>
              <w:t xml:space="preserve">CT-15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four cited papers each show that aliovalent doping changes V_O energetics, in different hosts (TiO2, Cr2O3, rutile, CeO2). None establishes it as</w:t>
            </w:r>
            <w:r>
              <w:t xml:space="preserve"> </w:t>
            </w:r>
            <w:r>
              <w:t xml:space="preserve">‘</w:t>
            </w:r>
            <w:r>
              <w:t xml:space="preserve">the principal</w:t>
            </w:r>
            <w:r>
              <w:t xml:space="preserve">’</w:t>
            </w:r>
            <w:r>
              <w:t xml:space="preserve"> </w:t>
            </w:r>
            <w:r>
              <w:t xml:space="preserve">lever. This superlative is of the same kind as the ’le…</w:t>
            </w:r>
          </w:p>
        </w:tc>
        <w:tc>
          <w:tcPr/>
          <w:p>
            <w:pPr>
              <w:pStyle w:val="Compact"/>
              <w:jc w:val="left"/>
            </w:pPr>
            <w:r>
              <w:t xml:space="preserve">Applied</w:t>
            </w:r>
          </w:p>
        </w:tc>
      </w:tr>
      <w:tr>
        <w:tc>
          <w:tcPr/>
          <w:p>
            <w:pPr>
              <w:pStyle w:val="Compact"/>
              <w:jc w:val="left"/>
            </w:pPr>
            <w:r>
              <w:t xml:space="preserve">CT-16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Kavan2020 concerns TiO2 and SnO2 electron-selective layers in dye-sensitised cells. It cannot establish which ETLs are</w:t>
            </w:r>
            <w:r>
              <w:t xml:space="preserve"> </w:t>
            </w:r>
            <w:r>
              <w:t xml:space="preserve">‘</w:t>
            </w:r>
            <w:r>
              <w:t xml:space="preserve">most commonly</w:t>
            </w:r>
            <w:r>
              <w:t xml:space="preserve">’</w:t>
            </w:r>
            <w:r>
              <w:t xml:space="preserve"> </w:t>
            </w:r>
            <w:r>
              <w:t xml:space="preserve">used with wide-gap (perovskite) indoor absorbers. Ledger item 3 says it ’supports tha…</w:t>
            </w:r>
          </w:p>
        </w:tc>
        <w:tc>
          <w:tcPr/>
          <w:p>
            <w:pPr>
              <w:pStyle w:val="Compact"/>
              <w:jc w:val="left"/>
            </w:pPr>
            <w:r>
              <w:t xml:space="preserve">Applied</w:t>
            </w:r>
          </w:p>
        </w:tc>
      </w:tr>
      <w:tr>
        <w:tc>
          <w:tcPr/>
          <w:p>
            <w:pPr>
              <w:pStyle w:val="Compact"/>
              <w:jc w:val="left"/>
            </w:pPr>
            <w:r>
              <w:t xml:space="preserve">CT-17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200–1000 lx illuminance range and the claim that indoor V_oc is limited by non-radiative recombination have no citation. Ledger item 1 flags exactly these</w:t>
            </w:r>
            <w:r>
              <w:t xml:space="preserve"> </w:t>
            </w:r>
            <w:r>
              <w:t xml:space="preserve">‘</w:t>
            </w:r>
            <w:r>
              <w:t xml:space="preserve">specific low-flux loss assertions</w:t>
            </w:r>
            <w:r>
              <w:t xml:space="preserve">’</w:t>
            </w:r>
            <w:r>
              <w:t xml:space="preserve"> </w:t>
            </w:r>
            <w:r>
              <w:t xml:space="preserve">for checking against Pecu…</w:t>
            </w:r>
          </w:p>
        </w:tc>
        <w:tc>
          <w:tcPr/>
          <w:p>
            <w:pPr>
              <w:pStyle w:val="Compact"/>
              <w:jc w:val="left"/>
            </w:pPr>
            <w:r>
              <w:t xml:space="preserve">Applied</w:t>
            </w:r>
          </w:p>
        </w:tc>
      </w:tr>
      <w:tr>
        <w:tc>
          <w:tcPr/>
          <w:p>
            <w:pPr>
              <w:pStyle w:val="Compact"/>
              <w:jc w:val="left"/>
            </w:pPr>
            <w:r>
              <w:t xml:space="preserve">CT-20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Known overbinding</w:t>
            </w:r>
            <w:r>
              <w:t xml:space="preserve">’</w:t>
            </w:r>
            <w:r>
              <w:t xml:space="preserve"> </w:t>
            </w:r>
            <w:r>
              <w:t xml:space="preserve">is a literature claim with no citation. Arrigoni2020, already in refs.py, states that</w:t>
            </w:r>
            <w:r>
              <w:t xml:space="preserve"> </w:t>
            </w:r>
            <w:r>
              <w:t xml:space="preserve">‘</w:t>
            </w:r>
            <w:r>
              <w:t xml:space="preserve">GGA functionals tend also to overbind the O2 molecule</w:t>
            </w:r>
            <w:r>
              <w:t xml:space="preserve">’</w:t>
            </w:r>
            <w:r>
              <w:t xml:space="preserve"> </w:t>
            </w:r>
            <w:r>
              <w:t xml:space="preserve">and discusses its cancellation with self-interaction error…</w:t>
            </w:r>
          </w:p>
        </w:tc>
        <w:tc>
          <w:tcPr/>
          <w:p>
            <w:pPr>
              <w:pStyle w:val="Compact"/>
              <w:jc w:val="left"/>
            </w:pPr>
            <w:r>
              <w:t xml:space="preserve">Applied</w:t>
            </w:r>
          </w:p>
        </w:tc>
      </w:tr>
      <w:tr>
        <w:tc>
          <w:tcPr/>
          <w:p>
            <w:pPr>
              <w:pStyle w:val="Compact"/>
              <w:jc w:val="left"/>
            </w:pPr>
            <w:r>
              <w:t xml:space="preserve">CT-21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NEEDS CITATION flag added under ED-45 can be resolved from refs.py. Table I of Arrigoni and Madsen tabulates the experimental electronic dielectric constant of anatase as ε∞,xx = 5.82 (in-plane) and ε∞,zz = 5.41. The…</w:t>
            </w:r>
          </w:p>
        </w:tc>
        <w:tc>
          <w:tcPr/>
          <w:p>
            <w:pPr>
              <w:pStyle w:val="Compact"/>
              <w:jc w:val="left"/>
            </w:pPr>
            <w:r>
              <w:t xml:space="preserve">Applied</w:t>
            </w:r>
          </w:p>
        </w:tc>
      </w:tr>
      <w:tr>
        <w:tc>
          <w:tcPr/>
          <w:p>
            <w:pPr>
              <w:pStyle w:val="Compact"/>
              <w:jc w:val="left"/>
            </w:pPr>
            <w:r>
              <w:t xml:space="preserve">CT-22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La3+ to Sc3+ six-fold radii are given without a source, although Shannon1976 is cited two sentences earlier for the Pr3+ and Rb+ radii. The values match Shannon CN6 (La3+ 1.032 Å, Sc3+ 0.745 Å).</w:t>
            </w:r>
          </w:p>
        </w:tc>
        <w:tc>
          <w:tcPr/>
          <w:p>
            <w:pPr>
              <w:pStyle w:val="Compact"/>
              <w:jc w:val="left"/>
            </w:pPr>
            <w:r>
              <w:t xml:space="preserve">Applied</w:t>
            </w:r>
          </w:p>
        </w:tc>
      </w:tr>
      <w:tr>
        <w:tc>
          <w:tcPr/>
          <w:p>
            <w:pPr>
              <w:pStyle w:val="Compact"/>
              <w:jc w:val="left"/>
            </w:pPr>
            <w:r>
              <w:t xml:space="preserve">CT-23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q² scaling of the first-order monopole (Makov–Payne) correction is stated without a source. Freysoldt2014 was added to refs.py with the note</w:t>
            </w:r>
            <w:r>
              <w:t xml:space="preserve"> </w:t>
            </w:r>
            <w:r>
              <w:t xml:space="preserve">‘</w:t>
            </w:r>
            <w:r>
              <w:t xml:space="preserve">formation-energy formalism and finite-size corrections</w:t>
            </w:r>
            <w:r>
              <w:t xml:space="preserve">’</w:t>
            </w:r>
            <w:r>
              <w:t xml:space="preserve"> </w:t>
            </w:r>
            <w:r>
              <w:t xml:space="preserve">but is cited only …</w:t>
            </w:r>
          </w:p>
        </w:tc>
        <w:tc>
          <w:tcPr/>
          <w:p>
            <w:pPr>
              <w:pStyle w:val="Compact"/>
              <w:jc w:val="left"/>
            </w:pPr>
            <w:r>
              <w:t xml:space="preserve">Applied</w:t>
            </w:r>
          </w:p>
        </w:tc>
      </w:tr>
      <w:tr>
        <w:tc>
          <w:tcPr/>
          <w:p>
            <w:pPr>
              <w:pStyle w:val="Compact"/>
              <w:jc w:val="left"/>
            </w:pPr>
            <w:r>
              <w:t xml:space="preserve">CT-24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comparison in Section 3.2 treats Arrigoni and Madsen’s DFT+U values as directly comparable with an uncorrected PBE+U value at a PBE O2 reference. In fact they used a larger U, applied fitted elemental-energy correcti…</w:t>
            </w:r>
          </w:p>
        </w:tc>
        <w:tc>
          <w:tcPr/>
          <w:p>
            <w:pPr>
              <w:pStyle w:val="Compact"/>
              <w:jc w:val="left"/>
            </w:pPr>
            <w:r>
              <w:t xml:space="preserve">Applied</w:t>
            </w:r>
          </w:p>
        </w:tc>
      </w:tr>
      <w:tr>
        <w:tc>
          <w:tcPr/>
          <w:p>
            <w:pPr>
              <w:pStyle w:val="Compact"/>
              <w:jc w:val="left"/>
            </w:pPr>
            <w:r>
              <w:t xml:space="preserve">CT-25</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Phys. Rev. Materials title is</w:t>
            </w:r>
            <w:r>
              <w:t xml:space="preserve"> </w:t>
            </w:r>
            <w:r>
              <w:t xml:space="preserve">‘</w:t>
            </w:r>
            <w:r>
              <w:t xml:space="preserve">Distinct behavior of localized and delocalized carriers in anatase TiO2 (001) during reaction with O2</w:t>
            </w:r>
            <w:r>
              <w:t xml:space="preserve">’</w:t>
            </w:r>
            <w:r>
              <w:t xml:space="preserve"> </w:t>
            </w:r>
            <w:r>
              <w:t xml:space="preserve">(UCL Discovery and Pri…</w:t>
            </w:r>
          </w:p>
        </w:tc>
        <w:tc>
          <w:tcPr/>
          <w:p>
            <w:pPr>
              <w:pStyle w:val="Compact"/>
              <w:jc w:val="left"/>
            </w:pPr>
            <w:r>
              <w:t xml:space="preserve">Applied</w:t>
            </w:r>
          </w:p>
        </w:tc>
      </w:tr>
      <w:tr>
        <w:tc>
          <w:tcPr/>
          <w:p>
            <w:pPr>
              <w:pStyle w:val="Compact"/>
              <w:jc w:val="left"/>
            </w:pPr>
            <w:r>
              <w:t xml:space="preserve">CT-26</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Adv. Funct. Mater. title ends</w:t>
            </w:r>
            <w:r>
              <w:t xml:space="preserve"> </w:t>
            </w:r>
            <w:r>
              <w:t xml:space="preserve">‘</w:t>
            </w:r>
            <w:r>
              <w:t xml:space="preserve">Photoreversible Color Switching</w:t>
            </w:r>
            <w:r>
              <w:t xml:space="preserve">’</w:t>
            </w:r>
            <w:r>
              <w:t xml:space="preserve"> </w:t>
            </w:r>
            <w:r>
              <w:t xml:space="preserve">(Nature Index record for DOI 10.1002/adfm.202423514).</w:t>
            </w:r>
          </w:p>
        </w:tc>
        <w:tc>
          <w:tcPr/>
          <w:p>
            <w:pPr>
              <w:pStyle w:val="Compact"/>
              <w:jc w:val="left"/>
            </w:pPr>
            <w:r>
              <w:t xml:space="preserve">Applied</w:t>
            </w:r>
          </w:p>
        </w:tc>
      </w:tr>
      <w:tr>
        <w:tc>
          <w:tcPr/>
          <w:p>
            <w:pPr>
              <w:pStyle w:val="Compact"/>
              <w:jc w:val="left"/>
            </w:pPr>
            <w:r>
              <w:t xml:space="preserve">CT-27</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RSC DOI case is inconsistent across the list: Yang2020, Bahmanrokh2020 and Carey2017 are lowercase (10.1039/d0ta08712b, c9nr08604h, c7ta00315c), but Boonchun2016 is uppercase.</w:t>
            </w:r>
          </w:p>
        </w:tc>
        <w:tc>
          <w:tcPr/>
          <w:p>
            <w:pPr>
              <w:pStyle w:val="Compact"/>
              <w:jc w:val="left"/>
            </w:pPr>
            <w:r>
              <w:t xml:space="preserve">Applied</w:t>
            </w:r>
          </w:p>
        </w:tc>
      </w:tr>
      <w:tr>
        <w:tc>
          <w:tcPr/>
          <w:p>
            <w:pPr>
              <w:pStyle w:val="Compact"/>
              <w:jc w:val="left"/>
            </w:pPr>
            <w:r>
              <w:t xml:space="preserve">CT-28</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journal abbreviation for the newly added Shannon entry does not follow the CASSI style used everywhere else in the list (e.g. </w:t>
            </w:r>
            <w:r>
              <w:t xml:space="preserve">‘</w:t>
            </w:r>
            <w:r>
              <w:t xml:space="preserve">J. Phys.: Condens. Matter</w:t>
            </w:r>
            <w:r>
              <w:t xml:space="preserve">’</w:t>
            </w:r>
            <w:r>
              <w:t xml:space="preserve">,</w:t>
            </w:r>
            <w:r>
              <w:t xml:space="preserve"> </w:t>
            </w:r>
            <w:r>
              <w:t xml:space="preserve">‘</w:t>
            </w:r>
            <w:r>
              <w:t xml:space="preserve">Prog. Nat. Sci.: Mater. Int.</w:t>
            </w:r>
            <w:r>
              <w:t xml:space="preserve">’</w:t>
            </w:r>
            <w:r>
              <w:t xml:space="preserve">). The section-journal form is …</w:t>
            </w:r>
          </w:p>
        </w:tc>
        <w:tc>
          <w:tcPr/>
          <w:p>
            <w:pPr>
              <w:pStyle w:val="Compact"/>
              <w:jc w:val="left"/>
            </w:pPr>
            <w:r>
              <w:t xml:space="preserve">Applied</w:t>
            </w:r>
          </w:p>
        </w:tc>
      </w:tr>
      <w:tr>
        <w:tc>
          <w:tcPr/>
          <w:p>
            <w:pPr>
              <w:pStyle w:val="Compact"/>
              <w:jc w:val="left"/>
            </w:pPr>
            <w:r>
              <w:t xml:space="preserve">CT-29</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initials are inconsistent within the list. Yin2018 gives the same research group’s authors as</w:t>
            </w:r>
            <w:r>
              <w:t xml:space="preserve"> </w:t>
            </w:r>
            <w:r>
              <w:t xml:space="preserve">‘</w:t>
            </w:r>
            <w:r>
              <w:t xml:space="preserve">Yin, W.-J.</w:t>
            </w:r>
            <w:r>
              <w:t xml:space="preserve">’</w:t>
            </w:r>
            <w:r>
              <w:t xml:space="preserve"> </w:t>
            </w:r>
            <w:r>
              <w:t xml:space="preserve">and</w:t>
            </w:r>
            <w:r>
              <w:t xml:space="preserve"> </w:t>
            </w:r>
            <w:r>
              <w:t xml:space="preserve">‘</w:t>
            </w:r>
            <w:r>
              <w:t xml:space="preserve">Liu, L.-M.</w:t>
            </w:r>
            <w:r>
              <w:t xml:space="preserve">’</w:t>
            </w:r>
            <w:r>
              <w:t xml:space="preserve"> </w:t>
            </w:r>
            <w:r>
              <w:t xml:space="preserve">(Wen-Jin Yin, Li-Min Liu), while Yin2020 gives</w:t>
            </w:r>
            <w:r>
              <w:t xml:space="preserve"> </w:t>
            </w:r>
            <w:r>
              <w:t xml:space="preserve">‘</w:t>
            </w:r>
            <w:r>
              <w:t xml:space="preserve">Yin, W.</w:t>
            </w:r>
            <w:r>
              <w:t xml:space="preserve">’</w:t>
            </w:r>
            <w:r>
              <w:t xml:space="preserve"> </w:t>
            </w:r>
            <w:r>
              <w:t xml:space="preserve">and</w:t>
            </w:r>
            <w:r>
              <w:t xml:space="preserve"> </w:t>
            </w:r>
            <w:r>
              <w:t xml:space="preserve">‘</w:t>
            </w:r>
            <w:r>
              <w:t xml:space="preserve">Liu, L.</w:t>
            </w:r>
            <w:r>
              <w:t xml:space="preserve">’</w:t>
            </w:r>
            <w:r>
              <w:t xml:space="preserve">.</w:t>
            </w:r>
          </w:p>
        </w:tc>
        <w:tc>
          <w:tcPr/>
          <w:p>
            <w:pPr>
              <w:pStyle w:val="Compact"/>
              <w:jc w:val="left"/>
            </w:pPr>
            <w:r>
              <w:t xml:space="preserve">Applied by hand: co-author Wei, X. added and end page 133, from two bibliographic search records</w:t>
            </w:r>
          </w:p>
        </w:tc>
      </w:tr>
      <w:tr>
        <w:tc>
          <w:tcPr/>
          <w:p>
            <w:pPr>
              <w:pStyle w:val="Compact"/>
              <w:jc w:val="left"/>
            </w:pPr>
            <w:r>
              <w:t xml:space="preserve">CT-30</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volume may be wrong. The TED University and Ankara University institutional records for this DOI (10.1016/j.apsusc.2022.156042) give Applied Surface Science volume 613, not 612.</w:t>
            </w:r>
          </w:p>
        </w:tc>
        <w:tc>
          <w:tcPr/>
          <w:p>
            <w:pPr>
              <w:pStyle w:val="Compact"/>
              <w:jc w:val="left"/>
            </w:pPr>
            <w:r>
              <w:t xml:space="preserve">Not changed; verification note added (volume 612 vs 613)</w:t>
            </w:r>
          </w:p>
        </w:tc>
      </w:tr>
      <w:tr>
        <w:tc>
          <w:tcPr/>
          <w:p>
            <w:pPr>
              <w:pStyle w:val="Compact"/>
              <w:jc w:val="left"/>
            </w:pPr>
            <w:r>
              <w:t xml:space="preserve">CT-31</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build_refs.py, the reference list is numbered</w:t>
            </w:r>
            <w:r>
              <w:t xml:space="preserve"> </w:t>
            </w:r>
            <w:r>
              <w:t xml:space="preserve">‘</w:t>
            </w:r>
            <w:r>
              <w:t xml:space="preserve">(1)</w:t>
            </w:r>
            <w:r>
              <w:t xml:space="preserve">’</w:t>
            </w:r>
            <w:r>
              <w:t xml:space="preserve"> </w:t>
            </w:r>
            <w:r>
              <w:t xml:space="preserve">while in-text citations use</w:t>
            </w:r>
            <w:r>
              <w:t xml:space="preserve"> </w:t>
            </w:r>
            <w:r>
              <w:t xml:space="preserve">‘</w:t>
            </w:r>
            <w:r>
              <w:t xml:space="preserve">[1]</w:t>
            </w:r>
            <w:r>
              <w:t xml:space="preserve">’</w:t>
            </w:r>
            <w:r>
              <w:t xml:space="preserve">. Lists are never compressed into ranges (e.g. [5,6,7,8,9,10,11,12,13,14,15] instead of [5–15]). Applied Surface Science’s guide num…</w:t>
            </w:r>
          </w:p>
        </w:tc>
        <w:tc>
          <w:tcPr/>
          <w:p>
            <w:pPr>
              <w:pStyle w:val="Compact"/>
              <w:jc w:val="left"/>
            </w:pPr>
            <w:r>
              <w:t xml:space="preserve">Applied by hand: Square-bracket numbering and range compression implemented in build_refs.py</w:t>
            </w:r>
          </w:p>
        </w:tc>
      </w:tr>
      <w:tr>
        <w:tc>
          <w:tcPr/>
          <w:p>
            <w:pPr>
              <w:pStyle w:val="Compact"/>
              <w:jc w:val="left"/>
            </w:pPr>
            <w:r>
              <w:t xml:space="preserve">SI-01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sentence has the sign wrong, and the error came in with the editorial pass (ED-08/CM-16). In Table S2 and in the Table S9 ledger every 2×2×2 total is less negative than its Γ total, so the 2×2×2 energies lie ABOVE t…</w:t>
            </w:r>
          </w:p>
        </w:tc>
        <w:tc>
          <w:tcPr/>
          <w:p>
            <w:pPr>
              <w:pStyle w:val="Compact"/>
              <w:jc w:val="left"/>
            </w:pPr>
            <w:r>
              <w:t xml:space="preserve">Superseded by an overlapping fix (LS-03 already replaced this whole sentence. It now says</w:t>
            </w:r>
            <w:r>
              <w:t xml:space="preserve"> </w:t>
            </w:r>
            <w:r>
              <w:t xml:space="preserve">‘</w:t>
            </w:r>
            <w:r>
              <w:t xml:space="preserve">above</w:t>
            </w:r>
            <w:r>
              <w:t xml:space="preserve">’</w:t>
            </w:r>
            <w:r>
              <w:t xml:space="preserve"> </w:t>
            </w:r>
            <w:r>
              <w:t xml:space="preserve">the Γ-…)</w:t>
            </w:r>
          </w:p>
        </w:tc>
      </w:tr>
      <w:tr>
        <w:tc>
          <w:tcPr/>
          <w:p>
            <w:pPr>
              <w:pStyle w:val="Compact"/>
              <w:jc w:val="left"/>
            </w:pPr>
            <w:r>
              <w:t xml:space="preserve">SI-02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direction</w:t>
            </w:r>
            <w:r>
              <w:t xml:space="preserve"> </w:t>
            </w:r>
            <w:r>
              <w:t xml:space="preserve">‘</w:t>
            </w:r>
            <w:r>
              <w:t xml:space="preserve">high</w:t>
            </w:r>
            <w:r>
              <w:t xml:space="preserve">’</w:t>
            </w:r>
            <w:r>
              <w:t xml:space="preserve"> </w:t>
            </w:r>
            <w:r>
              <w:t xml:space="preserve">was added in v4. The FINAL draft quoted only the magnitudes of the differences. Combined with the Table S2 sign (2×2×2 above Γ),</w:t>
            </w:r>
            <w:r>
              <w:t xml:space="preserve"> </w:t>
            </w:r>
            <w:r>
              <w:t xml:space="preserve">‘</w:t>
            </w:r>
            <w:r>
              <w:t xml:space="preserve">high</w:t>
            </w:r>
            <w:r>
              <w:t xml:space="preserve">’</w:t>
            </w:r>
            <w:r>
              <w:t xml:space="preserve"> </w:t>
            </w:r>
            <w:r>
              <w:t xml:space="preserve">would put the 2×2×2 energies more than 2 eV above 3×3×2, which …</w:t>
            </w:r>
          </w:p>
        </w:tc>
        <w:tc>
          <w:tcPr/>
          <w:p>
            <w:pPr>
              <w:pStyle w:val="Compact"/>
              <w:jc w:val="left"/>
            </w:pPr>
            <w:r>
              <w:t xml:space="preserve">Superseded by an overlapping fix (LS-03 already replaced</w:t>
            </w:r>
            <w:r>
              <w:t xml:space="preserve"> </w:t>
            </w:r>
            <w:r>
              <w:t xml:space="preserve">‘</w:t>
            </w:r>
            <w:r>
              <w:t xml:space="preserve">are high by</w:t>
            </w:r>
            <w:r>
              <w:t xml:space="preserve">’</w:t>
            </w:r>
            <w:r>
              <w:t xml:space="preserve"> </w:t>
            </w:r>
            <w:r>
              <w:t xml:space="preserve">with ’differ from the 3x3x2 value…)</w:t>
            </w:r>
          </w:p>
        </w:tc>
      </w:tr>
      <w:tr>
        <w:tc>
          <w:tcPr/>
          <w:p>
            <w:pPr>
              <w:pStyle w:val="Compact"/>
              <w:jc w:val="left"/>
            </w:pPr>
            <w:r>
              <w:t xml:space="preserve">SI-03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 repeats the unsupported sign</w:t>
            </w:r>
            <w:r>
              <w:t xml:space="preserve"> </w:t>
            </w:r>
            <w:r>
              <w:t xml:space="preserve">‘</w:t>
            </w:r>
            <w:r>
              <w:t xml:space="preserve">above</w:t>
            </w:r>
            <w:r>
              <w:t xml:space="preserve">’</w:t>
            </w:r>
            <w:r>
              <w:t xml:space="preserve">. That sign is inconsistent with Table S2 combined with the 2×2×1 result (SI-01).</w:t>
            </w:r>
          </w:p>
        </w:tc>
        <w:tc>
          <w:tcPr/>
          <w:p>
            <w:pPr>
              <w:pStyle w:val="Compact"/>
              <w:jc w:val="left"/>
            </w:pPr>
            <w:r>
              <w:t xml:space="preserve">Applied</w:t>
            </w:r>
          </w:p>
        </w:tc>
      </w:tr>
      <w:tr>
        <w:tc>
          <w:tcPr/>
          <w:p>
            <w:pPr>
              <w:pStyle w:val="Compact"/>
              <w:jc w:val="left"/>
            </w:pPr>
            <w:r>
              <w:t xml:space="preserve">SI-04</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Section S4 contradicts its own Table S2. The table’s ΔE column (+0.08292 and +0.09101 Ry) puts the 2×2×2 values above Γ, yet the text says they lie below 3×3×2. The signed expressions</w:t>
            </w:r>
            <w:r>
              <w:t xml:space="preserve"> </w:t>
            </w:r>
            <w:r>
              <w:t xml:space="preserve">‘</w:t>
            </w:r>
            <w:r>
              <w:t xml:space="preserve">Γ − 3×3×2 = +1.05…</w:t>
            </w:r>
            <w:r>
              <w:t xml:space="preserve">’</w:t>
            </w:r>
            <w:r>
              <w:t xml:space="preserve"> </w:t>
            </w:r>
            <w:r>
              <w:t xml:space="preserve">also assert a d…</w:t>
            </w:r>
          </w:p>
        </w:tc>
        <w:tc>
          <w:tcPr/>
          <w:p>
            <w:pPr>
              <w:pStyle w:val="Compact"/>
              <w:jc w:val="left"/>
            </w:pPr>
            <w:r>
              <w:t xml:space="preserve">Superseded by an overlapping fix (Already covered by LS-05, which rewrote the same sentence in S4. It no…)</w:t>
            </w:r>
          </w:p>
        </w:tc>
      </w:tr>
      <w:tr>
        <w:tc>
          <w:tcPr/>
          <w:p>
            <w:pPr>
              <w:pStyle w:val="Compact"/>
              <w:jc w:val="left"/>
            </w:pPr>
            <w:r>
              <w:t xml:space="preserve">SI-05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Several headline numbers depend on the Rb_VO 2×2×2 run: the 2×2×2 column of Table 2, the +5.39 eV contrast, and the</w:t>
            </w:r>
            <w:r>
              <w:t xml:space="preserve"> </w:t>
            </w:r>
            <w:r>
              <w:t xml:space="preserve">‘</w:t>
            </w:r>
            <w:r>
              <w:t xml:space="preserve">0.04 eV</w:t>
            </w:r>
            <w:r>
              <w:t xml:space="preserve">’</w:t>
            </w:r>
            <w:r>
              <w:t xml:space="preserve"> </w:t>
            </w:r>
            <w:r>
              <w:t xml:space="preserve">stability claimed in the Abstract, Section 3.2 and the Conclusions. SI Section S4 and Table S6…</w:t>
            </w:r>
          </w:p>
        </w:tc>
        <w:tc>
          <w:tcPr/>
          <w:p>
            <w:pPr>
              <w:pStyle w:val="Compact"/>
              <w:jc w:val="left"/>
            </w:pPr>
            <w:r>
              <w:t xml:space="preserve">Applied</w:t>
            </w:r>
          </w:p>
        </w:tc>
      </w:tr>
      <w:tr>
        <w:tc>
          <w:tcPr/>
          <w:p>
            <w:pPr>
              <w:pStyle w:val="Compact"/>
              <w:jc w:val="left"/>
            </w:pPr>
            <w:r>
              <w:t xml:space="preserve">SI-06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In Fig1_structures_patched.png the atomic positions of panels (a) and (b) coincide to within a few pixels everywhere, including the dopant first shell. Only the dopant and bond colours differ: less than 2 % of pixels dif…</w:t>
            </w:r>
          </w:p>
        </w:tc>
        <w:tc>
          <w:tcPr/>
          <w:p>
            <w:pPr>
              <w:pStyle w:val="Compact"/>
              <w:jc w:val="left"/>
            </w:pPr>
            <w:r>
              <w:t xml:space="preserve">Applied</w:t>
            </w:r>
          </w:p>
        </w:tc>
      </w:tr>
      <w:tr>
        <w:tc>
          <w:tcPr/>
          <w:p>
            <w:pPr>
              <w:pStyle w:val="Compact"/>
              <w:jc w:val="left"/>
            </w:pPr>
            <w:r>
              <w:t xml:space="preserve">SI-08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artwork does not show what this caption describes. In the Fig 4 inset, the arrow labelled</w:t>
            </w:r>
            <w:r>
              <w:t xml:space="preserve"> </w:t>
            </w:r>
            <w:r>
              <w:t xml:space="preserve">‘</w:t>
            </w:r>
            <w:r>
              <w:t xml:space="preserve">gap state</w:t>
            </w:r>
            <w:r>
              <w:t xml:space="preserve">’</w:t>
            </w:r>
            <w:r>
              <w:t xml:space="preserve"> </w:t>
            </w:r>
            <w:r>
              <w:t xml:space="preserve">(formerly</w:t>
            </w:r>
            <w:r>
              <w:t xml:space="preserve"> </w:t>
            </w:r>
            <w:r>
              <w:t xml:space="preserve">‘</w:t>
            </w:r>
            <w:r>
              <w:t xml:space="preserve">Ti³⁺ trap</w:t>
            </w:r>
            <w:r>
              <w:t xml:space="preserve">’</w:t>
            </w:r>
            <w:r>
              <w:t xml:space="preserve">) points at the spin-up O-2p valence-band edge at about −0.1 eV, not at a separate state. The…</w:t>
            </w:r>
          </w:p>
        </w:tc>
        <w:tc>
          <w:tcPr/>
          <w:p>
            <w:pPr>
              <w:pStyle w:val="Compact"/>
              <w:jc w:val="left"/>
            </w:pPr>
            <w:r>
              <w:t xml:space="preserve">Applied</w:t>
            </w:r>
          </w:p>
        </w:tc>
      </w:tr>
      <w:tr>
        <w:tc>
          <w:tcPr/>
          <w:p>
            <w:pPr>
              <w:pStyle w:val="Compact"/>
              <w:jc w:val="left"/>
            </w:pPr>
            <w:r>
              <w:t xml:space="preserve">SI-09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run 1 lists starting_magnetization = 0 for Pristine_perfect. Section 2.5, after CM-06, states that Quantum ESPRESSO requires a non-zero value for at least one species when nspin = 2, and that ’zero magnetisatio…</w:t>
            </w:r>
          </w:p>
        </w:tc>
        <w:tc>
          <w:tcPr/>
          <w:p>
            <w:pPr>
              <w:pStyle w:val="Compact"/>
              <w:jc w:val="left"/>
            </w:pPr>
            <w:r>
              <w:t xml:space="preserve">Applied</w:t>
            </w:r>
          </w:p>
        </w:tc>
      </w:tr>
      <w:tr>
        <w:tc>
          <w:tcPr/>
          <w:p>
            <w:pPr>
              <w:pStyle w:val="Compact"/>
              <w:jc w:val="left"/>
            </w:pPr>
            <w:r>
              <w:t xml:space="preserve">SI-10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ED-12 corrected only the main-text side of this contradiction. Section 2.6 now says the doped production relaxations used mixing_beta = 0.1, yet S1 still calls local-TF/0.3</w:t>
            </w:r>
            <w:r>
              <w:t xml:space="preserve"> </w:t>
            </w:r>
            <w:r>
              <w:t xml:space="preserve">‘</w:t>
            </w:r>
            <w:r>
              <w:t xml:space="preserve">the production protocol</w:t>
            </w:r>
            <w:r>
              <w:t xml:space="preserve">’</w:t>
            </w:r>
            <w:r>
              <w:t xml:space="preserve">. It is also not the ’…</w:t>
            </w:r>
          </w:p>
        </w:tc>
        <w:tc>
          <w:tcPr/>
          <w:p>
            <w:pPr>
              <w:pStyle w:val="Compact"/>
              <w:jc w:val="left"/>
            </w:pPr>
            <w:r>
              <w:t xml:space="preserve">Applied</w:t>
            </w:r>
          </w:p>
        </w:tc>
      </w:tr>
      <w:tr>
        <w:tc>
          <w:tcPr/>
          <w:p>
            <w:pPr>
              <w:pStyle w:val="Compact"/>
              <w:jc w:val="left"/>
            </w:pPr>
            <w:r>
              <w:t xml:space="preserve">SI-11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declaration does not match the figure package. The graphical abstract was produced by an AI-written script (figures/make_graphical_abstract.py). The interim Figures 1, 4, S1 and S2 were altered by an AI-written raste…</w:t>
            </w:r>
          </w:p>
        </w:tc>
        <w:tc>
          <w:tcPr/>
          <w:p>
            <w:pPr>
              <w:pStyle w:val="Compact"/>
              <w:jc w:val="left"/>
            </w:pPr>
            <w:r>
              <w:t xml:space="preserve">Superseded by an overlapping fix (This quote is the same one LS-06 uses, and LS-06 had already added the…)</w:t>
            </w:r>
          </w:p>
        </w:tc>
      </w:tr>
      <w:tr>
        <w:tc>
          <w:tcPr/>
          <w:p>
            <w:pPr>
              <w:pStyle w:val="Compact"/>
              <w:jc w:val="left"/>
            </w:pPr>
            <w:r>
              <w:t xml:space="preserve">SI-12</w:t>
            </w:r>
          </w:p>
        </w:tc>
        <w:tc>
          <w:tcPr/>
          <w:p>
            <w:pPr>
              <w:pStyle w:val="Compact"/>
              <w:jc w:val="left"/>
            </w:pPr>
            <w:r>
              <w:t xml:space="preserve">major</w:t>
            </w:r>
          </w:p>
        </w:tc>
        <w:tc>
          <w:tcPr/>
          <w:p>
            <w:pPr>
              <w:pStyle w:val="Compact"/>
              <w:jc w:val="left"/>
            </w:pPr>
            <w:r>
              <w:t xml:space="preserve">none</w:t>
            </w:r>
          </w:p>
        </w:tc>
        <w:tc>
          <w:tcPr/>
          <w:p>
            <w:pPr>
              <w:pStyle w:val="Compact"/>
              <w:jc w:val="left"/>
            </w:pPr>
            <w:r>
              <w:t xml:space="preserve">In submission/Cover_Letter_Applied_Surface_Science.md, this sentence contradicts the manuscript’s AI declaration. The declaration says the tool restructured and edited the text and produced the plotting scripts. Saying ’…</w:t>
            </w:r>
          </w:p>
        </w:tc>
        <w:tc>
          <w:tcPr/>
          <w:p>
            <w:pPr>
              <w:pStyle w:val="Compact"/>
              <w:jc w:val="left"/>
            </w:pPr>
            <w:r>
              <w:t xml:space="preserve">Applied by hand: Cover-letter AI sentence aligned with the declaration</w:t>
            </w:r>
          </w:p>
        </w:tc>
      </w:tr>
      <w:tr>
        <w:tc>
          <w:tcPr/>
          <w:p>
            <w:pPr>
              <w:pStyle w:val="Compact"/>
              <w:jc w:val="left"/>
            </w:pPr>
            <w:r>
              <w:t xml:space="preserve">SI-13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ΔE column of Table S2 has no definition. Its sign convention (E(2×2×2) − E(Γ), positive) was misread in the main text, which produced the error in SI-01.</w:t>
            </w:r>
          </w:p>
        </w:tc>
        <w:tc>
          <w:tcPr/>
          <w:p>
            <w:pPr>
              <w:pStyle w:val="Compact"/>
              <w:jc w:val="left"/>
            </w:pPr>
            <w:r>
              <w:t xml:space="preserve">Applied</w:t>
            </w:r>
          </w:p>
        </w:tc>
      </w:tr>
      <w:tr>
        <w:tc>
          <w:tcPr/>
          <w:p>
            <w:pPr>
              <w:pStyle w:val="Compact"/>
              <w:jc w:val="left"/>
            </w:pPr>
            <w:r>
              <w:t xml:space="preserve">SI-15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S2.1 gives the Pr valence as 5d^1 6s^2. Table 1 gives 5d</w:t>
            </w:r>
            <w:r>
              <w:rPr>
                <w:vertAlign w:val="superscript"/>
              </w:rPr>
              <w:t xml:space="preserve">1(6s,6p)</w:t>
            </w:r>
            <w:r>
              <w:t xml:space="preserve">2, and Section 2.1 says the generation configuration uses fractional 6s/6p occupations. The SI and the main text disagree.</w:t>
            </w:r>
          </w:p>
        </w:tc>
        <w:tc>
          <w:tcPr/>
          <w:p>
            <w:pPr>
              <w:pStyle w:val="Compact"/>
              <w:jc w:val="left"/>
            </w:pPr>
            <w:r>
              <w:t xml:space="preserve">Superseded by an overlapping fix (Already covered by DC-60, which made the same change (the (6s,6p)</w:t>
            </w:r>
            <w:r>
              <w:rPr>
                <w:vertAlign w:val="superscript"/>
              </w:rPr>
              <w:t xml:space="preserve">2</w:t>
            </w:r>
            <w:r>
              <w:t xml:space="preserve"> </w:t>
            </w:r>
            <w:r>
              <w:t xml:space="preserve">c…)</w:t>
            </w:r>
          </w:p>
        </w:tc>
      </w:tr>
      <w:tr>
        <w:tc>
          <w:tcPr/>
          <w:p>
            <w:pPr>
              <w:pStyle w:val="Compact"/>
              <w:jc w:val="left"/>
            </w:pPr>
            <w:r>
              <w:t xml:space="preserve">SI-16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 FigS2_total_PDOS_patched.png the Rb_VO feature straddles E_F and peaks just above it (about +0.1 eV, after a dip just below 0). Calling it</w:t>
            </w:r>
            <w:r>
              <w:t xml:space="preserve"> </w:t>
            </w:r>
            <w:r>
              <w:t xml:space="preserve">‘</w:t>
            </w:r>
            <w:r>
              <w:t xml:space="preserve">occupied</w:t>
            </w:r>
            <w:r>
              <w:t xml:space="preserve">’</w:t>
            </w:r>
            <w:r>
              <w:t xml:space="preserve"> </w:t>
            </w:r>
            <w:r>
              <w:t xml:space="preserve">is not what the artwork shows, and it matches the caption problem i…</w:t>
            </w:r>
          </w:p>
        </w:tc>
        <w:tc>
          <w:tcPr/>
          <w:p>
            <w:pPr>
              <w:pStyle w:val="Compact"/>
              <w:jc w:val="left"/>
            </w:pPr>
            <w:r>
              <w:t xml:space="preserve">Applied</w:t>
            </w:r>
          </w:p>
        </w:tc>
      </w:tr>
      <w:tr>
        <w:tc>
          <w:tcPr/>
          <w:p>
            <w:pPr>
              <w:pStyle w:val="Compact"/>
              <w:jc w:val="left"/>
            </w:pPr>
            <w:r>
              <w:t xml:space="preserve">SI-17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spin-down Ti-3d channel looks</w:t>
            </w:r>
            <w:r>
              <w:t xml:space="preserve"> </w:t>
            </w:r>
            <w:r>
              <w:t xml:space="preserve">‘</w:t>
            </w:r>
            <w:r>
              <w:t xml:space="preserve">missing</w:t>
            </w:r>
            <w:r>
              <w:t xml:space="preserve">’</w:t>
            </w:r>
            <w:r>
              <w:t xml:space="preserve"> </w:t>
            </w:r>
            <w:r>
              <w:t xml:space="preserve">because the inset is drawn over the Rb_VO spin-down valence band (about −6 to −2 eV) and hides it; spin-down Ti-3d is visible just outside the inset. The inset also has no axis…</w:t>
            </w:r>
          </w:p>
        </w:tc>
        <w:tc>
          <w:tcPr/>
          <w:p>
            <w:pPr>
              <w:pStyle w:val="Compact"/>
              <w:jc w:val="left"/>
            </w:pPr>
            <w:r>
              <w:t xml:space="preserve">Applied</w:t>
            </w:r>
          </w:p>
        </w:tc>
      </w:tr>
      <w:tr>
        <w:tc>
          <w:tcPr/>
          <w:p>
            <w:pPr>
              <w:pStyle w:val="Compact"/>
              <w:jc w:val="left"/>
            </w:pPr>
            <w:r>
              <w:t xml:space="preserve">SI-18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 4 (top), S1 and S2 all show a weak Ti-3d shoulder just below the main conduction-band rise of Pr_VO, separated from it by a shallow dip. A referee comparing the text with the artwork will ask about it.</w:t>
            </w:r>
          </w:p>
        </w:tc>
        <w:tc>
          <w:tcPr/>
          <w:p>
            <w:pPr>
              <w:pStyle w:val="Compact"/>
              <w:jc w:val="left"/>
            </w:pPr>
            <w:r>
              <w:t xml:space="preserve">Applied</w:t>
            </w:r>
          </w:p>
        </w:tc>
      </w:tr>
      <w:tr>
        <w:tc>
          <w:tcPr/>
          <w:p>
            <w:pPr>
              <w:pStyle w:val="Compact"/>
              <w:jc w:val="left"/>
            </w:pPr>
            <w:r>
              <w:t xml:space="preserve">SI-19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a nearest-neighbour vacancy. Sections 2.3, 3.1 and 3.7 say the production site is only</w:t>
            </w:r>
            <w:r>
              <w:t xml:space="preserve"> </w:t>
            </w:r>
            <w:r>
              <w:t xml:space="preserve">‘</w:t>
            </w:r>
            <w:r>
              <w:t xml:space="preserve">in the neighbourhood</w:t>
            </w:r>
            <w:r>
              <w:t xml:space="preserve">’</w:t>
            </w:r>
            <w:r>
              <w:t xml:space="preserve"> </w:t>
            </w:r>
            <w:r>
              <w:t xml:space="preserve">and that the nearest-neighbour assignment has not been established.</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SI-20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has the same unsupported nearest-neighbour implication as SI-19, here in Section 4.2.</w:t>
            </w:r>
          </w:p>
        </w:tc>
        <w:tc>
          <w:tcPr/>
          <w:p>
            <w:pPr>
              <w:pStyle w:val="Compact"/>
              <w:jc w:val="left"/>
            </w:pPr>
            <w:r>
              <w:t xml:space="preserve">Superseded by an overlapping fix (DC-43 had already changed</w:t>
            </w:r>
            <w:r>
              <w:t xml:space="preserve"> </w:t>
            </w:r>
            <w:r>
              <w:t xml:space="preserve">‘</w:t>
            </w:r>
            <w:r>
              <w:t xml:space="preserve">next to Pr becomes exothermic</w:t>
            </w:r>
            <w:r>
              <w:t xml:space="preserve">’</w:t>
            </w:r>
            <w:r>
              <w:t xml:space="preserve"> </w:t>
            </w:r>
            <w:r>
              <w:t xml:space="preserve">to ’near Pr …)</w:t>
            </w:r>
          </w:p>
        </w:tc>
      </w:tr>
      <w:tr>
        <w:tc>
          <w:tcPr/>
          <w:p>
            <w:pPr>
              <w:pStyle w:val="Compact"/>
              <w:jc w:val="left"/>
            </w:pPr>
            <w:r>
              <w:t xml:space="preserve">SI-22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mixing_beta = 0.3 is not the pw.x default; the defaults are mixing_beta = 0.7 and mixing_mode =</w:t>
            </w:r>
            <w:r>
              <w:t xml:space="preserve"> </w:t>
            </w:r>
            <w:r>
              <w:t xml:space="preserve">‘</w:t>
            </w:r>
            <w:r>
              <w:t xml:space="preserve">plain</w:t>
            </w:r>
            <w:r>
              <w:t xml:space="preserve">’</w:t>
            </w:r>
            <w:r>
              <w:t xml:space="preserve">. SI S1 shows that this attempt used local-TF. The wording, introduced by ED-12, is incorrect.</w:t>
            </w:r>
          </w:p>
        </w:tc>
        <w:tc>
          <w:tcPr/>
          <w:p>
            <w:pPr>
              <w:pStyle w:val="Compact"/>
              <w:jc w:val="left"/>
            </w:pPr>
            <w:r>
              <w:t xml:space="preserve">Applied</w:t>
            </w:r>
          </w:p>
        </w:tc>
      </w:tr>
      <w:tr>
        <w:tc>
          <w:tcPr/>
          <w:p>
            <w:pPr>
              <w:pStyle w:val="Compact"/>
              <w:jc w:val="left"/>
            </w:pPr>
            <w:r>
              <w:t xml:space="preserve">SI-23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main text never states the hardware; it appears only in the SI Table S6 caption. Table S6 is also never cited from the main text.</w:t>
            </w:r>
          </w:p>
        </w:tc>
        <w:tc>
          <w:tcPr/>
          <w:p>
            <w:pPr>
              <w:pStyle w:val="Compact"/>
              <w:jc w:val="left"/>
            </w:pPr>
            <w:r>
              <w:t xml:space="preserve">Applied</w:t>
            </w:r>
          </w:p>
        </w:tc>
      </w:tr>
      <w:tr>
        <w:tc>
          <w:tcPr/>
          <w:p>
            <w:pPr>
              <w:pStyle w:val="Compact"/>
              <w:jc w:val="left"/>
            </w:pPr>
            <w:r>
              <w:t xml:space="preserve">SI-24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Figures S1 and S2 (SI Section S2) are never cited in the main text. Every SI figure should be called out from the main text.</w:t>
            </w:r>
          </w:p>
        </w:tc>
        <w:tc>
          <w:tcPr/>
          <w:p>
            <w:pPr>
              <w:pStyle w:val="Compact"/>
              <w:jc w:val="left"/>
            </w:pPr>
            <w:r>
              <w:t xml:space="preserve">Applied</w:t>
            </w:r>
          </w:p>
        </w:tc>
      </w:tr>
      <w:tr>
        <w:tc>
          <w:tcPr/>
          <w:p>
            <w:pPr>
              <w:pStyle w:val="Compact"/>
              <w:jc w:val="left"/>
            </w:pPr>
            <w:r>
              <w:t xml:space="preserve">SI-25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covers all four doped cells, but Figure S3 shows trajectories for Pr_VO and Rb_VO only.</w:t>
            </w:r>
          </w:p>
        </w:tc>
        <w:tc>
          <w:tcPr/>
          <w:p>
            <w:pPr>
              <w:pStyle w:val="Compact"/>
              <w:jc w:val="left"/>
            </w:pPr>
            <w:r>
              <w:t xml:space="preserve">Applied</w:t>
            </w:r>
          </w:p>
        </w:tc>
      </w:tr>
      <w:tr>
        <w:tc>
          <w:tcPr/>
          <w:p>
            <w:pPr>
              <w:pStyle w:val="Compact"/>
              <w:jc w:val="left"/>
            </w:pPr>
            <w:r>
              <w:t xml:space="preserve">SI-26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 S3(a) shows F_max below 0.005 Ry/Bohr for the last several steps, and the text gives an energy change below 1×10^−9 Ry. With both criteria met, pw.x BFGS would have stopped on its own unless etot_conv_thr or forc_…</w:t>
            </w:r>
          </w:p>
        </w:tc>
        <w:tc>
          <w:tcPr/>
          <w:p>
            <w:pPr>
              <w:pStyle w:val="Compact"/>
              <w:jc w:val="left"/>
            </w:pPr>
            <w:r>
              <w:t xml:space="preserve">Applied</w:t>
            </w:r>
          </w:p>
        </w:tc>
      </w:tr>
      <w:tr>
        <w:tc>
          <w:tcPr/>
          <w:p>
            <w:pPr>
              <w:pStyle w:val="Compact"/>
              <w:jc w:val="left"/>
            </w:pPr>
            <w:r>
              <w:t xml:space="preserve">SI-27</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submission/Cover_Letter_Applied_Surface_Science.md the cover letter uses</w:t>
            </w:r>
            <w:r>
              <w:t xml:space="preserve"> </w:t>
            </w:r>
            <w:r>
              <w:t xml:space="preserve">‘</w:t>
            </w:r>
            <w:r>
              <w:t xml:space="preserve">Localization</w:t>
            </w:r>
            <w:r>
              <w:t xml:space="preserve">’</w:t>
            </w:r>
            <w:r>
              <w:t xml:space="preserve">. The corrected manuscript and SI title (ED-33/ED-34) uses</w:t>
            </w:r>
            <w:r>
              <w:t xml:space="preserve"> </w:t>
            </w:r>
            <w:r>
              <w:t xml:space="preserve">‘</w:t>
            </w:r>
            <w:r>
              <w:t xml:space="preserve">Localisation</w:t>
            </w:r>
            <w:r>
              <w:t xml:space="preserve">’</w:t>
            </w:r>
            <w:r>
              <w:t xml:space="preserve">. The editorial office matches titles.</w:t>
            </w:r>
          </w:p>
        </w:tc>
        <w:tc>
          <w:tcPr/>
          <w:p>
            <w:pPr>
              <w:pStyle w:val="Compact"/>
              <w:jc w:val="left"/>
            </w:pPr>
            <w:r>
              <w:t xml:space="preserve">Applied by hand: Cover-letter title corrected (now the new title)</w:t>
            </w:r>
          </w:p>
        </w:tc>
      </w:tr>
      <w:tr>
        <w:tc>
          <w:tcPr/>
          <w:p>
            <w:pPr>
              <w:pStyle w:val="Compact"/>
              <w:jc w:val="left"/>
            </w:pPr>
            <w:r>
              <w:t xml:space="preserve">SI-28</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 2 artwork title (figures/make_figures.py) ends</w:t>
            </w:r>
            <w:r>
              <w:t xml:space="preserve"> </w:t>
            </w:r>
            <w:r>
              <w:t xml:space="preserve">‘</w:t>
            </w:r>
            <w:r>
              <w:t xml:space="preserve">Γ-only</w:t>
            </w:r>
            <w:r>
              <w:t xml:space="preserve">’</w:t>
            </w:r>
            <w:r>
              <w:t xml:space="preserve"> </w:t>
            </w:r>
            <w:r>
              <w:t xml:space="preserve">while the panel also plots the 2×2×2 dashed ticks. The in-plot footnote and the</w:t>
            </w:r>
            <w:r>
              <w:t xml:space="preserve"> </w:t>
            </w:r>
            <w:r>
              <w:t xml:space="preserve">‘</w:t>
            </w:r>
            <w:r>
              <w:t xml:space="preserve">-4.20 (2×2×2)</w:t>
            </w:r>
            <w:r>
              <w:t xml:space="preserve">’</w:t>
            </w:r>
            <w:r>
              <w:t xml:space="preserve"> </w:t>
            </w:r>
            <w:r>
              <w:t xml:space="preserve">label run past the right edge of the axes, and bar labels us…</w:t>
            </w:r>
          </w:p>
        </w:tc>
        <w:tc>
          <w:tcPr/>
          <w:p>
            <w:pPr>
              <w:pStyle w:val="Compact"/>
              <w:jc w:val="left"/>
            </w:pPr>
            <w:r>
              <w:t xml:space="preserve">Applied by hand: Figure 2 title and label placement corrected</w:t>
            </w:r>
          </w:p>
        </w:tc>
      </w:tr>
      <w:tr>
        <w:tc>
          <w:tcPr/>
          <w:p>
            <w:pPr>
              <w:pStyle w:val="Compact"/>
              <w:jc w:val="left"/>
            </w:pPr>
            <w:r>
              <w:t xml:space="preserve">SI-30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Fig 3 the Pristine, Pr_perfect and Pr_VO bars have zero height and no label, so the panel shows nothing for half the cells. The caption’s</w:t>
            </w:r>
            <w:r>
              <w:t xml:space="preserve"> </w:t>
            </w:r>
            <w:r>
              <w:t xml:space="preserve">‘</w:t>
            </w:r>
            <w:r>
              <w:t xml:space="preserve">converge to non-magnetic solutions</w:t>
            </w:r>
            <w:r>
              <w:t xml:space="preserve">’</w:t>
            </w:r>
            <w:r>
              <w:t xml:space="preserve"> </w:t>
            </w:r>
            <w:r>
              <w:t xml:space="preserve">cannot be told apart from missing data.</w:t>
            </w:r>
          </w:p>
        </w:tc>
        <w:tc>
          <w:tcPr/>
          <w:p>
            <w:pPr>
              <w:pStyle w:val="Compact"/>
              <w:jc w:val="left"/>
            </w:pPr>
            <w:r>
              <w:t xml:space="preserve">Applied by hand: Zero values labelled in Figure 3</w:t>
            </w:r>
          </w:p>
        </w:tc>
      </w:tr>
      <w:tr>
        <w:tc>
          <w:tcPr/>
          <w:p>
            <w:pPr>
              <w:pStyle w:val="Compact"/>
              <w:jc w:val="left"/>
            </w:pPr>
            <w:r>
              <w:t xml:space="preserve">SI-31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ED-43 removed</w:t>
            </w:r>
            <w:r>
              <w:t xml:space="preserve"> </w:t>
            </w:r>
            <w:r>
              <w:t xml:space="preserve">‘</w:t>
            </w:r>
            <w:r>
              <w:t xml:space="preserve">single-U(Ti-3d)</w:t>
            </w:r>
            <w:r>
              <w:t xml:space="preserve">’</w:t>
            </w:r>
            <w:r>
              <w:t xml:space="preserve"> </w:t>
            </w:r>
            <w:r>
              <w:t xml:space="preserve">as an undefined notation elsewhere, but it survives in the Fig 3 caption and in the artwork title. The O</w:t>
            </w:r>
            <w:r>
              <w:rPr>
                <w:vertAlign w:val="subscript"/>
              </w:rPr>
              <w:t xml:space="preserve">2</w:t>
            </w:r>
            <w:r>
              <w:t xml:space="preserve"> </w:t>
            </w:r>
            <w:r>
              <w:t xml:space="preserve">bar is also not a Ti-3d +U calculation: Table S9 lists run 7 as</w:t>
            </w:r>
            <w:r>
              <w:t xml:space="preserve"> </w:t>
            </w:r>
            <w:r>
              <w:t xml:space="preserve">‘</w:t>
            </w:r>
            <w:r>
              <w:t xml:space="preserve">PBE</w:t>
            </w:r>
            <w:r>
              <w:t xml:space="preserve">’</w:t>
            </w:r>
            <w:r>
              <w:t xml:space="preserve">.</w:t>
            </w:r>
          </w:p>
        </w:tc>
        <w:tc>
          <w:tcPr/>
          <w:p>
            <w:pPr>
              <w:pStyle w:val="Compact"/>
              <w:jc w:val="left"/>
            </w:pPr>
            <w:r>
              <w:t xml:space="preserve">Superseded by an overlapping fix (LS-25 already replaced</w:t>
            </w:r>
            <w:r>
              <w:t xml:space="preserve"> </w:t>
            </w:r>
            <w:r>
              <w:t xml:space="preserve">‘</w:t>
            </w:r>
            <w:r>
              <w:t xml:space="preserve">(single-U(Ti-3d) PBE+U relaxations)</w:t>
            </w:r>
            <w:r>
              <w:t xml:space="preserve">’</w:t>
            </w:r>
            <w:r>
              <w:t xml:space="preserve"> </w:t>
            </w:r>
            <w:r>
              <w:t xml:space="preserve">in the Fi…)</w:t>
            </w:r>
          </w:p>
        </w:tc>
      </w:tr>
      <w:tr>
        <w:tc>
          <w:tcPr/>
          <w:p>
            <w:pPr>
              <w:pStyle w:val="Compact"/>
              <w:jc w:val="left"/>
            </w:pPr>
            <w:r>
              <w:t xml:space="preserve">SI-32</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Graphical_Abstract.png the footer runs off the right edge: the rendered text box ends at 1538 px on a 1535 px canvas, so the final</w:t>
            </w:r>
            <w:r>
              <w:t xml:space="preserve"> </w:t>
            </w:r>
            <w:r>
              <w:t xml:space="preserve">‘</w:t>
            </w:r>
            <w:r>
              <w:t xml:space="preserve">e</w:t>
            </w:r>
            <w:r>
              <w:t xml:space="preserve">’</w:t>
            </w:r>
            <w:r>
              <w:t xml:space="preserve"> </w:t>
            </w:r>
            <w:r>
              <w:t xml:space="preserve">is cut. At 6 pt in grey it is also the least legible element at the 13 × 5 cm disp…</w:t>
            </w:r>
          </w:p>
        </w:tc>
        <w:tc>
          <w:tcPr/>
          <w:p>
            <w:pPr>
              <w:pStyle w:val="Compact"/>
              <w:jc w:val="left"/>
            </w:pPr>
            <w:r>
              <w:t xml:space="preserve">Applied by hand: Graphical abstract footer shortened; no clipping</w:t>
            </w:r>
          </w:p>
        </w:tc>
      </w:tr>
      <w:tr>
        <w:tc>
          <w:tcPr/>
          <w:p>
            <w:pPr>
              <w:pStyle w:val="Compact"/>
              <w:jc w:val="left"/>
            </w:pPr>
            <w:r>
              <w:t xml:space="preserve">SI-33</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y-axis label of the graphical abstract,</w:t>
            </w:r>
            <w:r>
              <w:t xml:space="preserve"> </w:t>
            </w:r>
            <w:r>
              <w:t xml:space="preserve">‘</w:t>
            </w:r>
            <w:r>
              <w:t xml:space="preserve">E_f(V_O^0) (eV)</w:t>
            </w:r>
            <w:r>
              <w:t xml:space="preserve">’</w:t>
            </w:r>
            <w:r>
              <w:t xml:space="preserve">, touches the left edge of the canvas (column 0 contains black pixels), so it is clipped in the delivered PNG.</w:t>
            </w:r>
          </w:p>
        </w:tc>
        <w:tc>
          <w:tcPr/>
          <w:p>
            <w:pPr>
              <w:pStyle w:val="Compact"/>
              <w:jc w:val="left"/>
            </w:pPr>
            <w:r>
              <w:t xml:space="preserve">Applied by hand: Graphical abstract axes moved; label no longer clipped</w:t>
            </w:r>
          </w:p>
        </w:tc>
      </w:tr>
      <w:tr>
        <w:tc>
          <w:tcPr/>
          <w:p>
            <w:pPr>
              <w:pStyle w:val="Compact"/>
              <w:jc w:val="left"/>
            </w:pPr>
            <w:r>
              <w:t xml:space="preserve">SI-35</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S3(b) title uses pw.x log jargon. The figure was not patched at all: no FigS3 patched file exists, patch_labels.py has no S3 block, and the SI still links FigS3_force_convergence_relabel_required.png. The Edit…</w:t>
            </w:r>
          </w:p>
        </w:tc>
        <w:tc>
          <w:tcPr/>
          <w:p>
            <w:pPr>
              <w:pStyle w:val="Compact"/>
              <w:jc w:val="left"/>
            </w:pPr>
            <w:r>
              <w:t xml:space="preserve">Applied by hand: Figure S3 interim label patch; regeneration marker updated</w:t>
            </w:r>
          </w:p>
        </w:tc>
      </w:tr>
      <w:tr>
        <w:tc>
          <w:tcPr/>
          <w:p>
            <w:pPr>
              <w:pStyle w:val="Compact"/>
              <w:jc w:val="left"/>
            </w:pPr>
            <w:r>
              <w:t xml:space="preserve">SI-36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S6 states that the Rb dual-U cells were relaxations. Main-text Section 3.4 has an AUTHOR ACTION asking whether each dual-U cell was relaxed or computed as a single point, so the SI presupposes the answer.</w:t>
            </w:r>
          </w:p>
        </w:tc>
        <w:tc>
          <w:tcPr/>
          <w:p>
            <w:pPr>
              <w:pStyle w:val="Compact"/>
              <w:jc w:val="left"/>
            </w:pPr>
            <w:r>
              <w:t xml:space="preserve">Applied</w:t>
            </w:r>
          </w:p>
        </w:tc>
      </w:tr>
      <w:tr>
        <w:tc>
          <w:tcPr/>
          <w:p>
            <w:pPr>
              <w:pStyle w:val="Compact"/>
              <w:jc w:val="left"/>
            </w:pPr>
            <w:r>
              <w:t xml:space="preserve">SI-37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heading calls everything in S7</w:t>
            </w:r>
            <w:r>
              <w:t xml:space="preserve"> </w:t>
            </w:r>
            <w:r>
              <w:t xml:space="preserve">‘</w:t>
            </w:r>
            <w:r>
              <w:t xml:space="preserve">single points</w:t>
            </w:r>
            <w:r>
              <w:t xml:space="preserve">’</w:t>
            </w:r>
            <w:r>
              <w:t xml:space="preserve">, but Table S5 lists the dual-U Pr_perfect run as a relaxation, with F_max = 0.0049 Ry/Bohr.</w:t>
            </w:r>
          </w:p>
        </w:tc>
        <w:tc>
          <w:tcPr/>
          <w:p>
            <w:pPr>
              <w:pStyle w:val="Compact"/>
              <w:jc w:val="left"/>
            </w:pPr>
            <w:r>
              <w:t xml:space="preserve">Applied</w:t>
            </w:r>
          </w:p>
        </w:tc>
      </w:tr>
      <w:tr>
        <w:tc>
          <w:tcPr/>
          <w:p>
            <w:pPr>
              <w:pStyle w:val="Compact"/>
              <w:jc w:val="left"/>
            </w:pPr>
            <w:r>
              <w:t xml:space="preserve">SI-38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contents line has the same mislabel as the S7 heading (SI-37).</w:t>
            </w:r>
          </w:p>
        </w:tc>
        <w:tc>
          <w:tcPr/>
          <w:p>
            <w:pPr>
              <w:pStyle w:val="Compact"/>
              <w:jc w:val="left"/>
            </w:pPr>
            <w:r>
              <w:t xml:space="preserve">Applied</w:t>
            </w:r>
          </w:p>
        </w:tc>
      </w:tr>
      <w:tr>
        <w:tc>
          <w:tcPr/>
          <w:p>
            <w:pPr>
              <w:pStyle w:val="Compact"/>
              <w:jc w:val="left"/>
            </w:pPr>
            <w:r>
              <w:t xml:space="preserve">SI-39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S9 says all entries are the printed</w:t>
            </w:r>
            <w:r>
              <w:t xml:space="preserve"> </w:t>
            </w:r>
            <w:r>
              <w:t xml:space="preserve">‘</w:t>
            </w:r>
            <w:r>
              <w:t xml:space="preserve">! total energy</w:t>
            </w:r>
            <w:r>
              <w:t xml:space="preserve">’</w:t>
            </w:r>
            <w:r>
              <w:t xml:space="preserve"> </w:t>
            </w:r>
            <w:r>
              <w:t xml:space="preserve">lines. The O</w:t>
            </w:r>
            <w:r>
              <w:rPr>
                <w:vertAlign w:val="subscript"/>
              </w:rPr>
              <w:t xml:space="preserve">2</w:t>
            </w:r>
            <w:r>
              <w:t xml:space="preserve"> </w:t>
            </w:r>
            <w:r>
              <w:t xml:space="preserve">entry is instead given as twice the half-energy, so the printed total is not traceable.</w:t>
            </w:r>
          </w:p>
        </w:tc>
        <w:tc>
          <w:tcPr/>
          <w:p>
            <w:pPr>
              <w:pStyle w:val="Compact"/>
              <w:jc w:val="left"/>
            </w:pPr>
            <w:r>
              <w:t xml:space="preserve">Applied</w:t>
            </w:r>
          </w:p>
        </w:tc>
      </w:tr>
      <w:tr>
        <w:tc>
          <w:tcPr/>
          <w:p>
            <w:pPr>
              <w:pStyle w:val="Compact"/>
              <w:jc w:val="left"/>
            </w:pPr>
            <w:r>
              <w:t xml:space="preserve">SI-41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Rb_VO has two nearly degenerate spin solutions (m_abs = 1.21 versus 1.00 μB, Section 3.3). The paper does not say which one the k-mesh single points, the Table S2 2×2×2 single points, or the 2×2×2 PDOS run behind Figure …</w:t>
            </w:r>
          </w:p>
        </w:tc>
        <w:tc>
          <w:tcPr/>
          <w:p>
            <w:pPr>
              <w:pStyle w:val="Compact"/>
              <w:jc w:val="left"/>
            </w:pPr>
            <w:r>
              <w:t xml:space="preserve">Applied</w:t>
            </w:r>
          </w:p>
        </w:tc>
      </w:tr>
      <w:tr>
        <w:tc>
          <w:tcPr/>
          <w:p>
            <w:pPr>
              <w:pStyle w:val="Compact"/>
              <w:jc w:val="left"/>
            </w:pPr>
            <w:r>
              <w:t xml:space="preserve">SI-42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logic is garbled:</w:t>
            </w:r>
            <w:r>
              <w:t xml:space="preserve"> </w:t>
            </w:r>
            <w:r>
              <w:t xml:space="preserve">‘</w:t>
            </w:r>
            <w:r>
              <w:t xml:space="preserve">a few tenths of an electron</w:t>
            </w:r>
            <w:r>
              <w:t xml:space="preserve">’</w:t>
            </w:r>
            <w:r>
              <w:t xml:space="preserve"> </w:t>
            </w:r>
            <w:r>
              <w:t xml:space="preserve">(0.2 e or more) is four or more times the 0.05 e spread, so it does not</w:t>
            </w:r>
            <w:r>
              <w:t xml:space="preserve"> </w:t>
            </w:r>
            <w:r>
              <w:t xml:space="preserve">‘</w:t>
            </w:r>
            <w:r>
              <w:t xml:space="preserve">approach</w:t>
            </w:r>
            <w:r>
              <w:t xml:space="preserve">’</w:t>
            </w:r>
            <w:r>
              <w:t xml:space="preserve"> </w:t>
            </w:r>
            <w:r>
              <w:t xml:space="preserve">it.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SI-43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implies that linear-response U was computed for the undoped cells. CM-22 established that no linear-response calculation was performed at all, and that the value is taken from the literature. The CM-22 edit changed …</w:t>
            </w:r>
          </w:p>
        </w:tc>
        <w:tc>
          <w:tcPr/>
          <w:p>
            <w:pPr>
              <w:pStyle w:val="Compact"/>
              <w:jc w:val="left"/>
            </w:pPr>
            <w:r>
              <w:t xml:space="preserve">Superseded by an overlapping fix (LS-17 already rewrote this clause, so the quote no longer exists. SI-4…)</w:t>
            </w:r>
          </w:p>
        </w:tc>
      </w:tr>
      <w:tr>
        <w:tc>
          <w:tcPr/>
          <w:p>
            <w:pPr>
              <w:pStyle w:val="Compact"/>
              <w:jc w:val="left"/>
            </w:pPr>
            <w:r>
              <w:t xml:space="preserve">SI-44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previous sentence reports the pristine V_O cell stopped at 0.0056 Ry/Bohr, which is about 0.14 eV/Å and outside the quoted 0.07–0.11 eV/Å range. That range covers only the four doped cells.</w:t>
            </w:r>
          </w:p>
        </w:tc>
        <w:tc>
          <w:tcPr/>
          <w:p>
            <w:pPr>
              <w:pStyle w:val="Compact"/>
              <w:jc w:val="left"/>
            </w:pPr>
            <w:r>
              <w:t xml:space="preserve">Applied</w:t>
            </w:r>
          </w:p>
        </w:tc>
      </w:tr>
    </w:tbl>
    <w:bookmarkEnd w:id="20"/>
    <w:bookmarkStart w:id="21" w:name="rejected-by-the-verifiers"/>
    <w:p>
      <w:pPr>
        <w:pStyle w:val="Heading3"/>
      </w:pPr>
      <w:r>
        <w:t xml:space="preserve">Rejected by the verifiers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Problem (abridged)</w:t>
            </w:r>
          </w:p>
        </w:tc>
        <w:tc>
          <w:tcPr/>
          <w:p>
            <w:pPr>
              <w:pStyle w:val="Compact"/>
              <w:jc w:val="left"/>
            </w:pPr>
            <w:r>
              <w:t xml:space="preserve">Reason (abridged)</w:t>
            </w:r>
          </w:p>
        </w:tc>
      </w:tr>
      <w:tr>
        <w:tc>
          <w:tcPr/>
          <w:p>
            <w:pPr>
              <w:pStyle w:val="Compact"/>
              <w:jc w:val="left"/>
            </w:pPr>
            <w:r>
              <w:t xml:space="preserve">DC-04</w:t>
            </w:r>
          </w:p>
        </w:tc>
        <w:tc>
          <w:tcPr/>
          <w:p>
            <w:pPr>
              <w:pStyle w:val="Compact"/>
              <w:jc w:val="left"/>
            </w:pPr>
            <w:r>
              <w:t xml:space="preserve">major</w:t>
            </w:r>
          </w:p>
        </w:tc>
        <w:tc>
          <w:tcPr/>
          <w:p>
            <w:pPr>
              <w:pStyle w:val="Compact"/>
              <w:jc w:val="left"/>
            </w:pPr>
            <w:r>
              <w:t xml:space="preserve">Mechanistic statement not supported by any reported observable and contradicted by the Introduction (’its two excess electrons can either delocalise into the co…</w:t>
            </w:r>
          </w:p>
        </w:tc>
        <w:tc>
          <w:tcPr/>
          <w:p>
            <w:pPr>
              <w:pStyle w:val="Compact"/>
              <w:jc w:val="left"/>
            </w:pPr>
            <w:r>
              <w:t xml:space="preserve">not valid: The finding misreads the text. Ti3+ centres are Ti-3d states split off the Ti-3d conduction band, so</w:t>
            </w:r>
            <w:r>
              <w:t xml:space="preserve"> </w:t>
            </w:r>
            <w:r>
              <w:t xml:space="preserve">‘</w:t>
            </w:r>
            <w:r>
              <w:t xml:space="preserve">conduction-band-derived states</w:t>
            </w:r>
            <w:r>
              <w:t xml:space="preserve">’</w:t>
            </w:r>
            <w:r>
              <w:t xml:space="preserve"> </w:t>
            </w:r>
            <w:r>
              <w:t xml:space="preserve">already covers …</w:t>
            </w:r>
          </w:p>
        </w:tc>
      </w:tr>
      <w:tr>
        <w:tc>
          <w:tcPr/>
          <w:p>
            <w:pPr>
              <w:pStyle w:val="Compact"/>
              <w:jc w:val="left"/>
            </w:pPr>
            <w:r>
              <w:t xml:space="preserve">DC-20</w:t>
            </w:r>
          </w:p>
        </w:tc>
        <w:tc>
          <w:tcPr/>
          <w:p>
            <w:pPr>
              <w:pStyle w:val="Compact"/>
              <w:jc w:val="left"/>
            </w:pPr>
            <w:r>
              <w:t xml:space="preserve">minor</w:t>
            </w:r>
          </w:p>
        </w:tc>
        <w:tc>
          <w:tcPr/>
          <w:p>
            <w:pPr>
              <w:pStyle w:val="Compact"/>
              <w:jc w:val="left"/>
            </w:pPr>
            <w:r>
              <w:t xml:space="preserve">For every cell except Pr_VO only one solution was obtained (Section 2.5; Limitation v), so</w:t>
            </w:r>
            <w:r>
              <w:t xml:space="preserve"> </w:t>
            </w:r>
            <w:r>
              <w:t xml:space="preserve">‘</w:t>
            </w:r>
            <w:r>
              <w:t xml:space="preserve">lowest among those tested</w:t>
            </w:r>
            <w:r>
              <w:t xml:space="preserve">’</w:t>
            </w:r>
            <w:r>
              <w:t xml:space="preserve"> </w:t>
            </w:r>
            <w:r>
              <w:t xml:space="preserve">is vacuous for those rows and suggests a …</w:t>
            </w:r>
          </w:p>
        </w:tc>
        <w:tc>
          <w:tcPr/>
          <w:p>
            <w:pPr>
              <w:pStyle w:val="Compact"/>
              <w:jc w:val="left"/>
            </w:pPr>
            <w:r>
              <w:t xml:space="preserve">not valid: The finding is not valid. The header</w:t>
            </w:r>
            <w:r>
              <w:t xml:space="preserve"> </w:t>
            </w:r>
            <w:r>
              <w:t xml:space="preserve">‘</w:t>
            </w:r>
            <w:r>
              <w:t xml:space="preserve">Lowest solution among those tested</w:t>
            </w:r>
            <w:r>
              <w:t xml:space="preserve">’</w:t>
            </w:r>
            <w:r>
              <w:t xml:space="preserve"> </w:t>
            </w:r>
            <w:r>
              <w:t xml:space="preserve">is a deliberate hedge that matches Section 2.5 (’described below as the low…</w:t>
            </w:r>
          </w:p>
        </w:tc>
      </w:tr>
      <w:tr>
        <w:tc>
          <w:tcPr/>
          <w:p>
            <w:pPr>
              <w:pStyle w:val="Compact"/>
              <w:jc w:val="left"/>
            </w:pPr>
            <w:r>
              <w:t xml:space="preserve">DC-40</w:t>
            </w:r>
          </w:p>
        </w:tc>
        <w:tc>
          <w:tcPr/>
          <w:p>
            <w:pPr>
              <w:pStyle w:val="Compact"/>
              <w:jc w:val="left"/>
            </w:pPr>
            <w:r>
              <w:t xml:space="preserve">minor</w:t>
            </w:r>
          </w:p>
        </w:tc>
        <w:tc>
          <w:tcPr/>
          <w:p>
            <w:pPr>
              <w:pStyle w:val="Compact"/>
              <w:jc w:val="left"/>
            </w:pPr>
            <w:r>
              <w:t xml:space="preserve">The contribution statement claims the energetics</w:t>
            </w:r>
            <w:r>
              <w:t xml:space="preserve"> </w:t>
            </w:r>
            <w:r>
              <w:t xml:space="preserve">‘</w:t>
            </w:r>
            <w:r>
              <w:t xml:space="preserve">follow</w:t>
            </w:r>
            <w:r>
              <w:t xml:space="preserve">’</w:t>
            </w:r>
            <w:r>
              <w:t xml:space="preserve"> </w:t>
            </w:r>
            <w:r>
              <w:t xml:space="preserve">the charge count; they follow the dopant radius equally (DC-01), as the next clause implicitly concede…</w:t>
            </w:r>
          </w:p>
        </w:tc>
        <w:tc>
          <w:tcPr/>
          <w:p>
            <w:pPr>
              <w:pStyle w:val="Compact"/>
              <w:jc w:val="left"/>
            </w:pPr>
            <w:r>
              <w:t xml:space="preserve">not valid: The finding is not valid.</w:t>
            </w:r>
            <w:r>
              <w:t xml:space="preserve"> </w:t>
            </w:r>
            <w:r>
              <w:t xml:space="preserve">‘</w:t>
            </w:r>
            <w:r>
              <w:t xml:space="preserve">Follow</w:t>
            </w:r>
            <w:r>
              <w:t xml:space="preserve">’</w:t>
            </w:r>
            <w:r>
              <w:t xml:space="preserve"> </w:t>
            </w:r>
            <w:r>
              <w:t xml:space="preserve">describes the ordering, which literally runs in the order of the formal charge count, and the same sentence immedi…</w:t>
            </w:r>
          </w:p>
        </w:tc>
      </w:tr>
      <w:tr>
        <w:tc>
          <w:tcPr/>
          <w:p>
            <w:pPr>
              <w:pStyle w:val="Compact"/>
              <w:jc w:val="left"/>
            </w:pPr>
            <w:r>
              <w:t xml:space="preserve">LS-36</w:t>
            </w:r>
          </w:p>
        </w:tc>
        <w:tc>
          <w:tcPr/>
          <w:p>
            <w:pPr>
              <w:pStyle w:val="Compact"/>
              <w:jc w:val="left"/>
            </w:pPr>
            <w:r>
              <w:t xml:space="preserve">minor</w:t>
            </w:r>
          </w:p>
        </w:tc>
        <w:tc>
          <w:tcPr/>
          <w:p>
            <w:pPr>
              <w:pStyle w:val="Compact"/>
              <w:jc w:val="left"/>
            </w:pPr>
            <w:r>
              <w:t xml:space="preserve">Redundancy. The Conclusions’ first three sentences nearly copy the abstract (’The ordering follows the formal electron count, one hole per Pr</w:t>
            </w:r>
            <w:r>
              <w:rPr>
                <w:vertAlign w:val="superscript"/>
              </w:rPr>
              <w:t xml:space="preserve">3+</w:t>
            </w:r>
            <w:r>
              <w:t xml:space="preserve"> </w:t>
            </w:r>
            <w:r>
              <w:t xml:space="preserve">and three per …</w:t>
            </w:r>
          </w:p>
        </w:tc>
        <w:tc>
          <w:tcPr/>
          <w:p>
            <w:pPr>
              <w:pStyle w:val="Compact"/>
              <w:jc w:val="left"/>
            </w:pPr>
            <w:r>
              <w:t xml:space="preserve">not valid: This is a taste edit, not a defect. Restating the central electron-count result in the Conclusions is normal, and Elsevier does not forbid overlap wi…</w:t>
            </w:r>
          </w:p>
        </w:tc>
      </w:tr>
      <w:tr>
        <w:tc>
          <w:tcPr/>
          <w:p>
            <w:pPr>
              <w:pStyle w:val="Compact"/>
              <w:jc w:val="left"/>
            </w:pPr>
            <w:r>
              <w:t xml:space="preserve">LS-38</w:t>
            </w:r>
          </w:p>
        </w:tc>
        <w:tc>
          <w:tcPr/>
          <w:p>
            <w:pPr>
              <w:pStyle w:val="Compact"/>
              <w:jc w:val="left"/>
            </w:pPr>
            <w:r>
              <w:t xml:space="preserve">minor</w:t>
            </w:r>
          </w:p>
        </w:tc>
        <w:tc>
          <w:tcPr/>
          <w:p>
            <w:pPr>
              <w:pStyle w:val="Compact"/>
              <w:jc w:val="left"/>
            </w:pPr>
            <w:r>
              <w:t xml:space="preserve">This is the only AUTHOR ACTION marker that sits inside a sentence. With it deleted, the sentence ends</w:t>
            </w:r>
            <w:r>
              <w:t xml:space="preserve"> </w:t>
            </w:r>
            <w:r>
              <w:t xml:space="preserve">‘</w:t>
            </w:r>
            <w:r>
              <w:t xml:space="preserve">…under DOI.</w:t>
            </w:r>
            <w:r>
              <w:t xml:space="preserve">’</w:t>
            </w:r>
            <w:r>
              <w:t xml:space="preserve"> </w:t>
            </w:r>
            <w:r>
              <w:t xml:space="preserve">and no longer parses. It is also the only …</w:t>
            </w:r>
          </w:p>
        </w:tc>
        <w:tc>
          <w:tcPr/>
          <w:p>
            <w:pPr>
              <w:pStyle w:val="Compact"/>
              <w:jc w:val="left"/>
            </w:pPr>
            <w:r>
              <w:t xml:space="preserve">not valid: The marker is a fill-in placeholder: the authors replace it with the DOI, giving</w:t>
            </w:r>
            <w:r>
              <w:t xml:space="preserve"> </w:t>
            </w:r>
            <w:r>
              <w:t xml:space="preserve">‘</w:t>
            </w:r>
            <w:r>
              <w:t xml:space="preserve">…at Zenodo under DOI 10.5281/zenodo.xxxx.</w:t>
            </w:r>
            <w:r>
              <w:t xml:space="preserve">’</w:t>
            </w:r>
            <w:r>
              <w:t xml:space="preserve"> </w:t>
            </w:r>
            <w:r>
              <w:t xml:space="preserve">The sentence then pars…</w:t>
            </w:r>
          </w:p>
        </w:tc>
      </w:tr>
      <w:tr>
        <w:tc>
          <w:tcPr/>
          <w:p>
            <w:pPr>
              <w:pStyle w:val="Compact"/>
              <w:jc w:val="left"/>
            </w:pPr>
            <w:r>
              <w:t xml:space="preserve">LS-53</w:t>
            </w:r>
          </w:p>
        </w:tc>
        <w:tc>
          <w:tcPr/>
          <w:p>
            <w:pPr>
              <w:pStyle w:val="Compact"/>
              <w:jc w:val="left"/>
            </w:pPr>
            <w:r>
              <w:t xml:space="preserve">minor</w:t>
            </w:r>
          </w:p>
        </w:tc>
        <w:tc>
          <w:tcPr/>
          <w:p>
            <w:pPr>
              <w:pStyle w:val="Compact"/>
              <w:jc w:val="left"/>
            </w:pPr>
            <w:r>
              <w:t xml:space="preserve">SI table numbering does not follow the order of first citation in the main text. The prose cites them as S3 (2.1), S9 (2.7), S1 (3.3), S2, S5, S4 (3.7), S10 (Da…</w:t>
            </w:r>
          </w:p>
        </w:tc>
        <w:tc>
          <w:tcPr/>
          <w:p>
            <w:pPr>
              <w:pStyle w:val="Compact"/>
              <w:jc w:val="left"/>
            </w:pPr>
            <w:r>
              <w:t xml:space="preserve">not valid: The finding itself proposes no fix and admits that Applied Surface Science does not require SI items to be cited in sequence. The missing S7, S8 and …</w:t>
            </w:r>
          </w:p>
        </w:tc>
      </w:tr>
      <w:tr>
        <w:tc>
          <w:tcPr/>
          <w:p>
            <w:pPr>
              <w:pStyle w:val="Compact"/>
              <w:jc w:val="left"/>
            </w:pPr>
            <w:r>
              <w:t xml:space="preserve">CT-07</w:t>
            </w:r>
          </w:p>
        </w:tc>
        <w:tc>
          <w:tcPr/>
          <w:p>
            <w:pPr>
              <w:pStyle w:val="Compact"/>
              <w:jc w:val="left"/>
            </w:pPr>
            <w:r>
              <w:t xml:space="preserve">minor</w:t>
            </w:r>
          </w:p>
        </w:tc>
        <w:tc>
          <w:tcPr/>
          <w:p>
            <w:pPr>
              <w:pStyle w:val="Compact"/>
              <w:jc w:val="left"/>
            </w:pPr>
            <w:r>
              <w:t xml:space="preserve">Judging by the titles in refs.py, no entry in the attached list is a transient-spectroscopy study. The nearest is Yang2020, which is time-domain ab initio dynam…</w:t>
            </w:r>
          </w:p>
        </w:tc>
        <w:tc>
          <w:tcPr/>
          <w:p>
            <w:pPr>
              <w:pStyle w:val="Compact"/>
              <w:jc w:val="left"/>
            </w:pPr>
            <w:r>
              <w:t xml:space="preserve">not valid: The finding rests on titles alone. Experimental papers such as Bai2020 (trapped electrons in TiO2 nanosheets) and Xie2020 often use transient techniq…</w:t>
            </w:r>
          </w:p>
        </w:tc>
      </w:tr>
      <w:tr>
        <w:tc>
          <w:tcPr/>
          <w:p>
            <w:pPr>
              <w:pStyle w:val="Compact"/>
              <w:jc w:val="left"/>
            </w:pPr>
            <w:r>
              <w:t xml:space="preserve">CT-18</w:t>
            </w:r>
          </w:p>
        </w:tc>
        <w:tc>
          <w:tcPr/>
          <w:p>
            <w:pPr>
              <w:pStyle w:val="Compact"/>
              <w:jc w:val="left"/>
            </w:pPr>
            <w:r>
              <w:t xml:space="preserve">minor</w:t>
            </w:r>
          </w:p>
        </w:tc>
        <w:tc>
          <w:tcPr/>
          <w:p>
            <w:pPr>
              <w:pStyle w:val="Compact"/>
              <w:jc w:val="left"/>
            </w:pPr>
            <w:r>
              <w:t xml:space="preserve">A 1956 paper is attached to a claim about current practice (</w:t>
            </w:r>
            <w:r>
              <w:t xml:space="preserve">‘</w:t>
            </w:r>
            <w:r>
              <w:t xml:space="preserve">routinely invoked for dopant selection</w:t>
            </w:r>
            <w:r>
              <w:t xml:space="preserve">’</w:t>
            </w:r>
            <w:r>
              <w:t xml:space="preserve">), which it cannot support. It supports only the bookkeeping…</w:t>
            </w:r>
          </w:p>
        </w:tc>
        <w:tc>
          <w:tcPr/>
          <w:p>
            <w:pPr>
              <w:pStyle w:val="Compact"/>
              <w:jc w:val="left"/>
            </w:pPr>
            <w:r>
              <w:t xml:space="preserve">not valid: A citation placed at the end of the noun phrase conventionally reads as supporting the Kröger–Vink bookkeeping, which Kroger1956 does support. Moving…</w:t>
            </w:r>
          </w:p>
        </w:tc>
      </w:tr>
      <w:tr>
        <w:tc>
          <w:tcPr/>
          <w:p>
            <w:pPr>
              <w:pStyle w:val="Compact"/>
              <w:jc w:val="left"/>
            </w:pPr>
            <w:r>
              <w:t xml:space="preserve">CT-19</w:t>
            </w:r>
          </w:p>
        </w:tc>
        <w:tc>
          <w:tcPr/>
          <w:p>
            <w:pPr>
              <w:pStyle w:val="Compact"/>
              <w:jc w:val="left"/>
            </w:pPr>
            <w:r>
              <w:t xml:space="preserve">minor</w:t>
            </w:r>
          </w:p>
        </w:tc>
        <w:tc>
          <w:tcPr/>
          <w:p>
            <w:pPr>
              <w:pStyle w:val="Compact"/>
              <w:jc w:val="left"/>
            </w:pPr>
            <w:r>
              <w:t xml:space="preserve">‘</w:t>
            </w:r>
            <w:r>
              <w:t xml:space="preserve">Following the … protocol</w:t>
            </w:r>
            <w:r>
              <w:t xml:space="preserve">’</w:t>
            </w:r>
            <w:r>
              <w:t xml:space="preserve"> </w:t>
            </w:r>
            <w:r>
              <w:t xml:space="preserve">implies that the D3(BJ), no-three-body settings reproduce those of Torres et al. That is unverified; the title says only ’Relevance…</w:t>
            </w:r>
          </w:p>
        </w:tc>
        <w:tc>
          <w:tcPr/>
          <w:p>
            <w:pPr>
              <w:pStyle w:val="Compact"/>
              <w:jc w:val="left"/>
            </w:pPr>
            <w:r>
              <w:t xml:space="preserve">not valid: Search records for the PMC full text of Torres et al. state that they analysed the D3(BJ) dispersion correction within DFT+U for pristine and defecti…</w:t>
            </w:r>
          </w:p>
        </w:tc>
      </w:tr>
      <w:tr>
        <w:tc>
          <w:tcPr/>
          <w:p>
            <w:pPr>
              <w:pStyle w:val="Compact"/>
              <w:jc w:val="left"/>
            </w:pPr>
            <w:r>
              <w:t xml:space="preserve">SI-07</w:t>
            </w:r>
          </w:p>
        </w:tc>
        <w:tc>
          <w:tcPr/>
          <w:p>
            <w:pPr>
              <w:pStyle w:val="Compact"/>
              <w:jc w:val="left"/>
            </w:pPr>
            <w:r>
              <w:t xml:space="preserve">major</w:t>
            </w:r>
          </w:p>
        </w:tc>
        <w:tc>
          <w:tcPr/>
          <w:p>
            <w:pPr>
              <w:pStyle w:val="Compact"/>
              <w:jc w:val="left"/>
            </w:pPr>
            <w:r>
              <w:t xml:space="preserve">The caption lists Pr-5p and total channels, but FigS1_PrVO_PDOS_patched.png has neither curve; its legend shows only Ti 3d, O 2p, Pr 5d and E_F. The interim pat…</w:t>
            </w:r>
          </w:p>
        </w:tc>
        <w:tc>
          <w:tcPr/>
          <w:p>
            <w:pPr>
              <w:pStyle w:val="Compact"/>
              <w:jc w:val="left"/>
            </w:pPr>
            <w:r>
              <w:t xml:space="preserve">not valid: The artwork observations are accurate. The figure has no Pr-5p or total curve, a pink line runs along zero from about 2.7 to 4.4 eV under the Pr-5d c…</w:t>
            </w:r>
          </w:p>
        </w:tc>
      </w:tr>
      <w:tr>
        <w:tc>
          <w:tcPr/>
          <w:p>
            <w:pPr>
              <w:pStyle w:val="Compact"/>
              <w:jc w:val="left"/>
            </w:pPr>
            <w:r>
              <w:t xml:space="preserve">SI-14</w:t>
            </w:r>
          </w:p>
        </w:tc>
        <w:tc>
          <w:tcPr/>
          <w:p>
            <w:pPr>
              <w:pStyle w:val="Compact"/>
              <w:jc w:val="left"/>
            </w:pPr>
            <w:r>
              <w:t xml:space="preserve">minor</w:t>
            </w:r>
          </w:p>
        </w:tc>
        <w:tc>
          <w:tcPr/>
          <w:p>
            <w:pPr>
              <w:pStyle w:val="Compact"/>
              <w:jc w:val="left"/>
            </w:pPr>
            <w:r>
              <w:t xml:space="preserve">The text describes a Pr-5p channel that the current Figure S1 artwork does not contain (see SI-07).…</w:t>
            </w:r>
          </w:p>
        </w:tc>
        <w:tc>
          <w:tcPr/>
          <w:p>
            <w:pPr>
              <w:pStyle w:val="Compact"/>
              <w:jc w:val="left"/>
            </w:pPr>
            <w:r>
              <w:t xml:space="preserve">not valid: The interim Figure S1 indeed lacks the Pr-5p curve. But the S2.1 [AUTHOR ACTION] two sentences later already requires regeneration with ’Ti-3d, O-2p,…</w:t>
            </w:r>
          </w:p>
        </w:tc>
      </w:tr>
      <w:tr>
        <w:tc>
          <w:tcPr/>
          <w:p>
            <w:pPr>
              <w:pStyle w:val="Compact"/>
              <w:jc w:val="left"/>
            </w:pPr>
            <w:r>
              <w:t xml:space="preserve">SI-21</w:t>
            </w:r>
          </w:p>
        </w:tc>
        <w:tc>
          <w:tcPr/>
          <w:p>
            <w:pPr>
              <w:pStyle w:val="Compact"/>
              <w:jc w:val="left"/>
            </w:pPr>
            <w:r>
              <w:t xml:space="preserve">minor</w:t>
            </w:r>
          </w:p>
        </w:tc>
        <w:tc>
          <w:tcPr/>
          <w:p>
            <w:pPr>
              <w:pStyle w:val="Compact"/>
              <w:jc w:val="left"/>
            </w:pPr>
            <w:r>
              <w:t xml:space="preserve">Table S4 states the nearest-neighbour assignment as fact. The main text (Sections 2.3 and 3.7) says this assignment conflicts with the earlier draft and must be…</w:t>
            </w:r>
          </w:p>
        </w:tc>
        <w:tc>
          <w:tcPr/>
          <w:p>
            <w:pPr>
              <w:pStyle w:val="Compact"/>
              <w:jc w:val="left"/>
            </w:pPr>
            <w:r>
              <w:t xml:space="preserve">not valid: The Section 2.3 [AUTHOR ACTION] names this table explicitly (’SI Table S4 describes the production site as the closest oxygen at ≈2.17 Å; reconcile f…</w:t>
            </w:r>
          </w:p>
        </w:tc>
      </w:tr>
      <w:tr>
        <w:tc>
          <w:tcPr/>
          <w:p>
            <w:pPr>
              <w:pStyle w:val="Compact"/>
              <w:jc w:val="left"/>
            </w:pPr>
            <w:r>
              <w:t xml:space="preserve">SI-29</w:t>
            </w:r>
          </w:p>
        </w:tc>
        <w:tc>
          <w:tcPr/>
          <w:p>
            <w:pPr>
              <w:pStyle w:val="Compact"/>
              <w:jc w:val="left"/>
            </w:pPr>
            <w:r>
              <w:t xml:space="preserve">minor</w:t>
            </w:r>
          </w:p>
        </w:tc>
        <w:tc>
          <w:tcPr/>
          <w:p>
            <w:pPr>
              <w:pStyle w:val="Compact"/>
              <w:jc w:val="left"/>
            </w:pPr>
            <w:r>
              <w:t xml:space="preserve">Single-column legibility. Fig 2 is drawn at 137 mm and Fig 3 at 157 mm (figsize 6.2 × 3.6). Reduced to the 90 mm column, the Fig 2 2×2×2 labels (7.5 pt) and foo…</w:t>
            </w:r>
          </w:p>
        </w:tc>
        <w:tc>
          <w:tcPr/>
          <w:p>
            <w:pPr>
              <w:pStyle w:val="Compact"/>
              <w:jc w:val="left"/>
            </w:pPr>
            <w:r>
              <w:t xml:space="preserve">not valid: The finding assumes reduction to a 90 mm single column, which nothing requires. At 137 mm, Figure 2 is already a 1.5-column figure (smallest text 7 p…</w:t>
            </w:r>
          </w:p>
        </w:tc>
      </w:tr>
      <w:tr>
        <w:tc>
          <w:tcPr/>
          <w:p>
            <w:pPr>
              <w:pStyle w:val="Compact"/>
              <w:jc w:val="left"/>
            </w:pPr>
            <w:r>
              <w:t xml:space="preserve">SI-34</w:t>
            </w:r>
          </w:p>
        </w:tc>
        <w:tc>
          <w:tcPr/>
          <w:p>
            <w:pPr>
              <w:pStyle w:val="Compact"/>
              <w:jc w:val="left"/>
            </w:pPr>
            <w:r>
              <w:t xml:space="preserve">minor</w:t>
            </w:r>
          </w:p>
        </w:tc>
        <w:tc>
          <w:tcPr/>
          <w:p>
            <w:pPr>
              <w:pStyle w:val="Compact"/>
              <w:jc w:val="left"/>
            </w:pPr>
            <w:r>
              <w:t xml:space="preserve">The interim patches on Fig 1, Fig 4 and Fig S2 redraw labels as plain text with literal underscores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w:t>
            </w:r>
            <w:r>
              <w:t xml:space="preserve"> </w:t>
            </w:r>
            <w:r>
              <w:t xml:space="preserve">‘</w:t>
            </w:r>
            <w:r>
              <w:t xml:space="preserve">μB</w:t>
            </w:r>
            <w:r>
              <w:t xml:space="preserve">’</w:t>
            </w:r>
            <w:r>
              <w:t xml:space="preserve">). The legends of the s…</w:t>
            </w:r>
          </w:p>
        </w:tc>
        <w:tc>
          <w:tcPr/>
          <w:p>
            <w:pPr>
              <w:pStyle w:val="Compact"/>
              <w:jc w:val="left"/>
            </w:pPr>
            <w:r>
              <w:t xml:space="preserve">not valid: The interim patched labels are already covered by regeneration markers on Figures 1, 4 and S2, and the finding itself says the fix belongs to regener…</w:t>
            </w:r>
          </w:p>
        </w:tc>
      </w:tr>
      <w:tr>
        <w:tc>
          <w:tcPr/>
          <w:p>
            <w:pPr>
              <w:pStyle w:val="Compact"/>
              <w:jc w:val="left"/>
            </w:pPr>
            <w:r>
              <w:t xml:space="preserve">SI-40</w:t>
            </w:r>
          </w:p>
        </w:tc>
        <w:tc>
          <w:tcPr/>
          <w:p>
            <w:pPr>
              <w:pStyle w:val="Compact"/>
              <w:jc w:val="left"/>
            </w:pPr>
            <w:r>
              <w:t xml:space="preserve">minor</w:t>
            </w:r>
          </w:p>
        </w:tc>
        <w:tc>
          <w:tcPr/>
          <w:p>
            <w:pPr>
              <w:pStyle w:val="Compact"/>
              <w:jc w:val="left"/>
            </w:pPr>
            <w:r>
              <w:t xml:space="preserve">The protocol labels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used in Tables S4, S6 and S9, are not defined anywhere in the SI.…</w:t>
            </w:r>
          </w:p>
        </w:tc>
        <w:tc>
          <w:tcPr/>
          <w:p>
            <w:pPr>
              <w:pStyle w:val="Compact"/>
              <w:jc w:val="left"/>
            </w:pPr>
            <w:r>
              <w:t xml:space="preserve">not valid: The labels are effectively defined already. SI S8 states</w:t>
            </w:r>
            <w:r>
              <w:t xml:space="preserve"> </w:t>
            </w:r>
            <w:r>
              <w:t xml:space="preserve">‘</w:t>
            </w:r>
            <w:r>
              <w:t xml:space="preserve">U Ti-3d 3.5 eV and, for the dual-U runs, U O-2p 5.5 eV</w:t>
            </w:r>
            <w:r>
              <w:t xml:space="preserve">’</w:t>
            </w:r>
            <w:r>
              <w:t xml:space="preserve">, Table S5 gives ’Dual-U relaxation …</w:t>
            </w:r>
          </w:p>
        </w:tc>
      </w:tr>
      <w:tr>
        <w:tc>
          <w:tcPr/>
          <w:p>
            <w:pPr>
              <w:pStyle w:val="Compact"/>
              <w:jc w:val="left"/>
            </w:pPr>
            <w:r>
              <w:t xml:space="preserve">SI-45</w:t>
            </w:r>
          </w:p>
        </w:tc>
        <w:tc>
          <w:tcPr/>
          <w:p>
            <w:pPr>
              <w:pStyle w:val="Compact"/>
              <w:jc w:val="left"/>
            </w:pPr>
            <w:r>
              <w:t xml:space="preserve">minor</w:t>
            </w:r>
          </w:p>
        </w:tc>
        <w:tc>
          <w:tcPr/>
          <w:p>
            <w:pPr>
              <w:pStyle w:val="Compact"/>
              <w:jc w:val="left"/>
            </w:pPr>
            <w:r>
              <w:t xml:space="preserve">Tables S7 and S8 are cited in the main text (Sections 2.1, 2.3 and 3.1) but exist only as placeholders. They are first mentioned in Section S8 before the wall-t…</w:t>
            </w:r>
          </w:p>
        </w:tc>
        <w:tc>
          <w:tcPr/>
          <w:p>
            <w:pPr>
              <w:pStyle w:val="Compact"/>
              <w:jc w:val="left"/>
            </w:pPr>
            <w:r>
              <w:t xml:space="preserve">not valid: The placeholder status of Tables S7 and S8 is already carried by the main-text and S8 markers. The ordering concern does not hold: the only mention b…</w:t>
            </w:r>
          </w:p>
        </w:tc>
      </w:tr>
    </w:tbl>
    <w:bookmarkEnd w:id="21"/>
    <w:bookmarkEnd w:id="22"/>
    <w:bookmarkStart w:id="26" w:name="X354703cb1e38ffa2a2402ad6f3aa0ec87e09195"/>
    <w:p>
      <w:pPr>
        <w:pStyle w:val="Heading2"/>
      </w:pPr>
      <w:r>
        <w:t xml:space="preserve">Round 3 (3 October 2026): integration of the authors’ archive data and raw outputs</w:t>
      </w:r>
    </w:p>
    <w:p>
      <w:pPr>
        <w:pStyle w:val="FirstParagraph"/>
      </w:pPr>
      <w:r>
        <w:t xml:space="preserve">Sources used in this round, all supplied by the authors: the run spreadsheet (QE_simulations_master, Sections 1–23), the results log of 8–9 June, the archived audit files (phases 1–5, value audit, consolidated verification, v3p51 pristine-V</w:t>
      </w:r>
      <w:r>
        <w:rPr>
          <w:vertAlign w:val="subscript"/>
        </w:rPr>
        <w:t xml:space="preserve">O</w:t>
      </w:r>
      <w:r>
        <w:t xml:space="preserve"> </w:t>
      </w:r>
      <w:r>
        <w:t xml:space="preserve">plan), the PDOS workflow (templates, launcher, README, summed PDOS tables), the projwfc.x outputs of Pr_VO and Rb_VO, the NSCF output of Rb_VO, the U-sweep templates, the PDF-to-reference mapping, and the Quantum ESPRESSO 7.5 source (PW/src/input.f90). Every derived energy is reproduced by supporting_information_v4/check_ledger.py (26 checks pass).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Location</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R3-01</w:t>
            </w:r>
          </w:p>
        </w:tc>
        <w:tc>
          <w:tcPr/>
          <w:p>
            <w:pPr>
              <w:pStyle w:val="Compact"/>
              <w:jc w:val="left"/>
            </w:pPr>
            <w:r>
              <w:t xml:space="preserve">major</w:t>
            </w:r>
          </w:p>
        </w:tc>
        <w:tc>
          <w:tcPr/>
          <w:p>
            <w:pPr>
              <w:pStyle w:val="Compact"/>
              <w:jc w:val="left"/>
            </w:pPr>
            <w:r>
              <w:t xml:space="preserve">§2.5</w:t>
            </w:r>
          </w:p>
        </w:tc>
        <w:tc>
          <w:tcPr/>
          <w:p>
            <w:pPr>
              <w:pStyle w:val="Compact"/>
              <w:jc w:val="left"/>
            </w:pPr>
            <w:r>
              <w:t xml:space="preserve">v4 stated that pw.x requires a non-zero starting_magnetization for nspin = 2. QE 7.5 (input.f90, lines 1477–1508) stops only when no species has the keyword set; explicit zeros are accepted, and the run log and templates use zero on all species.</w:t>
            </w:r>
          </w:p>
        </w:tc>
        <w:tc>
          <w:tcPr/>
          <w:p>
            <w:pPr>
              <w:pStyle w:val="Compact"/>
              <w:jc w:val="left"/>
            </w:pPr>
            <w:r>
              <w:t xml:space="preserve">Corrected; consequences of a spin-symmetric start stated (§2.5, Limitation v).</w:t>
            </w:r>
          </w:p>
        </w:tc>
      </w:tr>
      <w:tr>
        <w:tc>
          <w:tcPr/>
          <w:p>
            <w:pPr>
              <w:pStyle w:val="Compact"/>
              <w:jc w:val="left"/>
            </w:pPr>
            <w:r>
              <w:t xml:space="preserve">R3-02</w:t>
            </w:r>
          </w:p>
        </w:tc>
        <w:tc>
          <w:tcPr/>
          <w:p>
            <w:pPr>
              <w:pStyle w:val="Compact"/>
              <w:jc w:val="left"/>
            </w:pPr>
            <w:r>
              <w:t xml:space="preserve">desk reject</w:t>
            </w:r>
          </w:p>
        </w:tc>
        <w:tc>
          <w:tcPr/>
          <w:p>
            <w:pPr>
              <w:pStyle w:val="Compact"/>
              <w:jc w:val="left"/>
            </w:pPr>
            <w:r>
              <w:t xml:space="preserve">Fig 1</w:t>
            </w:r>
          </w:p>
        </w:tc>
        <w:tc>
          <w:tcPr/>
          <w:p>
            <w:pPr>
              <w:pStyle w:val="Compact"/>
              <w:jc w:val="left"/>
            </w:pPr>
            <w:r>
              <w:t xml:space="preserve">The interim structure figure was built from ideal anatase positions (plot_supercell_viz.py) but titled</w:t>
            </w:r>
            <w:r>
              <w:t xml:space="preserve"> </w:t>
            </w:r>
            <w:r>
              <w:t xml:space="preserve">“</w:t>
            </w:r>
            <w:r>
              <w:t xml:space="preserve">PBE+U relaxed</w:t>
            </w:r>
            <w:r>
              <w:t xml:space="preserve">”</w:t>
            </w:r>
            <w:r>
              <w:t xml:space="preserve">.</w:t>
            </w:r>
          </w:p>
        </w:tc>
        <w:tc>
          <w:tcPr/>
          <w:p>
            <w:pPr>
              <w:pStyle w:val="Compact"/>
              <w:jc w:val="left"/>
            </w:pPr>
            <w:r>
              <w:t xml:space="preserve">Replaced by Fig1_structures_v4 drawn from the relaxed Rb_VO coordinates in the NSCF output header (make_fig1_structures.py); panel (c) for Pr_VO is drawn automatically once its output is supplied.</w:t>
            </w:r>
          </w:p>
        </w:tc>
      </w:tr>
      <w:tr>
        <w:tc>
          <w:tcPr/>
          <w:p>
            <w:pPr>
              <w:pStyle w:val="Compact"/>
              <w:jc w:val="left"/>
            </w:pPr>
            <w:r>
              <w:t xml:space="preserve">R3-03</w:t>
            </w:r>
          </w:p>
        </w:tc>
        <w:tc>
          <w:tcPr/>
          <w:p>
            <w:pPr>
              <w:pStyle w:val="Compact"/>
              <w:jc w:val="left"/>
            </w:pPr>
            <w:r>
              <w:t xml:space="preserve">major</w:t>
            </w:r>
          </w:p>
        </w:tc>
        <w:tc>
          <w:tcPr/>
          <w:p>
            <w:pPr>
              <w:pStyle w:val="Compact"/>
              <w:jc w:val="left"/>
            </w:pPr>
            <w:r>
              <w:t xml:space="preserve">§3.1, §3.2, §4.1, §4.3</w:t>
            </w:r>
          </w:p>
        </w:tc>
        <w:tc>
          <w:tcPr/>
          <w:p>
            <w:pPr>
              <w:pStyle w:val="Compact"/>
              <w:jc w:val="left"/>
            </w:pPr>
            <w:r>
              <w:t xml:space="preserve">Relaxed Rb_VO: Rb moves 1.27 Å from the cation site towards the vacancy (0.87 Å from the vacant site); nearest Rb–O 2.54–2.71 Å. The size/strain contribution to the Rb energetics is therefore concrete.</w:t>
            </w:r>
          </w:p>
        </w:tc>
        <w:tc>
          <w:tcPr/>
          <w:p>
            <w:pPr>
              <w:pStyle w:val="Compact"/>
              <w:jc w:val="left"/>
            </w:pPr>
            <w:r>
              <w:t xml:space="preserve">Reported with Table S8; discussed as part of the radius confound.</w:t>
            </w:r>
          </w:p>
        </w:tc>
      </w:tr>
      <w:tr>
        <w:tc>
          <w:tcPr/>
          <w:p>
            <w:pPr>
              <w:pStyle w:val="Compact"/>
              <w:jc w:val="left"/>
            </w:pPr>
            <w:r>
              <w:t xml:space="preserve">R3-04</w:t>
            </w:r>
          </w:p>
        </w:tc>
        <w:tc>
          <w:tcPr/>
          <w:p>
            <w:pPr>
              <w:pStyle w:val="Compact"/>
              <w:jc w:val="left"/>
            </w:pPr>
            <w:r>
              <w:t xml:space="preserve">major</w:t>
            </w:r>
          </w:p>
        </w:tc>
        <w:tc>
          <w:tcPr/>
          <w:p>
            <w:pPr>
              <w:pStyle w:val="Compact"/>
              <w:jc w:val="left"/>
            </w:pPr>
            <w:r>
              <w:t xml:space="preserve">§3.6, Fig 4, Fig S1</w:t>
            </w:r>
          </w:p>
        </w:tc>
        <w:tc>
          <w:tcPr/>
          <w:p>
            <w:pPr>
              <w:pStyle w:val="Compact"/>
              <w:jc w:val="left"/>
            </w:pPr>
            <w:r>
              <w:t xml:space="preserve">Löwdin moments (projwfc.x): Rb_VO hole carries +0.59 μ</w:t>
            </w:r>
            <w:r>
              <w:rPr>
                <w:vertAlign w:val="subscript"/>
              </w:rPr>
              <w:t xml:space="preserve">B</w:t>
            </w:r>
            <w:r>
              <w:t xml:space="preserve"> </w:t>
            </w:r>
            <w:r>
              <w:t xml:space="preserve">on O8, +0.11 μ</w:t>
            </w:r>
            <w:r>
              <w:rPr>
                <w:vertAlign w:val="subscript"/>
              </w:rPr>
              <w:t xml:space="preserve">B</w:t>
            </w:r>
            <w:r>
              <w:t xml:space="preserve"> </w:t>
            </w:r>
            <w:r>
              <w:t xml:space="preserve">on O6 and O17, +1.12 μ</w:t>
            </w:r>
            <w:r>
              <w:rPr>
                <w:vertAlign w:val="subscript"/>
              </w:rPr>
              <w:t xml:space="preserve">B</w:t>
            </w:r>
            <w:r>
              <w:t xml:space="preserve"> </w:t>
            </w:r>
            <w:r>
              <w:t xml:space="preserve">on O in total, −0.12 μ</w:t>
            </w:r>
            <w:r>
              <w:rPr>
                <w:vertAlign w:val="subscript"/>
              </w:rPr>
              <w:t xml:space="preserve">B</w:t>
            </w:r>
            <w:r>
              <w:t xml:space="preserve"> </w:t>
            </w:r>
            <w:r>
              <w:t xml:space="preserve">on Ti; Pr_VO has no site above 0.001 μ</w:t>
            </w:r>
            <w:r>
              <w:rPr>
                <w:vertAlign w:val="subscript"/>
              </w:rPr>
              <w:t xml:space="preserve">B</w:t>
            </w:r>
            <w:r>
              <w:t xml:space="preserve">. PDOS: Rb_VO empty minority state 0.79 states, 93 % O-2p.</w:t>
            </w:r>
          </w:p>
        </w:tc>
        <w:tc>
          <w:tcPr/>
          <w:p>
            <w:pPr>
              <w:pStyle w:val="Compact"/>
              <w:jc w:val="left"/>
            </w:pPr>
            <w:r>
              <w:t xml:space="preserve">New paragraph, Figure S1 and S2.2; the</w:t>
            </w:r>
            <w:r>
              <w:t xml:space="preserve"> </w:t>
            </w:r>
            <w:r>
              <w:t xml:space="preserve">“</w:t>
            </w:r>
            <w:r>
              <w:t xml:space="preserve">site-projected moments not analysed</w:t>
            </w:r>
            <w:r>
              <w:t xml:space="preserve">”</w:t>
            </w:r>
            <w:r>
              <w:t xml:space="preserve"> </w:t>
            </w:r>
            <w:r>
              <w:t xml:space="preserve">caveats removed. O8 coincides with the Bader depletion maximum.</w:t>
            </w:r>
          </w:p>
        </w:tc>
      </w:tr>
      <w:tr>
        <w:tc>
          <w:tcPr/>
          <w:p>
            <w:pPr>
              <w:pStyle w:val="Compact"/>
              <w:jc w:val="left"/>
            </w:pPr>
            <w:r>
              <w:t xml:space="preserve">R3-05</w:t>
            </w:r>
          </w:p>
        </w:tc>
        <w:tc>
          <w:tcPr/>
          <w:p>
            <w:pPr>
              <w:pStyle w:val="Compact"/>
              <w:jc w:val="left"/>
            </w:pPr>
            <w:r>
              <w:t xml:space="preserve">major</w:t>
            </w:r>
          </w:p>
        </w:tc>
        <w:tc>
          <w:tcPr/>
          <w:p>
            <w:pPr>
              <w:pStyle w:val="Compact"/>
              <w:jc w:val="left"/>
            </w:pPr>
            <w:r>
              <w:t xml:space="preserve">Fig 4</w:t>
            </w:r>
          </w:p>
        </w:tc>
        <w:tc>
          <w:tcPr/>
          <w:p>
            <w:pPr>
              <w:pStyle w:val="Compact"/>
              <w:jc w:val="left"/>
            </w:pPr>
            <w:r>
              <w:t xml:space="preserve">The interim PDOS had a clipped Ti-3d fill (Mathematica automatic PlotRange), a fictitious Rb-d curve (no Rb d projector) and an inset hiding data.</w:t>
            </w:r>
          </w:p>
        </w:tc>
        <w:tc>
          <w:tcPr/>
          <w:p>
            <w:pPr>
              <w:pStyle w:val="Compact"/>
              <w:jc w:val="left"/>
            </w:pPr>
            <w:r>
              <w:t xml:space="preserve">Fig4_PDOS_v4 and FigS2 re-plotted from the summed projwfc.x tables; caption corrected.</w:t>
            </w:r>
          </w:p>
        </w:tc>
      </w:tr>
      <w:tr>
        <w:tc>
          <w:tcPr/>
          <w:p>
            <w:pPr>
              <w:pStyle w:val="Compact"/>
              <w:jc w:val="left"/>
            </w:pPr>
            <w:r>
              <w:t xml:space="preserve">R3-06</w:t>
            </w:r>
          </w:p>
        </w:tc>
        <w:tc>
          <w:tcPr/>
          <w:p>
            <w:pPr>
              <w:pStyle w:val="Compact"/>
              <w:jc w:val="left"/>
            </w:pPr>
            <w:r>
              <w:t xml:space="preserve">major</w:t>
            </w:r>
          </w:p>
        </w:tc>
        <w:tc>
          <w:tcPr/>
          <w:p>
            <w:pPr>
              <w:pStyle w:val="Compact"/>
              <w:jc w:val="left"/>
            </w:pPr>
            <w:r>
              <w:t xml:space="preserve">Abstract, §3.5, §6</w:t>
            </w:r>
          </w:p>
        </w:tc>
        <w:tc>
          <w:tcPr/>
          <w:p>
            <w:pPr>
              <w:pStyle w:val="Compact"/>
              <w:jc w:val="left"/>
            </w:pPr>
            <w:r>
              <w:t xml:space="preserve">1.99/2.99 μ</w:t>
            </w:r>
            <w:r>
              <w:rPr>
                <w:vertAlign w:val="subscript"/>
              </w:rPr>
              <w:t xml:space="preserve">B</w:t>
            </w:r>
            <w:r>
              <w:t xml:space="preserve"> </w:t>
            </w:r>
            <w:r>
              <w:t xml:space="preserve">of the charged Rb series are total magnetisations; m</w:t>
            </w:r>
            <w:r>
              <w:rPr>
                <w:vertAlign w:val="subscript"/>
              </w:rPr>
              <w:t xml:space="preserve">abs</w:t>
            </w:r>
            <w:r>
              <w:t xml:space="preserve"> </w:t>
            </w:r>
            <w:r>
              <w:t xml:space="preserve">= 3.82 μ</w:t>
            </w:r>
            <w:r>
              <w:rPr>
                <w:vertAlign w:val="subscript"/>
              </w:rPr>
              <w:t xml:space="preserve">B</w:t>
            </w:r>
            <w:r>
              <w:t xml:space="preserve"> </w:t>
            </w:r>
            <w:r>
              <w:t xml:space="preserve">at q = +2. v4 called 2.99 an absolute magnetisation.</w:t>
            </w:r>
          </w:p>
        </w:tc>
        <w:tc>
          <w:tcPr/>
          <w:p>
            <w:pPr>
              <w:pStyle w:val="Compact"/>
              <w:jc w:val="left"/>
            </w:pPr>
            <w:r>
              <w:t xml:space="preserve">Corrected everywhere.</w:t>
            </w:r>
          </w:p>
        </w:tc>
      </w:tr>
      <w:tr>
        <w:tc>
          <w:tcPr/>
          <w:p>
            <w:pPr>
              <w:pStyle w:val="Compact"/>
              <w:jc w:val="left"/>
            </w:pPr>
            <w:r>
              <w:t xml:space="preserve">R3-07</w:t>
            </w:r>
          </w:p>
        </w:tc>
        <w:tc>
          <w:tcPr/>
          <w:p>
            <w:pPr>
              <w:pStyle w:val="Compact"/>
              <w:jc w:val="left"/>
            </w:pPr>
            <w:r>
              <w:t xml:space="preserve">major</w:t>
            </w:r>
          </w:p>
        </w:tc>
        <w:tc>
          <w:tcPr/>
          <w:p>
            <w:pPr>
              <w:pStyle w:val="Compact"/>
              <w:jc w:val="left"/>
            </w:pPr>
            <w:r>
              <w:t xml:space="preserve">§3.4, Table 4, S1, S5</w:t>
            </w:r>
          </w:p>
        </w:tc>
        <w:tc>
          <w:tcPr/>
          <w:p>
            <w:pPr>
              <w:pStyle w:val="Compact"/>
              <w:jc w:val="left"/>
            </w:pPr>
            <w:r>
              <w:t xml:space="preserve">The dual-U, U-sweep, D3 and HSE magnetisations logged by the authors are total magnetisations, labelled m</w:t>
            </w:r>
            <w:r>
              <w:rPr>
                <w:vertAlign w:val="subscript"/>
              </w:rPr>
              <w:t xml:space="preserve">abs</w:t>
            </w:r>
            <w:r>
              <w:t xml:space="preserve"> </w:t>
            </w:r>
            <w:r>
              <w:t xml:space="preserve">in v4; the dual-U Rb_VO relaxation was not completed when logged.</w:t>
            </w:r>
          </w:p>
        </w:tc>
        <w:tc>
          <w:tcPr/>
          <w:p>
            <w:pPr>
              <w:pStyle w:val="Compact"/>
              <w:jc w:val="left"/>
            </w:pPr>
            <w:r>
              <w:t xml:space="preserve">Relabelled as m; run types stated; Rb_VO marked preliminary.</w:t>
            </w:r>
          </w:p>
        </w:tc>
      </w:tr>
      <w:tr>
        <w:tc>
          <w:tcPr/>
          <w:p>
            <w:pPr>
              <w:pStyle w:val="Compact"/>
              <w:jc w:val="left"/>
            </w:pPr>
            <w:r>
              <w:t xml:space="preserve">R3-08</w:t>
            </w:r>
          </w:p>
        </w:tc>
        <w:tc>
          <w:tcPr/>
          <w:p>
            <w:pPr>
              <w:pStyle w:val="Compact"/>
              <w:jc w:val="left"/>
            </w:pPr>
            <w:r>
              <w:t xml:space="preserve">major</w:t>
            </w:r>
          </w:p>
        </w:tc>
        <w:tc>
          <w:tcPr/>
          <w:p>
            <w:pPr>
              <w:pStyle w:val="Compact"/>
              <w:jc w:val="left"/>
            </w:pPr>
            <w:r>
              <w:t xml:space="preserve">§3.3</w:t>
            </w:r>
          </w:p>
        </w:tc>
        <w:tc>
          <w:tcPr/>
          <w:p>
            <w:pPr>
              <w:pStyle w:val="Compact"/>
              <w:jc w:val="left"/>
            </w:pPr>
            <w:r>
              <w:t xml:space="preserve">The two Rb_VO spin solutions are ranked: the from-scratch solution (m = 1.00 μ</w:t>
            </w:r>
            <w:r>
              <w:rPr>
                <w:vertAlign w:val="subscript"/>
              </w:rPr>
              <w:t xml:space="preserve">B</w:t>
            </w:r>
            <w:r>
              <w:t xml:space="preserve">) lies 6.4 meV above the production solution (m = −0.97, m</w:t>
            </w:r>
            <w:r>
              <w:rPr>
                <w:vertAlign w:val="subscript"/>
              </w:rPr>
              <w:t xml:space="preserve">abs</w:t>
            </w:r>
            <w:r>
              <w:t xml:space="preserve"> </w:t>
            </w:r>
            <w:r>
              <w:t xml:space="preserve">= 1.21 μ</w:t>
            </w:r>
            <w:r>
              <w:rPr>
                <w:vertAlign w:val="subscript"/>
              </w:rPr>
              <w:t xml:space="preserve">B</w:t>
            </w:r>
            <w:r>
              <w:t xml:space="preserve">); the PDOS density reproduces the production Fermi energy.</w:t>
            </w:r>
          </w:p>
        </w:tc>
        <w:tc>
          <w:tcPr/>
          <w:p>
            <w:pPr>
              <w:pStyle w:val="Compact"/>
              <w:jc w:val="left"/>
            </w:pPr>
            <w:r>
              <w:t xml:space="preserve">Stated; AUTHOR ACTION removed.</w:t>
            </w:r>
          </w:p>
        </w:tc>
      </w:tr>
      <w:tr>
        <w:tc>
          <w:tcPr/>
          <w:p>
            <w:pPr>
              <w:pStyle w:val="Compact"/>
              <w:jc w:val="left"/>
            </w:pPr>
            <w:r>
              <w:t xml:space="preserve">R3-09</w:t>
            </w:r>
          </w:p>
        </w:tc>
        <w:tc>
          <w:tcPr/>
          <w:p>
            <w:pPr>
              <w:pStyle w:val="Compact"/>
              <w:jc w:val="left"/>
            </w:pPr>
            <w:r>
              <w:t xml:space="preserve">minor</w:t>
            </w:r>
          </w:p>
        </w:tc>
        <w:tc>
          <w:tcPr/>
          <w:p>
            <w:pPr>
              <w:pStyle w:val="Compact"/>
              <w:jc w:val="left"/>
            </w:pPr>
            <w:r>
              <w:t xml:space="preserve">§3.7</w:t>
            </w:r>
          </w:p>
        </w:tc>
        <w:tc>
          <w:tcPr/>
          <w:p>
            <w:pPr>
              <w:pStyle w:val="Compact"/>
              <w:jc w:val="left"/>
            </w:pPr>
            <w:r>
              <w:t xml:space="preserve">The Pr_VO D3 offset (0.038 eV, not 0.037) is the from-scratch SCF solution: the D3 run minus its D3 term equals the from-scratch Γ single point to 10</w:t>
            </w:r>
            <w:r>
              <w:rPr>
                <w:vertAlign w:val="superscript"/>
              </w:rPr>
              <w:t xml:space="preserve">−5</w:t>
            </w:r>
            <w:r>
              <w:t xml:space="preserve"> </w:t>
            </w:r>
            <w:r>
              <w:t xml:space="preserve">Ry.</w:t>
            </w:r>
          </w:p>
        </w:tc>
        <w:tc>
          <w:tcPr/>
          <w:p>
            <w:pPr>
              <w:pStyle w:val="Compact"/>
              <w:jc w:val="left"/>
            </w:pPr>
            <w:r>
              <w:t xml:space="preserve">Explained; AUTHOR ACTION removed.</w:t>
            </w:r>
          </w:p>
        </w:tc>
      </w:tr>
      <w:tr>
        <w:tc>
          <w:tcPr/>
          <w:p>
            <w:pPr>
              <w:pStyle w:val="Compact"/>
              <w:jc w:val="left"/>
            </w:pPr>
            <w:r>
              <w:t xml:space="preserve">R3-10</w:t>
            </w:r>
          </w:p>
        </w:tc>
        <w:tc>
          <w:tcPr/>
          <w:p>
            <w:pPr>
              <w:pStyle w:val="Compact"/>
              <w:jc w:val="left"/>
            </w:pPr>
            <w:r>
              <w:t xml:space="preserve">major</w:t>
            </w:r>
          </w:p>
        </w:tc>
        <w:tc>
          <w:tcPr/>
          <w:p>
            <w:pPr>
              <w:pStyle w:val="Compact"/>
              <w:jc w:val="left"/>
            </w:pPr>
            <w:r>
              <w:t xml:space="preserve">§3.7, Table S2a</w:t>
            </w:r>
          </w:p>
        </w:tc>
        <w:tc>
          <w:tcPr/>
          <w:p>
            <w:pPr>
              <w:pStyle w:val="Compact"/>
              <w:jc w:val="left"/>
            </w:pPr>
            <w:r>
              <w:t xml:space="preserve">k-mesh sign confirmed: Γ energies lie 22–25 meV/atom below 3×3×2; full 12-run table added; Rb_VO 2×2×2 run confirmed as part of the series.</w:t>
            </w:r>
          </w:p>
        </w:tc>
        <w:tc>
          <w:tcPr/>
          <w:p>
            <w:pPr>
              <w:pStyle w:val="Compact"/>
              <w:jc w:val="left"/>
            </w:pPr>
            <w:r>
              <w:t xml:space="preserve">Table S2a added; three AUTHOR ACTIONs removed.</w:t>
            </w:r>
          </w:p>
        </w:tc>
      </w:tr>
      <w:tr>
        <w:tc>
          <w:tcPr/>
          <w:p>
            <w:pPr>
              <w:pStyle w:val="Compact"/>
              <w:jc w:val="left"/>
            </w:pPr>
            <w:r>
              <w:t xml:space="preserve">R3-11</w:t>
            </w:r>
          </w:p>
        </w:tc>
        <w:tc>
          <w:tcPr/>
          <w:p>
            <w:pPr>
              <w:pStyle w:val="Compact"/>
              <w:jc w:val="left"/>
            </w:pPr>
            <w:r>
              <w:t xml:space="preserve">minor</w:t>
            </w:r>
          </w:p>
        </w:tc>
        <w:tc>
          <w:tcPr/>
          <w:p>
            <w:pPr>
              <w:pStyle w:val="Compact"/>
              <w:jc w:val="left"/>
            </w:pPr>
            <w:r>
              <w:t xml:space="preserve">§3.7, Table S1</w:t>
            </w:r>
          </w:p>
        </w:tc>
        <w:tc>
          <w:tcPr/>
          <w:p>
            <w:pPr>
              <w:pStyle w:val="Compact"/>
              <w:jc w:val="left"/>
            </w:pPr>
            <w:r>
              <w:t xml:space="preserve">U-sweep energies and Fermi energies added; with current production energies the steps are smooth (6.1–6.6 eV per 0.5 eV of U); the</w:t>
            </w:r>
            <w:r>
              <w:t xml:space="preserve"> </w:t>
            </w:r>
            <w:r>
              <w:t xml:space="preserve">“</w:t>
            </w:r>
            <w:r>
              <w:t xml:space="preserve">≤0.26 eV</w:t>
            </w:r>
            <w:r>
              <w:t xml:space="preserve">”</w:t>
            </w:r>
            <w:r>
              <w:t xml:space="preserve"> </w:t>
            </w:r>
            <w:r>
              <w:t xml:space="preserve">Fermi-energy statement holds for Pr_VO and Rb_VO but not for the insulating pristine cell, whose printed E</w:t>
            </w:r>
            <w:r>
              <w:rPr>
                <w:vertAlign w:val="subscript"/>
              </w:rPr>
              <w:t xml:space="preserve">F</w:t>
            </w:r>
            <w:r>
              <w:t xml:space="preserve"> </w:t>
            </w:r>
            <w:r>
              <w:t xml:space="preserve">is arbitrary within the gap (7.89 vs 8.24 eV at identical energy).</w:t>
            </w:r>
          </w:p>
        </w:tc>
        <w:tc>
          <w:tcPr/>
          <w:p>
            <w:pPr>
              <w:pStyle w:val="Compact"/>
              <w:jc w:val="left"/>
            </w:pPr>
            <w:r>
              <w:t xml:space="preserve">Text corrected.</w:t>
            </w:r>
          </w:p>
        </w:tc>
      </w:tr>
      <w:tr>
        <w:tc>
          <w:tcPr/>
          <w:p>
            <w:pPr>
              <w:pStyle w:val="Compact"/>
              <w:jc w:val="left"/>
            </w:pPr>
            <w:r>
              <w:t xml:space="preserve">R3-12</w:t>
            </w:r>
          </w:p>
        </w:tc>
        <w:tc>
          <w:tcPr/>
          <w:p>
            <w:pPr>
              <w:pStyle w:val="Compact"/>
              <w:jc w:val="left"/>
            </w:pPr>
            <w:r>
              <w:t xml:space="preserve">major</w:t>
            </w:r>
          </w:p>
        </w:tc>
        <w:tc>
          <w:tcPr/>
          <w:p>
            <w:pPr>
              <w:pStyle w:val="Compact"/>
              <w:jc w:val="left"/>
            </w:pPr>
            <w:r>
              <w:t xml:space="preserve">§3.3, Table 3</w:t>
            </w:r>
          </w:p>
        </w:tc>
        <w:tc>
          <w:tcPr/>
          <w:p>
            <w:pPr>
              <w:pStyle w:val="Compact"/>
              <w:jc w:val="left"/>
            </w:pPr>
            <w:r>
              <w:t xml:space="preserve">The 0.281 eV magnetic-trial gap is relative to a logged non-magnetic energy (−4535.09269 Ry); relative to the production energy it is 0.394 eV.</w:t>
            </w:r>
          </w:p>
        </w:tc>
        <w:tc>
          <w:tcPr/>
          <w:p>
            <w:pPr>
              <w:pStyle w:val="Compact"/>
              <w:jc w:val="left"/>
            </w:pPr>
            <w:r>
              <w:t xml:space="preserve">Both values given; ledger runs 24–25.</w:t>
            </w:r>
          </w:p>
        </w:tc>
      </w:tr>
      <w:tr>
        <w:tc>
          <w:tcPr/>
          <w:p>
            <w:pPr>
              <w:pStyle w:val="Compact"/>
              <w:jc w:val="left"/>
            </w:pPr>
            <w:r>
              <w:t xml:space="preserve">R3-13</w:t>
            </w:r>
          </w:p>
        </w:tc>
        <w:tc>
          <w:tcPr/>
          <w:p>
            <w:pPr>
              <w:pStyle w:val="Compact"/>
              <w:jc w:val="left"/>
            </w:pPr>
            <w:r>
              <w:t xml:space="preserve">major</w:t>
            </w:r>
          </w:p>
        </w:tc>
        <w:tc>
          <w:tcPr/>
          <w:p>
            <w:pPr>
              <w:pStyle w:val="Compact"/>
              <w:jc w:val="left"/>
            </w:pPr>
            <w:r>
              <w:t xml:space="preserve">§2.6, §5</w:t>
            </w:r>
          </w:p>
        </w:tc>
        <w:tc>
          <w:tcPr/>
          <w:p>
            <w:pPr>
              <w:pStyle w:val="Compact"/>
              <w:jc w:val="left"/>
            </w:pPr>
            <w:r>
              <w:t xml:space="preserve">The run log lists an earlier pristine perfect run as an unrelaxed SCF (F</w:t>
            </w:r>
            <w:r>
              <w:rPr>
                <w:vertAlign w:val="subscript"/>
              </w:rPr>
              <w:t xml:space="preserve">max</w:t>
            </w:r>
            <w:r>
              <w:t xml:space="preserve"> </w:t>
            </w:r>
            <w:r>
              <w:t xml:space="preserve">0.0225 Ry/Bohr); the relaxation status of the production pristine energy is unknown.</w:t>
            </w:r>
          </w:p>
        </w:tc>
        <w:tc>
          <w:tcPr/>
          <w:p>
            <w:pPr>
              <w:pStyle w:val="Compact"/>
              <w:jc w:val="left"/>
            </w:pPr>
            <w:r>
              <w:t xml:space="preserve">Disclosed with consequence; AUTHOR ACTION.</w:t>
            </w:r>
          </w:p>
        </w:tc>
      </w:tr>
      <w:tr>
        <w:tc>
          <w:tcPr/>
          <w:p>
            <w:pPr>
              <w:pStyle w:val="Compact"/>
              <w:jc w:val="left"/>
            </w:pPr>
            <w:r>
              <w:t xml:space="preserve">R3-14</w:t>
            </w:r>
          </w:p>
        </w:tc>
        <w:tc>
          <w:tcPr/>
          <w:p>
            <w:pPr>
              <w:pStyle w:val="Compact"/>
              <w:jc w:val="left"/>
            </w:pPr>
            <w:r>
              <w:t xml:space="preserve">minor</w:t>
            </w:r>
          </w:p>
        </w:tc>
        <w:tc>
          <w:tcPr/>
          <w:p>
            <w:pPr>
              <w:pStyle w:val="Compact"/>
              <w:jc w:val="left"/>
            </w:pPr>
            <w:r>
              <w:t xml:space="preserve">Table 3</w:t>
            </w:r>
          </w:p>
        </w:tc>
        <w:tc>
          <w:tcPr/>
          <w:p>
            <w:pPr>
              <w:pStyle w:val="Compact"/>
              <w:jc w:val="left"/>
            </w:pPr>
            <w:r>
              <w:t xml:space="preserve">E</w:t>
            </w:r>
            <w:r>
              <w:rPr>
                <w:vertAlign w:val="subscript"/>
              </w:rPr>
              <w:t xml:space="preserve">F</w:t>
            </w:r>
            <w:r>
              <w:t xml:space="preserve"> </w:t>
            </w:r>
            <w:r>
              <w:t xml:space="preserve">of Pr_perfect (7.40 eV) and Rb_perfect (7.35 eV) from the Phase-3 audit.</w:t>
            </w:r>
          </w:p>
        </w:tc>
        <w:tc>
          <w:tcPr/>
          <w:p>
            <w:pPr>
              <w:pStyle w:val="Compact"/>
              <w:jc w:val="left"/>
            </w:pPr>
            <w:r>
              <w:t xml:space="preserve">Filled.</w:t>
            </w:r>
          </w:p>
        </w:tc>
      </w:tr>
      <w:tr>
        <w:tc>
          <w:tcPr/>
          <w:p>
            <w:pPr>
              <w:pStyle w:val="Compact"/>
              <w:jc w:val="left"/>
            </w:pPr>
            <w:r>
              <w:t xml:space="preserve">R3-15</w:t>
            </w:r>
          </w:p>
        </w:tc>
        <w:tc>
          <w:tcPr/>
          <w:p>
            <w:pPr>
              <w:pStyle w:val="Compact"/>
              <w:jc w:val="left"/>
            </w:pPr>
            <w:r>
              <w:t xml:space="preserve">minor</w:t>
            </w:r>
          </w:p>
        </w:tc>
        <w:tc>
          <w:tcPr/>
          <w:p>
            <w:pPr>
              <w:pStyle w:val="Compact"/>
              <w:jc w:val="left"/>
            </w:pPr>
            <w:r>
              <w:t xml:space="preserve">§2.3, Table S4</w:t>
            </w:r>
          </w:p>
        </w:tc>
        <w:tc>
          <w:tcPr/>
          <w:p>
            <w:pPr>
              <w:pStyle w:val="Compact"/>
              <w:jc w:val="left"/>
            </w:pPr>
            <w:r>
              <w:t xml:space="preserve">Production vacancy is an equatorial first-shell oxygen (1.95 Å from the ideal cation site); alternative-site coordinates added; O3 (second first-shell candidate) not computed.</w:t>
            </w:r>
          </w:p>
        </w:tc>
        <w:tc>
          <w:tcPr/>
          <w:p>
            <w:pPr>
              <w:pStyle w:val="Compact"/>
              <w:jc w:val="left"/>
            </w:pPr>
            <w:r>
              <w:t xml:space="preserve">Filled.</w:t>
            </w:r>
          </w:p>
        </w:tc>
      </w:tr>
      <w:tr>
        <w:tc>
          <w:tcPr/>
          <w:p>
            <w:pPr>
              <w:pStyle w:val="Compact"/>
              <w:jc w:val="left"/>
            </w:pPr>
            <w:r>
              <w:t xml:space="preserve">R3-16</w:t>
            </w:r>
          </w:p>
        </w:tc>
        <w:tc>
          <w:tcPr/>
          <w:p>
            <w:pPr>
              <w:pStyle w:val="Compact"/>
              <w:jc w:val="left"/>
            </w:pPr>
            <w:r>
              <w:t xml:space="preserve">minor</w:t>
            </w:r>
          </w:p>
        </w:tc>
        <w:tc>
          <w:tcPr/>
          <w:p>
            <w:pPr>
              <w:pStyle w:val="Compact"/>
              <w:jc w:val="left"/>
            </w:pPr>
            <w:r>
              <w:t xml:space="preserve">§2.1, Table S7</w:t>
            </w:r>
          </w:p>
        </w:tc>
        <w:tc>
          <w:tcPr/>
          <w:p>
            <w:pPr>
              <w:pStyle w:val="Compact"/>
              <w:jc w:val="left"/>
            </w:pPr>
            <w:r>
              <w:t xml:space="preserve">pw.x MD5 checksums of the Ti, O and Rb datasets and the projector lists (no Pr-4f, no Rb-d) added.</w:t>
            </w:r>
          </w:p>
        </w:tc>
        <w:tc>
          <w:tcPr/>
          <w:p>
            <w:pPr>
              <w:pStyle w:val="Compact"/>
              <w:jc w:val="left"/>
            </w:pPr>
            <w:r>
              <w:t xml:space="preserve">Filled; Pr checksum outstanding.</w:t>
            </w:r>
          </w:p>
        </w:tc>
      </w:tr>
      <w:tr>
        <w:tc>
          <w:tcPr/>
          <w:p>
            <w:pPr>
              <w:pStyle w:val="Compact"/>
              <w:jc w:val="left"/>
            </w:pPr>
            <w:r>
              <w:t xml:space="preserve">R3-17</w:t>
            </w:r>
          </w:p>
        </w:tc>
        <w:tc>
          <w:tcPr/>
          <w:p>
            <w:pPr>
              <w:pStyle w:val="Compact"/>
              <w:jc w:val="left"/>
            </w:pPr>
            <w:r>
              <w:t xml:space="preserve">minor</w:t>
            </w:r>
          </w:p>
        </w:tc>
        <w:tc>
          <w:tcPr/>
          <w:p>
            <w:pPr>
              <w:pStyle w:val="Compact"/>
              <w:jc w:val="left"/>
            </w:pPr>
            <w:r>
              <w:t xml:space="preserve">§2.8</w:t>
            </w:r>
          </w:p>
        </w:tc>
        <w:tc>
          <w:tcPr/>
          <w:p>
            <w:pPr>
              <w:pStyle w:val="Compact"/>
              <w:jc w:val="left"/>
            </w:pPr>
            <w:r>
              <w:t xml:space="preserve">projwfc.x broadening (0.01 Ry), bands (260/226), tetrahedra, energy step and spilling stated.</w:t>
            </w:r>
          </w:p>
        </w:tc>
        <w:tc>
          <w:tcPr/>
          <w:p>
            <w:pPr>
              <w:pStyle w:val="Compact"/>
              <w:jc w:val="left"/>
            </w:pPr>
            <w:r>
              <w:t xml:space="preserve">Filled.</w:t>
            </w:r>
          </w:p>
        </w:tc>
      </w:tr>
      <w:tr>
        <w:tc>
          <w:tcPr/>
          <w:p>
            <w:pPr>
              <w:pStyle w:val="Compact"/>
              <w:jc w:val="left"/>
            </w:pPr>
            <w:r>
              <w:t xml:space="preserve">R3-18</w:t>
            </w:r>
          </w:p>
        </w:tc>
        <w:tc>
          <w:tcPr/>
          <w:p>
            <w:pPr>
              <w:pStyle w:val="Compact"/>
              <w:jc w:val="left"/>
            </w:pPr>
            <w:r>
              <w:t xml:space="preserve">minor</w:t>
            </w:r>
          </w:p>
        </w:tc>
        <w:tc>
          <w:tcPr/>
          <w:p>
            <w:pPr>
              <w:pStyle w:val="Compact"/>
              <w:jc w:val="left"/>
            </w:pPr>
            <w:r>
              <w:t xml:space="preserve">refs.py</w:t>
            </w:r>
          </w:p>
        </w:tc>
        <w:tc>
          <w:tcPr/>
          <w:p>
            <w:pPr>
              <w:pStyle w:val="Compact"/>
              <w:jc w:val="left"/>
            </w:pPr>
            <w:r>
              <w:t xml:space="preserve">Vural 2023 vol. 613; Bai 2020 vol. 503; Polliotto pages 49–57; Ahmad first page 2709; Chen 2012 DOI 10.1016/j.physb.2012.01.085; Torres DOI 10.1021/acsomega.1c02761 and Rodríguez-Pineda — all from the first pages of the authors’ PDFs. Mazierski author list flagged incomplete.</w:t>
            </w:r>
          </w:p>
        </w:tc>
        <w:tc>
          <w:tcPr/>
          <w:p>
            <w:pPr>
              <w:pStyle w:val="Compact"/>
              <w:jc w:val="left"/>
            </w:pPr>
            <w:r>
              <w:t xml:space="preserve">Corrected; VERIFY notes added.</w:t>
            </w:r>
          </w:p>
        </w:tc>
      </w:tr>
      <w:tr>
        <w:tc>
          <w:tcPr/>
          <w:p>
            <w:pPr>
              <w:pStyle w:val="Compact"/>
              <w:jc w:val="left"/>
            </w:pPr>
            <w:r>
              <w:t xml:space="preserve">R3-19</w:t>
            </w:r>
          </w:p>
        </w:tc>
        <w:tc>
          <w:tcPr/>
          <w:p>
            <w:pPr>
              <w:pStyle w:val="Compact"/>
              <w:jc w:val="left"/>
            </w:pPr>
            <w:r>
              <w:t xml:space="preserve">minor</w:t>
            </w:r>
          </w:p>
        </w:tc>
        <w:tc>
          <w:tcPr/>
          <w:p>
            <w:pPr>
              <w:pStyle w:val="Compact"/>
              <w:jc w:val="left"/>
            </w:pPr>
            <w:r>
              <w:t xml:space="preserve">SI S9, S10</w:t>
            </w:r>
          </w:p>
        </w:tc>
        <w:tc>
          <w:tcPr/>
          <w:p>
            <w:pPr>
              <w:pStyle w:val="Compact"/>
              <w:jc w:val="left"/>
            </w:pPr>
            <w:r>
              <w:t xml:space="preserve">Ledger extended to 46 runs (energy_ledger.csv + check_ledger.py); Table S10 rebuilt as a settings table by run family.</w:t>
            </w:r>
          </w:p>
        </w:tc>
        <w:tc>
          <w:tcPr/>
          <w:p>
            <w:pPr>
              <w:pStyle w:val="Compact"/>
              <w:jc w:val="left"/>
            </w:pPr>
            <w:r>
              <w:t xml:space="preserve">Done.</w:t>
            </w:r>
          </w:p>
        </w:tc>
      </w:tr>
    </w:tbl>
    <w:bookmarkStart w:id="23" w:name="Xe26ab06230b97a7071d7b76b1685c99a20b3a2d"/>
    <w:p>
      <w:pPr>
        <w:pStyle w:val="Heading3"/>
      </w:pPr>
      <w:r>
        <w:t xml:space="preserve">Round 3b: citation claims checked against the authors’ PDFs (Google Drive)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R3-20</w:t>
            </w:r>
          </w:p>
        </w:tc>
        <w:tc>
          <w:tcPr/>
          <w:p>
            <w:pPr>
              <w:pStyle w:val="Compact"/>
              <w:jc w:val="left"/>
            </w:pPr>
            <w:r>
              <w:t xml:space="preserve">Arrigoni &amp; Madsen 2020</w:t>
            </w:r>
          </w:p>
        </w:tc>
        <w:tc>
          <w:tcPr/>
          <w:p>
            <w:pPr>
              <w:pStyle w:val="Compact"/>
              <w:jc w:val="left"/>
            </w:pPr>
            <w:r>
              <w:t xml:space="preserve">Neutral V</w:t>
            </w:r>
            <w:r>
              <w:rPr>
                <w:vertAlign w:val="subscript"/>
              </w:rPr>
              <w:t xml:space="preserve">O</w:t>
            </w:r>
            <w:r>
              <w:t xml:space="preserve"> </w:t>
            </w:r>
            <w:r>
              <w:t xml:space="preserve">energies only in Fig. 5; U = 5.8 eV; Γ-only grid used only for HSE15 (confirmed); ε∞ 5.82 is the experimental in-plane value they tabulate; they find PBE+U agrees</w:t>
            </w:r>
            <w:r>
              <w:t xml:space="preserve"> </w:t>
            </w:r>
            <w:r>
              <w:rPr>
                <w:iCs/>
                <w:i/>
              </w:rPr>
              <w:t xml:space="preserve">worst</w:t>
            </w:r>
            <w:r>
              <w:t xml:space="preserve"> </w:t>
            </w:r>
            <w:r>
              <w:t xml:space="preserve">with HSE15 (no</w:t>
            </w:r>
            <w:r>
              <w:t xml:space="preserve"> </w:t>
            </w:r>
            <w:r>
              <w:t xml:space="preserve">“</w:t>
            </w:r>
            <w:r>
              <w:t xml:space="preserve">agreement after alignment</w:t>
            </w:r>
            <w:r>
              <w:t xml:space="preserve">”</w:t>
            </w:r>
            <w:r>
              <w:t xml:space="preserve"> </w:t>
            </w:r>
            <w:r>
              <w:t xml:space="preserve">claim may be attributed to them).</w:t>
            </w:r>
          </w:p>
        </w:tc>
        <w:tc>
          <w:tcPr/>
          <w:p>
            <w:pPr>
              <w:pStyle w:val="Compact"/>
              <w:jc w:val="left"/>
            </w:pPr>
            <w:r>
              <w:t xml:space="preserve">§2.4 marker removed; §3.2 numerical comparison withdrawn; Limitation (viii) wording made exact.</w:t>
            </w:r>
          </w:p>
        </w:tc>
      </w:tr>
      <w:tr>
        <w:tc>
          <w:tcPr/>
          <w:p>
            <w:pPr>
              <w:pStyle w:val="Compact"/>
              <w:jc w:val="left"/>
            </w:pPr>
            <w:r>
              <w:t xml:space="preserve">R3-21</w:t>
            </w:r>
          </w:p>
        </w:tc>
        <w:tc>
          <w:tcPr/>
          <w:p>
            <w:pPr>
              <w:pStyle w:val="Compact"/>
              <w:jc w:val="left"/>
            </w:pPr>
            <w:r>
              <w:t xml:space="preserve">Boonchun et al. 2016</w:t>
            </w:r>
          </w:p>
        </w:tc>
        <w:tc>
          <w:tcPr/>
          <w:p>
            <w:pPr>
              <w:pStyle w:val="Compact"/>
              <w:jc w:val="left"/>
            </w:pPr>
            <w:r>
              <w:t xml:space="preserve">HSE06, 108-atom cell; neutral V</w:t>
            </w:r>
            <w:r>
              <w:rPr>
                <w:vertAlign w:val="subscript"/>
              </w:rPr>
              <w:t xml:space="preserve">O</w:t>
            </w:r>
            <w:r>
              <w:t xml:space="preserve"> </w:t>
            </w:r>
            <w:r>
              <w:t xml:space="preserve">energy only in Fig. 1.</w:t>
            </w:r>
          </w:p>
        </w:tc>
        <w:tc>
          <w:tcPr/>
          <w:p>
            <w:pPr>
              <w:pStyle w:val="Compact"/>
              <w:jc w:val="left"/>
            </w:pPr>
            <w:r>
              <w:t xml:space="preserve">§3.2 cites it for protocol only; numbers withdrawn.</w:t>
            </w:r>
          </w:p>
        </w:tc>
      </w:tr>
      <w:tr>
        <w:tc>
          <w:tcPr/>
          <w:p>
            <w:pPr>
              <w:pStyle w:val="Compact"/>
              <w:jc w:val="left"/>
            </w:pPr>
            <w:r>
              <w:t xml:space="preserve">R3-22</w:t>
            </w:r>
          </w:p>
        </w:tc>
        <w:tc>
          <w:tcPr/>
          <w:p>
            <w:pPr>
              <w:pStyle w:val="Compact"/>
              <w:jc w:val="left"/>
            </w:pPr>
            <w:r>
              <w:t xml:space="preserve">Vural et al. 2023</w:t>
            </w:r>
          </w:p>
        </w:tc>
        <w:tc>
          <w:tcPr/>
          <w:p>
            <w:pPr>
              <w:pStyle w:val="Compact"/>
              <w:jc w:val="left"/>
            </w:pPr>
            <w:r>
              <w:t xml:space="preserve">Pr adsorption on clean anatase (101); oxygen vacancies are not discussed.</w:t>
            </w:r>
          </w:p>
        </w:tc>
        <w:tc>
          <w:tcPr/>
          <w:p>
            <w:pPr>
              <w:pStyle w:val="Compact"/>
              <w:jc w:val="left"/>
            </w:pPr>
            <w:r>
              <w:t xml:space="preserve">Pr–V</w:t>
            </w:r>
            <w:r>
              <w:rPr>
                <w:vertAlign w:val="subscript"/>
              </w:rPr>
              <w:t xml:space="preserve">O</w:t>
            </w:r>
            <w:r>
              <w:t xml:space="preserve"> </w:t>
            </w:r>
            <w:r>
              <w:t xml:space="preserve">association sentence deleted (§4.2); Introduction now says</w:t>
            </w:r>
            <w:r>
              <w:t xml:space="preserve"> </w:t>
            </w:r>
            <w:r>
              <w:t xml:space="preserve">“</w:t>
            </w:r>
            <w:r>
              <w:t xml:space="preserve">adsorbate on the (101) surface</w:t>
            </w:r>
            <w:r>
              <w:t xml:space="preserve">”</w:t>
            </w:r>
            <w:r>
              <w:t xml:space="preserve">.</w:t>
            </w:r>
          </w:p>
        </w:tc>
      </w:tr>
      <w:tr>
        <w:tc>
          <w:tcPr/>
          <w:p>
            <w:pPr>
              <w:pStyle w:val="Compact"/>
              <w:jc w:val="left"/>
            </w:pPr>
            <w:r>
              <w:t xml:space="preserve">R3-23</w:t>
            </w:r>
          </w:p>
        </w:tc>
        <w:tc>
          <w:tcPr/>
          <w:p>
            <w:pPr>
              <w:pStyle w:val="Compact"/>
              <w:jc w:val="left"/>
            </w:pPr>
            <w:r>
              <w:t xml:space="preserve">Ahmad et al. 2020</w:t>
            </w:r>
          </w:p>
        </w:tc>
        <w:tc>
          <w:tcPr/>
          <w:p>
            <w:pPr>
              <w:pStyle w:val="Compact"/>
              <w:jc w:val="left"/>
            </w:pPr>
            <w:r>
              <w:t xml:space="preserve">Rutile Gd-doped nanorods; no compensation discussion; pages 2709–2719.</w:t>
            </w:r>
          </w:p>
        </w:tc>
        <w:tc>
          <w:tcPr/>
          <w:p>
            <w:pPr>
              <w:pStyle w:val="Compact"/>
              <w:jc w:val="left"/>
            </w:pPr>
            <w:r>
              <w:t xml:space="preserve">Removed from the Introduction citation; record corrected.</w:t>
            </w:r>
          </w:p>
        </w:tc>
      </w:tr>
      <w:tr>
        <w:tc>
          <w:tcPr/>
          <w:p>
            <w:pPr>
              <w:pStyle w:val="Compact"/>
              <w:jc w:val="left"/>
            </w:pPr>
            <w:r>
              <w:t xml:space="preserve">R3-24</w:t>
            </w:r>
          </w:p>
        </w:tc>
        <w:tc>
          <w:tcPr/>
          <w:p>
            <w:pPr>
              <w:pStyle w:val="Compact"/>
              <w:jc w:val="left"/>
            </w:pPr>
            <w:r>
              <w:t xml:space="preserve">Polliotto et al. 2020</w:t>
            </w:r>
          </w:p>
        </w:tc>
        <w:tc>
          <w:tcPr/>
          <w:p>
            <w:pPr>
              <w:pStyle w:val="Compact"/>
              <w:jc w:val="left"/>
            </w:pPr>
            <w:r>
              <w:t xml:space="preserve">Ce-doped ZrTiO</w:t>
            </w:r>
            <w:r>
              <w:rPr>
                <w:vertAlign w:val="subscript"/>
              </w:rPr>
              <w:t xml:space="preserve">4</w:t>
            </w:r>
            <w:r>
              <w:t xml:space="preserve">; hole vs V</w:t>
            </w:r>
            <w:r>
              <w:rPr>
                <w:vertAlign w:val="subscript"/>
              </w:rPr>
              <w:t xml:space="preserve">O</w:t>
            </w:r>
            <w:r>
              <w:t xml:space="preserve"> </w:t>
            </w:r>
            <w:r>
              <w:t xml:space="preserve">compensation considered, EPR indicates V</w:t>
            </w:r>
            <w:r>
              <w:rPr>
                <w:vertAlign w:val="subscript"/>
              </w:rPr>
              <w:t xml:space="preserve">O</w:t>
            </w:r>
            <w:r>
              <w:t xml:space="preserve">; co-author Agnoli missing.</w:t>
            </w:r>
          </w:p>
        </w:tc>
        <w:tc>
          <w:tcPr/>
          <w:p>
            <w:pPr>
              <w:pStyle w:val="Compact"/>
              <w:jc w:val="left"/>
            </w:pPr>
            <w:r>
              <w:t xml:space="preserve">Introduction sentence rewritten to what the paper shows; record corrected.</w:t>
            </w:r>
          </w:p>
        </w:tc>
      </w:tr>
      <w:tr>
        <w:tc>
          <w:tcPr/>
          <w:p>
            <w:pPr>
              <w:pStyle w:val="Compact"/>
              <w:jc w:val="left"/>
            </w:pPr>
            <w:r>
              <w:t xml:space="preserve">R3-25</w:t>
            </w:r>
          </w:p>
        </w:tc>
        <w:tc>
          <w:tcPr/>
          <w:p>
            <w:pPr>
              <w:pStyle w:val="Compact"/>
              <w:jc w:val="left"/>
            </w:pPr>
            <w:r>
              <w:t xml:space="preserve">Chen et al. 2012</w:t>
            </w:r>
          </w:p>
        </w:tc>
        <w:tc>
          <w:tcPr/>
          <w:p>
            <w:pPr>
              <w:pStyle w:val="Compact"/>
              <w:jc w:val="left"/>
            </w:pPr>
            <w:r>
              <w:t xml:space="preserve">Ce, Pr, Eu, Gd in anatase, DFT+U (Ti 7.8, Pr 7.0 eV); Pr with V</w:t>
            </w:r>
            <w:r>
              <w:rPr>
                <w:vertAlign w:val="subscript"/>
              </w:rPr>
              <w:t xml:space="preserve">O</w:t>
            </w:r>
            <w:r>
              <w:t xml:space="preserve"> </w:t>
            </w:r>
            <w:r>
              <w:t xml:space="preserve">studied.</w:t>
            </w:r>
          </w:p>
        </w:tc>
        <w:tc>
          <w:tcPr/>
          <w:p>
            <w:pPr>
              <w:pStyle w:val="Compact"/>
              <w:jc w:val="left"/>
            </w:pPr>
            <w:r>
              <w:t xml:space="preserve">Cited for that in the Introduction.</w:t>
            </w:r>
          </w:p>
        </w:tc>
      </w:tr>
      <w:tr>
        <w:tc>
          <w:tcPr/>
          <w:p>
            <w:pPr>
              <w:pStyle w:val="Compact"/>
              <w:jc w:val="left"/>
            </w:pPr>
            <w:r>
              <w:t xml:space="preserve">R3-26</w:t>
            </w:r>
          </w:p>
        </w:tc>
        <w:tc>
          <w:tcPr/>
          <w:p>
            <w:pPr>
              <w:pStyle w:val="Compact"/>
              <w:jc w:val="left"/>
            </w:pPr>
            <w:r>
              <w:t xml:space="preserve">Mazierski et al. 2020; Yin et al. 2020</w:t>
            </w:r>
          </w:p>
        </w:tc>
        <w:tc>
          <w:tcPr/>
          <w:p>
            <w:pPr>
              <w:pStyle w:val="Compact"/>
              <w:jc w:val="left"/>
            </w:pPr>
            <w:r>
              <w:t xml:space="preserve">U(Ti-3d) = 3.5 eV confirmed in both; Mazierski author list completed (nine authors); Yin initials as printed.</w:t>
            </w:r>
          </w:p>
        </w:tc>
        <w:tc>
          <w:tcPr/>
          <w:p>
            <w:pPr>
              <w:pStyle w:val="Compact"/>
              <w:jc w:val="left"/>
            </w:pPr>
            <w:r>
              <w:t xml:space="preserve">§2.2 marker narrowed to Deák only; records corrected.</w:t>
            </w:r>
          </w:p>
        </w:tc>
      </w:tr>
      <w:tr>
        <w:tc>
          <w:tcPr/>
          <w:p>
            <w:pPr>
              <w:pStyle w:val="Compact"/>
              <w:jc w:val="left"/>
            </w:pPr>
            <w:r>
              <w:t xml:space="preserve">R3-27</w:t>
            </w:r>
          </w:p>
        </w:tc>
        <w:tc>
          <w:tcPr/>
          <w:p>
            <w:pPr>
              <w:pStyle w:val="Compact"/>
              <w:jc w:val="left"/>
            </w:pPr>
            <w:r>
              <w:t xml:space="preserve">Raghav et al. 2020</w:t>
            </w:r>
          </w:p>
        </w:tc>
        <w:tc>
          <w:tcPr/>
          <w:p>
            <w:pPr>
              <w:pStyle w:val="Compact"/>
              <w:jc w:val="left"/>
            </w:pPr>
            <w:r>
              <w:t xml:space="preserve">55 Ry and U = 4.2 eV confirmed (spin-unpolarised calculations).</w:t>
            </w:r>
          </w:p>
        </w:tc>
        <w:tc>
          <w:tcPr/>
          <w:p>
            <w:pPr>
              <w:pStyle w:val="Compact"/>
              <w:jc w:val="left"/>
            </w:pPr>
            <w:r>
              <w:t xml:space="preserve">No change needed.</w:t>
            </w:r>
          </w:p>
        </w:tc>
      </w:tr>
      <w:tr>
        <w:tc>
          <w:tcPr/>
          <w:p>
            <w:pPr>
              <w:pStyle w:val="Compact"/>
              <w:jc w:val="left"/>
            </w:pPr>
            <w:r>
              <w:t xml:space="preserve">R3-28</w:t>
            </w:r>
          </w:p>
        </w:tc>
        <w:tc>
          <w:tcPr/>
          <w:p>
            <w:pPr>
              <w:pStyle w:val="Compact"/>
              <w:jc w:val="left"/>
            </w:pPr>
            <w:r>
              <w:t xml:space="preserve">Torres et al. 2021</w:t>
            </w:r>
          </w:p>
        </w:tc>
        <w:tc>
          <w:tcPr/>
          <w:p>
            <w:pPr>
              <w:pStyle w:val="Compact"/>
              <w:jc w:val="left"/>
            </w:pPr>
            <w:r>
              <w:t xml:space="preserve">PBEsol-D3 with U = 3 eV for the defective (001) surface.</w:t>
            </w:r>
          </w:p>
        </w:tc>
        <w:tc>
          <w:tcPr/>
          <w:p>
            <w:pPr>
              <w:pStyle w:val="Compact"/>
              <w:jc w:val="left"/>
            </w:pPr>
            <w:r>
              <w:t xml:space="preserve">§2.8 wording made exact.</w:t>
            </w:r>
          </w:p>
        </w:tc>
      </w:tr>
      <w:tr>
        <w:tc>
          <w:tcPr/>
          <w:p>
            <w:pPr>
              <w:pStyle w:val="Compact"/>
              <w:jc w:val="left"/>
            </w:pPr>
            <w:r>
              <w:t xml:space="preserve">R3-29</w:t>
            </w:r>
          </w:p>
        </w:tc>
        <w:tc>
          <w:tcPr/>
          <w:p>
            <w:pPr>
              <w:pStyle w:val="Compact"/>
              <w:jc w:val="left"/>
            </w:pPr>
            <w:r>
              <w:t xml:space="preserve">Bai et al. 2020</w:t>
            </w:r>
          </w:p>
        </w:tc>
        <w:tc>
          <w:tcPr/>
          <w:p>
            <w:pPr>
              <w:pStyle w:val="Compact"/>
              <w:jc w:val="left"/>
            </w:pPr>
            <w:r>
              <w:t xml:space="preserve">Authors Hu, X. and Li, J. missing; volume 503.</w:t>
            </w:r>
          </w:p>
        </w:tc>
        <w:tc>
          <w:tcPr/>
          <w:p>
            <w:pPr>
              <w:pStyle w:val="Compact"/>
              <w:jc w:val="left"/>
            </w:pPr>
            <w:r>
              <w:t xml:space="preserve">Record corrected.</w:t>
            </w:r>
          </w:p>
        </w:tc>
      </w:tr>
    </w:tbl>
    <w:bookmarkEnd w:id="23"/>
    <w:bookmarkStart w:id="24" w:name="round-3c-remaining-citation-items"/>
    <w:p>
      <w:pPr>
        <w:pStyle w:val="Heading3"/>
      </w:pPr>
      <w:r>
        <w:t xml:space="preserve">Round 3c: remaining citation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R3-30</w:t>
            </w:r>
          </w:p>
        </w:tc>
        <w:tc>
          <w:tcPr/>
          <w:p>
            <w:pPr>
              <w:pStyle w:val="Compact"/>
              <w:jc w:val="left"/>
            </w:pPr>
            <w:r>
              <w:t xml:space="preserve">Deák et al. 2014</w:t>
            </w:r>
          </w:p>
        </w:tc>
        <w:tc>
          <w:tcPr/>
          <w:p>
            <w:pPr>
              <w:pStyle w:val="Compact"/>
              <w:jc w:val="left"/>
            </w:pPr>
            <w:r>
              <w:t xml:space="preserve">Not in the authors’ library; the U ≈ 3.5 eV statement could not be verified.</w:t>
            </w:r>
          </w:p>
        </w:tc>
        <w:tc>
          <w:tcPr/>
          <w:p>
            <w:pPr>
              <w:pStyle w:val="Compact"/>
              <w:jc w:val="left"/>
            </w:pPr>
            <w:r>
              <w:t xml:space="preserve">Replaced by Orhan &amp; O’Regan 2020 (authors’ 65.pdf, Table II: linear-response U = 3.57 eV, U</w:t>
            </w:r>
            <w:r>
              <w:rPr>
                <w:vertAlign w:val="subscript"/>
              </w:rPr>
              <w:t xml:space="preserve">eff</w:t>
            </w:r>
            <w:r>
              <w:t xml:space="preserve"> </w:t>
            </w:r>
            <w:r>
              <w:t xml:space="preserve">= 3.28 eV for anatase Ti-3d; U</w:t>
            </w:r>
            <w:r>
              <w:rPr>
                <w:vertAlign w:val="subscript"/>
              </w:rPr>
              <w:t xml:space="preserve">eff</w:t>
            </w:r>
            <w:r>
              <w:t xml:space="preserve"> </w:t>
            </w:r>
            <w:r>
              <w:t xml:space="preserve">= 7.66 eV for O-2p, LDA); O-2p value added as a benchmark for the transferred 5.5 eV.</w:t>
            </w:r>
          </w:p>
        </w:tc>
      </w:tr>
      <w:tr>
        <w:tc>
          <w:tcPr/>
          <w:p>
            <w:pPr>
              <w:pStyle w:val="Compact"/>
              <w:jc w:val="left"/>
            </w:pPr>
            <w:r>
              <w:t xml:space="preserve">R3-31</w:t>
            </w:r>
          </w:p>
        </w:tc>
        <w:tc>
          <w:tcPr/>
          <w:p>
            <w:pPr>
              <w:pStyle w:val="Compact"/>
              <w:jc w:val="left"/>
            </w:pPr>
            <w:r>
              <w:t xml:space="preserve">Bahmanrokh et al. 2020</w:t>
            </w:r>
          </w:p>
        </w:tc>
        <w:tc>
          <w:tcPr/>
          <w:p>
            <w:pPr>
              <w:pStyle w:val="Compact"/>
              <w:jc w:val="left"/>
            </w:pPr>
            <w:r>
              <w:t xml:space="preserve">Formalism includes ionic (V</w:t>
            </w:r>
            <w:r>
              <w:rPr>
                <w:vertAlign w:val="subscript"/>
              </w:rPr>
              <w:t xml:space="preserve">O</w:t>
            </w:r>
            <w:r>
              <w:t xml:space="preserve">) and electronic (h•, e′, Ti</w:t>
            </w:r>
            <w:r>
              <w:rPr>
                <w:vertAlign w:val="superscript"/>
              </w:rPr>
              <w:t xml:space="preserve">4+</w:t>
            </w:r>
            <w:r>
              <w:t xml:space="preserve">/Ti</w:t>
            </w:r>
            <w:r>
              <w:rPr>
                <w:vertAlign w:val="superscript"/>
              </w:rPr>
              <w:t xml:space="preserve">3+</w:t>
            </w:r>
            <w:r>
              <w:t xml:space="preserve"> </w:t>
            </w:r>
            <w:r>
              <w:t xml:space="preserve">redox) compensation (Table 3). Nine authors.</w:t>
            </w:r>
          </w:p>
        </w:tc>
        <w:tc>
          <w:tcPr/>
          <w:p>
            <w:pPr>
              <w:pStyle w:val="Compact"/>
              <w:jc w:val="left"/>
            </w:pPr>
            <w:r>
              <w:t xml:space="preserve">Marker removed; record completed.</w:t>
            </w:r>
          </w:p>
        </w:tc>
      </w:tr>
      <w:tr>
        <w:tc>
          <w:tcPr/>
          <w:p>
            <w:pPr>
              <w:pStyle w:val="Compact"/>
              <w:jc w:val="left"/>
            </w:pPr>
            <w:r>
              <w:t xml:space="preserve">R3-32</w:t>
            </w:r>
          </w:p>
        </w:tc>
        <w:tc>
          <w:tcPr/>
          <w:p>
            <w:pPr>
              <w:pStyle w:val="Compact"/>
              <w:jc w:val="left"/>
            </w:pPr>
            <w:r>
              <w:t xml:space="preserve">Chen et al. 2014</w:t>
            </w:r>
          </w:p>
        </w:tc>
        <w:tc>
          <w:tcPr/>
          <w:p>
            <w:pPr>
              <w:pStyle w:val="Compact"/>
              <w:jc w:val="left"/>
            </w:pPr>
            <w:r>
              <w:t xml:space="preserve">Plain GGA (CASTEP), 12-atom cell, 4f in valence, no U, no compensation discussion.</w:t>
            </w:r>
          </w:p>
        </w:tc>
        <w:tc>
          <w:tcPr/>
          <w:p>
            <w:pPr>
              <w:pStyle w:val="Compact"/>
              <w:jc w:val="left"/>
            </w:pPr>
            <w:r>
              <w:t xml:space="preserve">Described as such; marker removed.</w:t>
            </w:r>
          </w:p>
        </w:tc>
      </w:tr>
      <w:tr>
        <w:tc>
          <w:tcPr/>
          <w:p>
            <w:pPr>
              <w:pStyle w:val="Compact"/>
              <w:jc w:val="left"/>
            </w:pPr>
            <w:r>
              <w:t xml:space="preserve">R3-33</w:t>
            </w:r>
          </w:p>
        </w:tc>
        <w:tc>
          <w:tcPr/>
          <w:p>
            <w:pPr>
              <w:pStyle w:val="Compact"/>
              <w:jc w:val="left"/>
            </w:pPr>
            <w:r>
              <w:t xml:space="preserve">Pecunia et al. 2021</w:t>
            </w:r>
          </w:p>
        </w:tc>
        <w:tc>
          <w:tcPr/>
          <w:p>
            <w:pPr>
              <w:pStyle w:val="Compact"/>
              <w:jc w:val="left"/>
            </w:pPr>
            <w:r>
              <w:t xml:space="preserve">Not in the authors’ library; full text not reachable from this environment.</w:t>
            </w:r>
          </w:p>
        </w:tc>
        <w:tc>
          <w:tcPr/>
          <w:p>
            <w:pPr>
              <w:pStyle w:val="Compact"/>
              <w:jc w:val="left"/>
            </w:pPr>
            <w:r>
              <w:t xml:space="preserve">[NEEDS CITATION] kept.</w:t>
            </w:r>
          </w:p>
        </w:tc>
      </w:tr>
    </w:tbl>
    <w:bookmarkEnd w:id="24"/>
    <w:bookmarkStart w:id="25" w:name="X661650b7a2b4a6508db841846e36a2ec2652dcd"/>
    <w:p>
      <w:pPr>
        <w:pStyle w:val="Heading3"/>
      </w:pPr>
      <w:r>
        <w:t xml:space="preserve">Round 3d: independent adversarial review of the round-3 changes</w:t>
      </w:r>
    </w:p>
    <w:p>
      <w:pPr>
        <w:pStyle w:val="FirstParagraph"/>
      </w:pPr>
      <w:r>
        <w:t xml:space="preserve">An independent reviewer recomputed every round-3 number (all reproduced) and raised the points below; each was checked against the raw outputs before acting.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R3-34</w:t>
            </w:r>
          </w:p>
        </w:tc>
        <w:tc>
          <w:tcPr/>
          <w:p>
            <w:pPr>
              <w:pStyle w:val="Compact"/>
              <w:jc w:val="left"/>
            </w:pPr>
            <w:r>
              <w:t xml:space="preserve">major</w:t>
            </w:r>
          </w:p>
        </w:tc>
        <w:tc>
          <w:tcPr/>
          <w:p>
            <w:pPr>
              <w:pStyle w:val="Compact"/>
              <w:jc w:val="left"/>
            </w:pPr>
            <w:r>
              <w:t xml:space="preserve">“</w:t>
            </w:r>
            <w:r>
              <w:t xml:space="preserve">Identical atom ordering</w:t>
            </w:r>
            <w:r>
              <w:t xml:space="preserve">”</w:t>
            </w:r>
            <w:r>
              <w:t xml:space="preserve"> </w:t>
            </w:r>
            <w:r>
              <w:t xml:space="preserve">does not prove the same vacancy in both cells.</w:t>
            </w:r>
          </w:p>
        </w:tc>
        <w:tc>
          <w:tcPr/>
          <w:p>
            <w:pPr>
              <w:pStyle w:val="Compact"/>
              <w:jc w:val="left"/>
            </w:pPr>
            <w:r>
              <w:t xml:space="preserve">Replaced by the Pr_VO Löwdin evidence (four lowest O populations on four of the five remaining first-shell oxygens; Ti2 and Ti26 among the three highest Ti-3d populations), stated as consistent, not proven; the</w:t>
            </w:r>
            <w:r>
              <w:t xml:space="preserve"> </w:t>
            </w:r>
            <w:r>
              <w:t xml:space="preserve">“</w:t>
            </w:r>
            <w:r>
              <w:t xml:space="preserve">O3 not computed</w:t>
            </w:r>
            <w:r>
              <w:t xml:space="preserve">”</w:t>
            </w:r>
            <w:r>
              <w:t xml:space="preserve"> </w:t>
            </w:r>
            <w:r>
              <w:t xml:space="preserve">clause removed.</w:t>
            </w:r>
          </w:p>
        </w:tc>
      </w:tr>
      <w:tr>
        <w:tc>
          <w:tcPr/>
          <w:p>
            <w:pPr>
              <w:pStyle w:val="Compact"/>
              <w:jc w:val="left"/>
            </w:pPr>
            <w:r>
              <w:t xml:space="preserve">R3-35</w:t>
            </w:r>
          </w:p>
        </w:tc>
        <w:tc>
          <w:tcPr/>
          <w:p>
            <w:pPr>
              <w:pStyle w:val="Compact"/>
              <w:jc w:val="left"/>
            </w:pPr>
            <w:r>
              <w:t xml:space="preserve">major</w:t>
            </w:r>
          </w:p>
        </w:tc>
        <w:tc>
          <w:tcPr/>
          <w:p>
            <w:pPr>
              <w:pStyle w:val="Compact"/>
              <w:jc w:val="left"/>
            </w:pPr>
            <w:r>
              <w:t xml:space="preserve">The Rb_VO cell kept a mirror plane (2 symmetry operations; verified), so hole states that break it were excluded.</w:t>
            </w:r>
          </w:p>
        </w:tc>
        <w:tc>
          <w:tcPr/>
          <w:p>
            <w:pPr>
              <w:pStyle w:val="Compact"/>
              <w:jc w:val="left"/>
            </w:pPr>
            <w:r>
              <w:t xml:space="preserve">Disclosed in §2.4, §3.6 and Limitation (xiii).</w:t>
            </w:r>
          </w:p>
        </w:tc>
      </w:tr>
      <w:tr>
        <w:tc>
          <w:tcPr/>
          <w:p>
            <w:pPr>
              <w:pStyle w:val="Compact"/>
              <w:jc w:val="left"/>
            </w:pPr>
            <w:r>
              <w:t xml:space="preserve">R3-36</w:t>
            </w:r>
          </w:p>
        </w:tc>
        <w:tc>
          <w:tcPr/>
          <w:p>
            <w:pPr>
              <w:pStyle w:val="Compact"/>
              <w:jc w:val="left"/>
            </w:pPr>
            <w:r>
              <w:t xml:space="preserve">major</w:t>
            </w:r>
          </w:p>
        </w:tc>
        <w:tc>
          <w:tcPr/>
          <w:p>
            <w:pPr>
              <w:pStyle w:val="Compact"/>
              <w:jc w:val="left"/>
            </w:pPr>
            <w:r>
              <w:t xml:space="preserve">“</w:t>
            </w:r>
            <w:r>
              <w:t xml:space="preserve">Rb moves 1.27 Å, so relaxation contributes</w:t>
            </w:r>
            <w:r>
              <w:t xml:space="preserve">”</w:t>
            </w:r>
            <w:r>
              <w:t xml:space="preserve"> </w:t>
            </w:r>
            <w:r>
              <w:t xml:space="preserve">overclaims: the displacement is from the ideal site, and no relaxation energy was computed.</w:t>
            </w:r>
          </w:p>
        </w:tc>
        <w:tc>
          <w:tcPr/>
          <w:p>
            <w:pPr>
              <w:pStyle w:val="Compact"/>
              <w:jc w:val="left"/>
            </w:pPr>
            <w:r>
              <w:t xml:space="preserve">Abstract, §3.1, §3.2, §4.1, §4.3, Conclusions, Highlights and cover letter reworded; Rb–O 2.54 Å vs Shannon sum 2.92 Å noted.</w:t>
            </w:r>
          </w:p>
        </w:tc>
      </w:tr>
      <w:tr>
        <w:tc>
          <w:tcPr/>
          <w:p>
            <w:pPr>
              <w:pStyle w:val="Compact"/>
              <w:jc w:val="left"/>
            </w:pPr>
            <w:r>
              <w:t xml:space="preserve">R3-37</w:t>
            </w:r>
          </w:p>
        </w:tc>
        <w:tc>
          <w:tcPr/>
          <w:p>
            <w:pPr>
              <w:pStyle w:val="Compact"/>
              <w:jc w:val="left"/>
            </w:pPr>
            <w:r>
              <w:t xml:space="preserve">major</w:t>
            </w:r>
          </w:p>
        </w:tc>
        <w:tc>
          <w:tcPr/>
          <w:p>
            <w:pPr>
              <w:pStyle w:val="Compact"/>
              <w:jc w:val="left"/>
            </w:pPr>
            <w:r>
              <w:t xml:space="preserve">The</w:t>
            </w:r>
            <w:r>
              <w:t xml:space="preserve"> </w:t>
            </w:r>
            <w:r>
              <w:t xml:space="preserve">“</w:t>
            </w:r>
            <w:r>
              <w:t xml:space="preserve">2.4–2.5 eV in both cells</w:t>
            </w:r>
            <w:r>
              <w:t xml:space="preserve">”</w:t>
            </w:r>
            <w:r>
              <w:t xml:space="preserve"> </w:t>
            </w:r>
            <w:r>
              <w:t xml:space="preserve">band separation is broadening-dependent (Rb_VO total DOS gives 2.22 eV).</w:t>
            </w:r>
          </w:p>
        </w:tc>
        <w:tc>
          <w:tcPr/>
          <w:p>
            <w:pPr>
              <w:pStyle w:val="Compact"/>
              <w:jc w:val="left"/>
            </w:pPr>
            <w:r>
              <w:t xml:space="preserve">Replaced by the Rb_VO eigenvalue gap (2.87 eV, majority; verified from the NSCF output) and the Pr_VO PDOS separation (2.46 eV) with its caveat.</w:t>
            </w:r>
          </w:p>
        </w:tc>
      </w:tr>
      <w:tr>
        <w:tc>
          <w:tcPr/>
          <w:p>
            <w:pPr>
              <w:pStyle w:val="Compact"/>
              <w:jc w:val="left"/>
            </w:pPr>
            <w:r>
              <w:t xml:space="preserve">R3-38</w:t>
            </w:r>
          </w:p>
        </w:tc>
        <w:tc>
          <w:tcPr/>
          <w:p>
            <w:pPr>
              <w:pStyle w:val="Compact"/>
              <w:jc w:val="left"/>
            </w:pPr>
            <w:r>
              <w:t xml:space="preserve">major</w:t>
            </w:r>
          </w:p>
        </w:tc>
        <w:tc>
          <w:tcPr/>
          <w:p>
            <w:pPr>
              <w:pStyle w:val="Compact"/>
              <w:jc w:val="left"/>
            </w:pPr>
            <w:r>
              <w:t xml:space="preserve">“</w:t>
            </w:r>
            <w:r>
              <w:t xml:space="preserve">Production solution with the spins interchanged</w:t>
            </w:r>
            <w:r>
              <w:t xml:space="preserve">”</w:t>
            </w:r>
            <w:r>
              <w:t xml:space="preserve"> </w:t>
            </w:r>
            <w:r>
              <w:t xml:space="preserve">not established.</w:t>
            </w:r>
          </w:p>
        </w:tc>
        <w:tc>
          <w:tcPr/>
          <w:p>
            <w:pPr>
              <w:pStyle w:val="Compact"/>
              <w:jc w:val="left"/>
            </w:pPr>
            <w:r>
              <w:t xml:space="preserve">Softened: Figure 4 taken to represent both near-degenerate solutions; AUTHOR ACTION for E</w:t>
            </w:r>
            <w:r>
              <w:rPr>
                <w:vertAlign w:val="subscript"/>
              </w:rPr>
              <w:t xml:space="preserve">tot</w:t>
            </w:r>
            <w:r>
              <w:t xml:space="preserve">, m, m</w:t>
            </w:r>
            <w:r>
              <w:rPr>
                <w:vertAlign w:val="subscript"/>
              </w:rPr>
              <w:t xml:space="preserve">abs</w:t>
            </w:r>
            <w:r>
              <w:t xml:space="preserve"> </w:t>
            </w:r>
            <w:r>
              <w:t xml:space="preserve">of the PDOS SCF. Degauss of production runs marked</w:t>
            </w:r>
            <w:r>
              <w:t xml:space="preserve"> </w:t>
            </w:r>
            <w:r>
              <w:t xml:space="preserve">“</w:t>
            </w:r>
            <w:r>
              <w:t xml:space="preserve">not established</w:t>
            </w:r>
            <w:r>
              <w:t xml:space="preserve">”</w:t>
            </w:r>
            <w:r>
              <w:t xml:space="preserve"> </w:t>
            </w:r>
            <w:r>
              <w:t xml:space="preserve">(the 0.01 Ry PDOS SCF reproduces the production E</w:t>
            </w:r>
            <w:r>
              <w:rPr>
                <w:vertAlign w:val="subscript"/>
              </w:rPr>
              <w:t xml:space="preserve">F</w:t>
            </w:r>
            <w:r>
              <w:t xml:space="preserve">).</w:t>
            </w:r>
          </w:p>
        </w:tc>
      </w:tr>
      <w:tr>
        <w:tc>
          <w:tcPr/>
          <w:p>
            <w:pPr>
              <w:pStyle w:val="Compact"/>
              <w:jc w:val="left"/>
            </w:pPr>
            <w:r>
              <w:t xml:space="preserve">R3-39</w:t>
            </w:r>
          </w:p>
        </w:tc>
        <w:tc>
          <w:tcPr/>
          <w:p>
            <w:pPr>
              <w:pStyle w:val="Compact"/>
              <w:jc w:val="left"/>
            </w:pPr>
            <w:r>
              <w:t xml:space="preserve">major</w:t>
            </w:r>
          </w:p>
        </w:tc>
        <w:tc>
          <w:tcPr/>
          <w:p>
            <w:pPr>
              <w:pStyle w:val="Compact"/>
              <w:jc w:val="left"/>
            </w:pPr>
            <w:r>
              <w:t xml:space="preserve">Pr_VO equal spin channels / zero Löwdin moments are by construction from the m = 0 density.</w:t>
            </w:r>
          </w:p>
        </w:tc>
        <w:tc>
          <w:tcPr/>
          <w:p>
            <w:pPr>
              <w:pStyle w:val="Compact"/>
              <w:jc w:val="left"/>
            </w:pPr>
            <w:r>
              <w:t xml:space="preserve">Stated as such; no longer offered as evidence.</w:t>
            </w:r>
          </w:p>
        </w:tc>
      </w:tr>
      <w:tr>
        <w:tc>
          <w:tcPr/>
          <w:p>
            <w:pPr>
              <w:pStyle w:val="Compact"/>
              <w:jc w:val="left"/>
            </w:pPr>
            <w:r>
              <w:t xml:space="preserve">R3-40</w:t>
            </w:r>
          </w:p>
        </w:tc>
        <w:tc>
          <w:tcPr/>
          <w:p>
            <w:pPr>
              <w:pStyle w:val="Compact"/>
              <w:jc w:val="left"/>
            </w:pPr>
            <w:r>
              <w:t xml:space="preserve">major</w:t>
            </w:r>
          </w:p>
        </w:tc>
        <w:tc>
          <w:tcPr/>
          <w:p>
            <w:pPr>
              <w:pStyle w:val="Compact"/>
              <w:jc w:val="left"/>
            </w:pPr>
            <w:r>
              <w:t xml:space="preserve">Figure 1 drew Ti26 at the wrong periodic image (vacancy appeared to have one Ti neighbour); arrow threshold not stated.</w:t>
            </w:r>
          </w:p>
        </w:tc>
        <w:tc>
          <w:tcPr/>
          <w:p>
            <w:pPr>
              <w:pStyle w:val="Compact"/>
              <w:jc w:val="left"/>
            </w:pPr>
            <w:r>
              <w:t xml:space="preserve">Image choice now made on ideal coordinates about the dopant–vacancy midpoint; caption states the 0.2 Å threshold.</w:t>
            </w:r>
          </w:p>
        </w:tc>
      </w:tr>
      <w:tr>
        <w:tc>
          <w:tcPr/>
          <w:p>
            <w:pPr>
              <w:pStyle w:val="Compact"/>
              <w:jc w:val="left"/>
            </w:pPr>
            <w:r>
              <w:t xml:space="preserve">R3-41</w:t>
            </w:r>
          </w:p>
        </w:tc>
        <w:tc>
          <w:tcPr/>
          <w:p>
            <w:pPr>
              <w:pStyle w:val="Compact"/>
              <w:jc w:val="left"/>
            </w:pPr>
            <w:r>
              <w:t xml:space="preserve">minor</w:t>
            </w:r>
          </w:p>
        </w:tc>
        <w:tc>
          <w:tcPr/>
          <w:p>
            <w:pPr>
              <w:pStyle w:val="Compact"/>
              <w:jc w:val="left"/>
            </w:pPr>
            <w:r>
              <w:t xml:space="preserve">Löwdin Ti polarisation accounts for essentially all of the m</w:t>
            </w:r>
            <w:r>
              <w:rPr>
                <w:vertAlign w:val="subscript"/>
              </w:rPr>
              <w:t xml:space="preserve">abs</w:t>
            </w:r>
            <w:r>
              <w:t xml:space="preserve"> </w:t>
            </w:r>
            <w:r>
              <w:t xml:space="preserve">−</w:t>
            </w:r>
          </w:p>
        </w:tc>
        <w:tc>
          <w:tcPr/>
          <w:p>
            <w:pPr>
              <w:pStyle w:val="Compact"/>
              <w:jc w:val="left"/>
            </w:pPr>
            <w:r>
              <w:t xml:space="preserve">m</w:t>
            </w:r>
          </w:p>
        </w:tc>
      </w:tr>
      <w:tr>
        <w:tc>
          <w:tcPr/>
          <w:p>
            <w:pPr>
              <w:pStyle w:val="Compact"/>
              <w:jc w:val="left"/>
            </w:pPr>
            <w:r>
              <w:t xml:space="preserve">R3-42</w:t>
            </w:r>
          </w:p>
        </w:tc>
        <w:tc>
          <w:tcPr/>
          <w:p>
            <w:pPr>
              <w:pStyle w:val="Compact"/>
              <w:jc w:val="left"/>
            </w:pPr>
            <w:r>
              <w:t xml:space="preserve">minor</w:t>
            </w:r>
          </w:p>
        </w:tc>
        <w:tc>
          <w:tcPr/>
          <w:p>
            <w:pPr>
              <w:pStyle w:val="Compact"/>
              <w:jc w:val="left"/>
            </w:pPr>
            <w:r>
              <w:t xml:space="preserve">The 0.038 eV from-scratch offset equals ΔΔE; D3 offset origin unproven.</w:t>
            </w:r>
          </w:p>
        </w:tc>
        <w:tc>
          <w:tcPr/>
          <w:p>
            <w:pPr>
              <w:pStyle w:val="Compact"/>
              <w:jc w:val="left"/>
            </w:pPr>
            <w:r>
              <w:t xml:space="preserve">Both stated.</w:t>
            </w:r>
          </w:p>
        </w:tc>
      </w:tr>
      <w:tr>
        <w:tc>
          <w:tcPr/>
          <w:p>
            <w:pPr>
              <w:pStyle w:val="Compact"/>
              <w:jc w:val="left"/>
            </w:pPr>
            <w:r>
              <w:t xml:space="preserve">R3-43</w:t>
            </w:r>
          </w:p>
        </w:tc>
        <w:tc>
          <w:tcPr/>
          <w:p>
            <w:pPr>
              <w:pStyle w:val="Compact"/>
              <w:jc w:val="left"/>
            </w:pPr>
            <w:r>
              <w:t xml:space="preserve">minor</w:t>
            </w:r>
          </w:p>
        </w:tc>
        <w:tc>
          <w:tcPr/>
          <w:p>
            <w:pPr>
              <w:pStyle w:val="Compact"/>
              <w:jc w:val="left"/>
            </w:pPr>
            <w:r>
              <w:t xml:space="preserve">Broadened state counts (0.70, 0.79) are broadening-dependent; the hole is one band 0.04–0.13 eV above E</w:t>
            </w:r>
            <w:r>
              <w:rPr>
                <w:vertAlign w:val="subscript"/>
              </w:rPr>
              <w:t xml:space="preserve">F</w:t>
            </w:r>
            <w:r>
              <w:t xml:space="preserve"> </w:t>
            </w:r>
            <w:r>
              <w:t xml:space="preserve">(verified).</w:t>
            </w:r>
          </w:p>
        </w:tc>
        <w:tc>
          <w:tcPr/>
          <w:p>
            <w:pPr>
              <w:pStyle w:val="Compact"/>
              <w:jc w:val="left"/>
            </w:pPr>
            <w:r>
              <w:t xml:space="preserve">Stated in text and caption.</w:t>
            </w:r>
          </w:p>
        </w:tc>
      </w:tr>
      <w:tr>
        <w:tc>
          <w:tcPr/>
          <w:p>
            <w:pPr>
              <w:pStyle w:val="Compact"/>
              <w:jc w:val="left"/>
            </w:pPr>
            <w:r>
              <w:t xml:space="preserve">R3-44</w:t>
            </w:r>
          </w:p>
        </w:tc>
        <w:tc>
          <w:tcPr/>
          <w:p>
            <w:pPr>
              <w:pStyle w:val="Compact"/>
              <w:jc w:val="left"/>
            </w:pPr>
            <w:r>
              <w:t xml:space="preserve">minor</w:t>
            </w:r>
          </w:p>
        </w:tc>
        <w:tc>
          <w:tcPr/>
          <w:p>
            <w:pPr>
              <w:pStyle w:val="Compact"/>
              <w:jc w:val="left"/>
            </w:pPr>
            <w:r>
              <w:t xml:space="preserve">NSCF reported 33–37 unconverged eigenvalues per k-point (verified).</w:t>
            </w:r>
          </w:p>
        </w:tc>
        <w:tc>
          <w:tcPr/>
          <w:p>
            <w:pPr>
              <w:pStyle w:val="Compact"/>
              <w:jc w:val="left"/>
            </w:pPr>
            <w:r>
              <w:t xml:space="preserve">Disclosed; AUTHOR ACTION to repeat with diago_full_acc.</w:t>
            </w:r>
          </w:p>
        </w:tc>
      </w:tr>
      <w:tr>
        <w:tc>
          <w:tcPr/>
          <w:p>
            <w:pPr>
              <w:pStyle w:val="Compact"/>
              <w:jc w:val="left"/>
            </w:pPr>
            <w:r>
              <w:t xml:space="preserve">R3-45</w:t>
            </w:r>
          </w:p>
        </w:tc>
        <w:tc>
          <w:tcPr/>
          <w:p>
            <w:pPr>
              <w:pStyle w:val="Compact"/>
              <w:jc w:val="left"/>
            </w:pPr>
            <w:r>
              <w:t xml:space="preserve">minor</w:t>
            </w:r>
          </w:p>
        </w:tc>
        <w:tc>
          <w:tcPr/>
          <w:p>
            <w:pPr>
              <w:pStyle w:val="Compact"/>
              <w:jc w:val="left"/>
            </w:pPr>
            <w:r>
              <w:t xml:space="preserve">“</w:t>
            </w:r>
            <w:r>
              <w:t xml:space="preserve">O17</w:t>
            </w:r>
            <w:r>
              <w:t xml:space="preserve">”</w:t>
            </w:r>
            <w:r>
              <w:t xml:space="preserve"> </w:t>
            </w:r>
            <w:r>
              <w:t xml:space="preserve">used for two different atoms.</w:t>
            </w:r>
          </w:p>
        </w:tc>
        <w:tc>
          <w:tcPr/>
          <w:p>
            <w:pPr>
              <w:pStyle w:val="Compact"/>
              <w:jc w:val="left"/>
            </w:pPr>
            <w:r>
              <w:t xml:space="preserve">Alternative sites renamed</w:t>
            </w:r>
            <w:r>
              <w:t xml:space="preserve"> </w:t>
            </w:r>
            <w:r>
              <w:t xml:space="preserve">“</w:t>
            </w:r>
            <w:r>
              <w:t xml:space="preserve">site 1/7/17 of the orchestration input</w:t>
            </w:r>
            <w:r>
              <w:t xml:space="preserve">”</w:t>
            </w:r>
            <w:r>
              <w:t xml:space="preserve">.</w:t>
            </w:r>
          </w:p>
        </w:tc>
      </w:tr>
      <w:tr>
        <w:tc>
          <w:tcPr/>
          <w:p>
            <w:pPr>
              <w:pStyle w:val="Compact"/>
              <w:jc w:val="left"/>
            </w:pPr>
            <w:r>
              <w:t xml:space="preserve">R3-46</w:t>
            </w:r>
          </w:p>
        </w:tc>
        <w:tc>
          <w:tcPr/>
          <w:p>
            <w:pPr>
              <w:pStyle w:val="Compact"/>
              <w:jc w:val="left"/>
            </w:pPr>
            <w:r>
              <w:t xml:space="preserve">minor</w:t>
            </w:r>
          </w:p>
        </w:tc>
        <w:tc>
          <w:tcPr/>
          <w:p>
            <w:pPr>
              <w:pStyle w:val="Compact"/>
              <w:jc w:val="left"/>
            </w:pPr>
            <w:r>
              <w:t xml:space="preserve">Small numbers: O8–vacancy 3.39 Å; Rb E</w:t>
            </w:r>
            <w:r>
              <w:rPr>
                <w:vertAlign w:val="subscript"/>
              </w:rPr>
              <w:t xml:space="preserve">F</w:t>
            </w:r>
            <w:r>
              <w:t xml:space="preserve"> </w:t>
            </w:r>
            <w:r>
              <w:t xml:space="preserve">shift −0.75 eV; Table S2a pristine offset; ledger run cross-references; Table S1 footnote; SI table order; Table S9 footnote b; stale Bader marker; revision note; Table S4 note;</w:t>
            </w:r>
            <w:r>
              <w:t xml:space="preserve"> </w:t>
            </w:r>
            <w:r>
              <w:t xml:space="preserve">“</w:t>
            </w:r>
            <w:r>
              <w:t xml:space="preserve">Ti</w:t>
            </w:r>
            <w:r>
              <w:rPr>
                <w:vertAlign w:val="superscript"/>
              </w:rPr>
              <w:t xml:space="preserve">3+</w:t>
            </w:r>
            <w:r>
              <w:t xml:space="preserve"> </w:t>
            </w:r>
            <w:r>
              <w:t xml:space="preserve">character</w:t>
            </w:r>
            <w:r>
              <w:t xml:space="preserve">”</w:t>
            </w:r>
            <w:r>
              <w:t xml:space="preserve">; Torres wording; Limitation (v); pw.x condition wording; Introduction Chen sentence; grammar.</w:t>
            </w:r>
          </w:p>
        </w:tc>
        <w:tc>
          <w:tcPr/>
          <w:p>
            <w:pPr>
              <w:pStyle w:val="Compact"/>
              <w:jc w:val="left"/>
            </w:pPr>
            <w:r>
              <w:t xml:space="preserve">All corrected.</w:t>
            </w:r>
          </w:p>
        </w:tc>
      </w:tr>
    </w:tbl>
    <w:bookmarkEnd w:id="25"/>
    <w:bookmarkEnd w:id="26"/>
    <w:bookmarkStart w:id="27" w:name="X09c9e44968ee40efa3ac33bdebdef5ecde8083f"/>
    <w:p>
      <w:pPr>
        <w:pStyle w:val="Heading2"/>
      </w:pPr>
      <w:r>
        <w:t xml:space="preserve">Round 4: automated pre-submission review (paperreview.ai, 4 October 2026)</w:t>
      </w:r>
    </w:p>
    <w:p>
      <w:pPr>
        <w:pStyle w:val="FirstParagraph"/>
      </w:pPr>
      <w:r>
        <w:t xml:space="preserve">The authors obtained an automated review of v4. Each point is answered in</w:t>
      </w:r>
      <w:r>
        <w:t xml:space="preserve"> </w:t>
      </w:r>
      <w:r>
        <w:rPr>
          <w:rStyle w:val="VerbatimChar"/>
        </w:rPr>
        <w:t xml:space="preserve">Response_to_AI_PreSubmission_Review.md</w:t>
      </w:r>
      <w:r>
        <w:t xml:space="preserve">. The changes to the manuscript, SI and package are logged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Review item</w:t>
            </w:r>
          </w:p>
        </w:tc>
        <w:tc>
          <w:tcPr/>
          <w:p>
            <w:pPr>
              <w:pStyle w:val="Compact"/>
              <w:jc w:val="left"/>
            </w:pPr>
            <w:r>
              <w:t xml:space="preserve">Action</w:t>
            </w:r>
          </w:p>
        </w:tc>
      </w:tr>
      <w:tr>
        <w:tc>
          <w:tcPr/>
          <w:p>
            <w:pPr>
              <w:pStyle w:val="Compact"/>
              <w:jc w:val="left"/>
            </w:pPr>
            <w:r>
              <w:t xml:space="preserve">R4-01</w:t>
            </w:r>
          </w:p>
        </w:tc>
        <w:tc>
          <w:tcPr/>
          <w:p>
            <w:pPr>
              <w:pStyle w:val="Compact"/>
              <w:jc w:val="left"/>
            </w:pPr>
            <w:r>
              <w:t xml:space="preserve">W3, Q4: U(O-2p) uncalibrated; PWL route not mentioned</w:t>
            </w:r>
          </w:p>
        </w:tc>
        <w:tc>
          <w:tcPr/>
          <w:p>
            <w:pPr>
              <w:pStyle w:val="Compact"/>
              <w:jc w:val="left"/>
            </w:pPr>
            <w:r>
              <w:t xml:space="preserve">§2.2 cites Falletta &amp; Pasquarello 2022 (arXiv:2209.11341) for U from piecewise linearity on polaronic states and states that no such calibration was done. Linear-response hp.x inputs prepared (</w:t>
            </w:r>
            <w:r>
              <w:rPr>
                <w:rStyle w:val="VerbatimChar"/>
              </w:rPr>
              <w:t xml:space="preserve">revision_calculations/</w:t>
            </w:r>
            <w:r>
              <w:t xml:space="preserve">, job 9).</w:t>
            </w:r>
          </w:p>
        </w:tc>
      </w:tr>
      <w:tr>
        <w:tc>
          <w:tcPr/>
          <w:p>
            <w:pPr>
              <w:pStyle w:val="Compact"/>
              <w:jc w:val="left"/>
            </w:pPr>
            <w:r>
              <w:t xml:space="preserve">R4-02</w:t>
            </w:r>
          </w:p>
        </w:tc>
        <w:tc>
          <w:tcPr/>
          <w:p>
            <w:pPr>
              <w:pStyle w:val="Compact"/>
              <w:jc w:val="left"/>
            </w:pPr>
            <w:r>
              <w:t xml:space="preserve">Detailed comments: pristine V</w:t>
            </w:r>
            <w:r>
              <w:rPr>
                <w:vertAlign w:val="subscript"/>
              </w:rPr>
              <w:t xml:space="preserve">O</w:t>
            </w:r>
            <w:r>
              <w:t xml:space="preserve"> </w:t>
            </w:r>
            <w:r>
              <w:t xml:space="preserve">non-magnetic vs high-level theory</w:t>
            </w:r>
          </w:p>
        </w:tc>
        <w:tc>
          <w:tcPr/>
          <w:p>
            <w:pPr>
              <w:pStyle w:val="Compact"/>
              <w:jc w:val="left"/>
            </w:pPr>
            <w:r>
              <w:t xml:space="preserve">§3.3 cites Chen et al. 2020 (arXiv:2011.03269): embedded coupled-cluster puts the triplet 1.4 eV above a closed-shell colour-centre singlet.</w:t>
            </w:r>
          </w:p>
        </w:tc>
      </w:tr>
      <w:tr>
        <w:tc>
          <w:tcPr/>
          <w:p>
            <w:pPr>
              <w:pStyle w:val="Compact"/>
              <w:jc w:val="left"/>
            </w:pPr>
            <w:r>
              <w:t xml:space="preserve">R4-03</w:t>
            </w:r>
          </w:p>
        </w:tc>
        <w:tc>
          <w:tcPr/>
          <w:p>
            <w:pPr>
              <w:pStyle w:val="Compact"/>
              <w:jc w:val="left"/>
            </w:pPr>
            <w:r>
              <w:t xml:space="preserve">Related work: O-centred hole polarons in anatase</w:t>
            </w:r>
          </w:p>
        </w:tc>
        <w:tc>
          <w:tcPr/>
          <w:p>
            <w:pPr>
              <w:pStyle w:val="Compact"/>
              <w:jc w:val="left"/>
            </w:pPr>
            <w:r>
              <w:t xml:space="preserve">§3.6 cites McBride et al. 2024 (arXiv:2410.21452; anatase benchmark: stable polaron, α = 0.15) and Ahart et al. 2026 (arXiv:2606.01763; 78% of the spin on one O, HSE 19%). Both read in full; the rutile focus of McBride et al. noted in the response.</w:t>
            </w:r>
          </w:p>
        </w:tc>
      </w:tr>
      <w:tr>
        <w:tc>
          <w:tcPr/>
          <w:p>
            <w:pPr>
              <w:pStyle w:val="Compact"/>
              <w:jc w:val="left"/>
            </w:pPr>
            <w:r>
              <w:t xml:space="preserve">R4-04</w:t>
            </w:r>
          </w:p>
        </w:tc>
        <w:tc>
          <w:tcPr/>
          <w:p>
            <w:pPr>
              <w:pStyle w:val="Compact"/>
              <w:jc w:val="left"/>
            </w:pPr>
            <w:r>
              <w:t xml:space="preserve">W3, Q9: HSE06 check inconsistent</w:t>
            </w:r>
          </w:p>
        </w:tc>
        <w:tc>
          <w:tcPr/>
          <w:p>
            <w:pPr>
              <w:pStyle w:val="Compact"/>
              <w:jc w:val="left"/>
            </w:pPr>
            <w:r>
              <w:t xml:space="preserve">Total-energy and Fermi-energy comparison removed from §3.6; Methods §2.8(iii) note now says to delete the hybrid item if the input cannot be recovered.</w:t>
            </w:r>
          </w:p>
        </w:tc>
      </w:tr>
      <w:tr>
        <w:tc>
          <w:tcPr/>
          <w:p>
            <w:pPr>
              <w:pStyle w:val="Compact"/>
              <w:jc w:val="left"/>
            </w:pPr>
            <w:r>
              <w:t xml:space="preserve">R4-05</w:t>
            </w:r>
          </w:p>
        </w:tc>
        <w:tc>
          <w:tcPr/>
          <w:p>
            <w:pPr>
              <w:pStyle w:val="Compact"/>
              <w:jc w:val="left"/>
            </w:pPr>
            <w:r>
              <w:t xml:space="preserve">W10, Q5: dopant–vacancy binding</w:t>
            </w:r>
          </w:p>
        </w:tc>
        <w:tc>
          <w:tcPr/>
          <w:p>
            <w:pPr>
              <w:pStyle w:val="Compact"/>
              <w:jc w:val="left"/>
            </w:pPr>
            <w:r>
              <w:t xml:space="preserve">§3.7 reports the in-cell Pr–V</w:t>
            </w:r>
            <w:r>
              <w:rPr>
                <w:vertAlign w:val="subscript"/>
              </w:rPr>
              <w:t xml:space="preserve">O</w:t>
            </w:r>
            <w:r>
              <w:t xml:space="preserve"> </w:t>
            </w:r>
            <w:r>
              <w:t xml:space="preserve">association energy, 1.43 eV (0.78 eV from the second shell), labelled not a dilute-limit value. Recomputed from Table S4 (2.72 − 1.29; 2.07 − 1.29).</w:t>
            </w:r>
          </w:p>
        </w:tc>
      </w:tr>
      <w:tr>
        <w:tc>
          <w:tcPr/>
          <w:p>
            <w:pPr>
              <w:pStyle w:val="Compact"/>
              <w:jc w:val="left"/>
            </w:pPr>
            <w:r>
              <w:t xml:space="preserve">R4-06</w:t>
            </w:r>
          </w:p>
        </w:tc>
        <w:tc>
          <w:tcPr/>
          <w:p>
            <w:pPr>
              <w:pStyle w:val="Compact"/>
              <w:jc w:val="left"/>
            </w:pPr>
            <w:r>
              <w:t xml:space="preserve">Detailed comments: error bars and propagation</w:t>
            </w:r>
          </w:p>
        </w:tc>
        <w:tc>
          <w:tcPr/>
          <w:p>
            <w:pPr>
              <w:pStyle w:val="Compact"/>
              <w:jc w:val="left"/>
            </w:pPr>
            <w:r>
              <w:t xml:space="preserve">New §3.7 paragraph</w:t>
            </w:r>
            <w:r>
              <w:t xml:space="preserve"> </w:t>
            </w:r>
            <w:r>
              <w:t xml:space="preserve">“</w:t>
            </w:r>
            <w:r>
              <w:t xml:space="preserve">Uncertainty of the main results</w:t>
            </w:r>
            <w:r>
              <w:t xml:space="preserve">”</w:t>
            </w:r>
            <w:r>
              <w:t xml:space="preserve">, with an AUTHOR ACTION pointing to jobs 1, 3 and 4.</w:t>
            </w:r>
          </w:p>
        </w:tc>
      </w:tr>
      <w:tr>
        <w:tc>
          <w:tcPr/>
          <w:p>
            <w:pPr>
              <w:pStyle w:val="Compact"/>
              <w:jc w:val="left"/>
            </w:pPr>
            <w:r>
              <w:t xml:space="preserve">R4-07</w:t>
            </w:r>
          </w:p>
        </w:tc>
        <w:tc>
          <w:tcPr/>
          <w:p>
            <w:pPr>
              <w:pStyle w:val="Compact"/>
              <w:jc w:val="left"/>
            </w:pPr>
            <w:r>
              <w:t xml:space="preserve">W5, Q6, Q11: chemical potentials, Rb configurations, competing phases</w:t>
            </w:r>
          </w:p>
        </w:tc>
        <w:tc>
          <w:tcPr/>
          <w:p>
            <w:pPr>
              <w:pStyle w:val="Compact"/>
              <w:jc w:val="left"/>
            </w:pPr>
            <w:r>
              <w:t xml:space="preserve">§4.2 gives E</w:t>
            </w:r>
            <w:r>
              <w:rPr>
                <w:vertAlign w:val="subscript"/>
              </w:rPr>
              <w:t xml:space="preserve">f</w:t>
            </w:r>
            <w:r>
              <w:t xml:space="preserve">(Pr) = 1.29 eV + Δμ</w:t>
            </w:r>
            <w:r>
              <w:rPr>
                <w:vertAlign w:val="subscript"/>
              </w:rPr>
              <w:t xml:space="preserve">O</w:t>
            </w:r>
            <w:r>
              <w:t xml:space="preserve"> </w:t>
            </w:r>
            <w:r>
              <w:t xml:space="preserve">and says Rb is negative at every μ</w:t>
            </w:r>
            <w:r>
              <w:rPr>
                <w:vertAlign w:val="subscript"/>
              </w:rPr>
              <w:t xml:space="preserve">O</w:t>
            </w:r>
            <w:r>
              <w:t xml:space="preserve"> </w:t>
            </w:r>
            <w:r>
              <w:t xml:space="preserve">where TiO</w:t>
            </w:r>
            <w:r>
              <w:rPr>
                <w:vertAlign w:val="subscript"/>
              </w:rPr>
              <w:t xml:space="preserve">2</w:t>
            </w:r>
            <w:r>
              <w:t xml:space="preserve"> </w:t>
            </w:r>
            <w:r>
              <w:t xml:space="preserve">exists, and that Rb substitution itself was not evaluated. Limitation (ix) adds competing Pr/Rb oxides and O</w:t>
            </w:r>
            <w:r>
              <w:rPr>
                <w:vertAlign w:val="subscript"/>
              </w:rPr>
              <w:t xml:space="preserve">2</w:t>
            </w:r>
            <w:r>
              <w:t xml:space="preserve"> </w:t>
            </w:r>
            <w:r>
              <w:t xml:space="preserve">overbinding; (x) adds Rb interstitials and surface sites.</w:t>
            </w:r>
          </w:p>
        </w:tc>
      </w:tr>
      <w:tr>
        <w:tc>
          <w:tcPr/>
          <w:p>
            <w:pPr>
              <w:pStyle w:val="Compact"/>
              <w:jc w:val="left"/>
            </w:pPr>
            <w:r>
              <w:t xml:space="preserve">R4-08</w:t>
            </w:r>
          </w:p>
        </w:tc>
        <w:tc>
          <w:tcPr/>
          <w:p>
            <w:pPr>
              <w:pStyle w:val="Compact"/>
              <w:jc w:val="left"/>
            </w:pPr>
            <w:r>
              <w:t xml:space="preserve">Grammar</w:t>
            </w:r>
          </w:p>
        </w:tc>
        <w:tc>
          <w:tcPr/>
          <w:p>
            <w:pPr>
              <w:pStyle w:val="Compact"/>
              <w:jc w:val="left"/>
            </w:pPr>
            <w:r>
              <w:t xml:space="preserve">Limitation (ix) comma splice fixed.</w:t>
            </w:r>
          </w:p>
        </w:tc>
      </w:tr>
      <w:tr>
        <w:tc>
          <w:tcPr/>
          <w:p>
            <w:pPr>
              <w:pStyle w:val="Compact"/>
              <w:jc w:val="left"/>
            </w:pPr>
            <w:r>
              <w:t xml:space="preserve">R4-09</w:t>
            </w:r>
          </w:p>
        </w:tc>
        <w:tc>
          <w:tcPr/>
          <w:p>
            <w:pPr>
              <w:pStyle w:val="Compact"/>
              <w:jc w:val="left"/>
            </w:pPr>
            <w:r>
              <w:t xml:space="preserve">W7: revision note and markers visible</w:t>
            </w:r>
          </w:p>
        </w:tc>
        <w:tc>
          <w:tcPr/>
          <w:p>
            <w:pPr>
              <w:pStyle w:val="Compact"/>
              <w:jc w:val="left"/>
            </w:pPr>
            <w:r>
              <w:rPr>
                <w:rStyle w:val="VerbatimChar"/>
              </w:rPr>
              <w:t xml:space="preserve">tools_package.sh</w:t>
            </w:r>
            <w:r>
              <w:t xml:space="preserve"> </w:t>
            </w:r>
            <w:r>
              <w:t xml:space="preserve">builds the journal copies without the manuscript and SI revision notes (verified: 0 left in both .docx).</w:t>
            </w:r>
          </w:p>
        </w:tc>
      </w:tr>
      <w:tr>
        <w:tc>
          <w:tcPr/>
          <w:p>
            <w:pPr>
              <w:pStyle w:val="Compact"/>
              <w:jc w:val="left"/>
            </w:pPr>
            <w:r>
              <w:t xml:space="preserve">R4-10</w:t>
            </w:r>
          </w:p>
        </w:tc>
        <w:tc>
          <w:tcPr/>
          <w:p>
            <w:pPr>
              <w:pStyle w:val="Compact"/>
              <w:jc w:val="left"/>
            </w:pPr>
            <w:r>
              <w:t xml:space="preserve">Reproducibility (found while packaging)</w:t>
            </w:r>
          </w:p>
        </w:tc>
        <w:tc>
          <w:tcPr/>
          <w:p>
            <w:pPr>
              <w:pStyle w:val="Compact"/>
              <w:jc w:val="left"/>
            </w:pPr>
            <w:r>
              <w:t xml:space="preserve">The Zenodo folder shipped the figure data as</w:t>
            </w:r>
            <w:r>
              <w:t xml:space="preserve"> </w:t>
            </w:r>
            <w:r>
              <w:rPr>
                <w:rStyle w:val="VerbatimChar"/>
              </w:rPr>
              <w:t xml:space="preserve">figure_data/</w:t>
            </w:r>
            <w:r>
              <w:t xml:space="preserve"> </w:t>
            </w:r>
            <w:r>
              <w:t xml:space="preserve">while the scripts read</w:t>
            </w:r>
            <w:r>
              <w:t xml:space="preserve"> </w:t>
            </w:r>
            <w:r>
              <w:rPr>
                <w:rStyle w:val="VerbatimChar"/>
              </w:rPr>
              <w:t xml:space="preserve">data/</w:t>
            </w:r>
            <w:r>
              <w:t xml:space="preserve">; renamed, and all four plotting scripts run from a clean copy.</w:t>
            </w:r>
          </w:p>
        </w:tc>
      </w:tr>
      <w:tr>
        <w:tc>
          <w:tcPr/>
          <w:p>
            <w:pPr>
              <w:pStyle w:val="Compact"/>
              <w:jc w:val="left"/>
            </w:pPr>
            <w:r>
              <w:t xml:space="preserve">R4-11</w:t>
            </w:r>
          </w:p>
        </w:tc>
        <w:tc>
          <w:tcPr/>
          <w:p>
            <w:pPr>
              <w:pStyle w:val="Compact"/>
              <w:jc w:val="left"/>
            </w:pPr>
            <w:r>
              <w:t xml:space="preserve">Q1–Q3, Q7, Q2, Q4</w:t>
            </w:r>
          </w:p>
        </w:tc>
        <w:tc>
          <w:tcPr/>
          <w:p>
            <w:pPr>
              <w:pStyle w:val="Compact"/>
              <w:jc w:val="left"/>
            </w:pPr>
            <w:r>
              <w:t xml:space="preserve">QE inputs, launcher and analysis script for the requested calculations written to</w:t>
            </w:r>
            <w:r>
              <w:t xml:space="preserve"> </w:t>
            </w:r>
            <w:r>
              <w:rPr>
                <w:rStyle w:val="VerbatimChar"/>
              </w:rPr>
              <w:t xml:space="preserve">revision_calculations/</w:t>
            </w:r>
            <w:r>
              <w:t xml:space="preserve"> </w:t>
            </w:r>
            <w:r>
              <w:t xml:space="preserve">(jobs 1–10 plus 7b; see its README). Reviewed: the seeded-oxygen species label changed from</w:t>
            </w:r>
            <w:r>
              <w:t xml:space="preserve"> </w:t>
            </w:r>
            <w:r>
              <w:t xml:space="preserve">“</w:t>
            </w:r>
            <w:r>
              <w:t xml:space="preserve">Oh</w:t>
            </w:r>
            <w:r>
              <w:t xml:space="preserve">”</w:t>
            </w:r>
            <w:r>
              <w:t xml:space="preserve"> </w:t>
            </w:r>
            <w:r>
              <w:t xml:space="preserve">to</w:t>
            </w:r>
            <w:r>
              <w:t xml:space="preserve"> </w:t>
            </w:r>
            <w:r>
              <w:t xml:space="preserve">“</w:t>
            </w:r>
            <w:r>
              <w:t xml:space="preserve">O1</w:t>
            </w:r>
            <w:r>
              <w:t xml:space="preserve">”</w:t>
            </w:r>
            <w:r>
              <w:t xml:space="preserve"> </w:t>
            </w:r>
            <w:r>
              <w:t xml:space="preserve">(element symbol plus digit, the documented form). A dry run against stand-in production outputs built 37 inputs; nat, ntyp, species, starting-magnetisation indices and HUBBARD labels are consistent in all of them. Wall times re-based on SI Table S6 (P1: 26 runs, 4–8 days).</w:t>
            </w:r>
          </w:p>
        </w:tc>
      </w:tr>
    </w:tbl>
    <w:p>
      <w:pPr>
        <w:pStyle w:val="BodyText"/>
      </w:pPr>
      <w:r>
        <w:t xml:space="preserve">References: the manuscript now cites 50 entries (four added). Abstract still 248 words. The 26 ledger checks pass. Markers: manuscript 35 AUTHOR ACTION + 1 NEEDS CITATION (one added, R4-06); SI 21.</w:t>
      </w:r>
    </w:p>
    <w:bookmarkEnd w:id="27"/>
    <w:bookmarkStart w:id="28" w:name="Xe65ed3cbc8c9a7e8321589205512fcb6eb55aa3"/>
    <w:p>
      <w:pPr>
        <w:pStyle w:val="Heading2"/>
      </w:pPr>
      <w:r>
        <w:t xml:space="preserve">Round 5: resolution of the remaining author notes (4 October 2026)</w:t>
      </w:r>
    </w:p>
    <w:p>
      <w:pPr>
        <w:pStyle w:val="FirstParagraph"/>
      </w:pPr>
      <w:r>
        <w:t xml:space="preserve">The authors asked that the open notes be resolved directly. Each was either filled from the run spreadsheet, the progress report and the input templates already supplied, or converted into an explicit statement of what was not recorded. One note (Funding) remains, because only the authors can write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Item</w:t>
            </w:r>
          </w:p>
        </w:tc>
        <w:tc>
          <w:tcPr/>
          <w:p>
            <w:pPr>
              <w:pStyle w:val="Compact"/>
              <w:jc w:val="left"/>
            </w:pPr>
            <w:r>
              <w:t xml:space="preserve">Resolution</w:t>
            </w:r>
          </w:p>
        </w:tc>
      </w:tr>
      <w:tr>
        <w:tc>
          <w:tcPr/>
          <w:p>
            <w:pPr>
              <w:pStyle w:val="Compact"/>
              <w:jc w:val="left"/>
            </w:pPr>
            <w:r>
              <w:t xml:space="preserve">R5-01</w:t>
            </w:r>
          </w:p>
        </w:tc>
        <w:tc>
          <w:tcPr/>
          <w:p>
            <w:pPr>
              <w:pStyle w:val="Compact"/>
              <w:jc w:val="left"/>
            </w:pPr>
            <w:r>
              <w:t xml:space="preserve">Was the production Pristine_perfect energy relaxed?</w:t>
            </w:r>
          </w:p>
        </w:tc>
        <w:tc>
          <w:tcPr/>
          <w:p>
            <w:pPr>
              <w:pStyle w:val="Compact"/>
              <w:jc w:val="left"/>
            </w:pPr>
            <w:r>
              <w:t xml:space="preserve">No: the run spreadsheet and the progress report list it as an SCF with F</w:t>
            </w:r>
            <w:r>
              <w:rPr>
                <w:vertAlign w:val="subscript"/>
              </w:rPr>
              <w:t xml:space="preserve">max</w:t>
            </w:r>
            <w:r>
              <w:t xml:space="preserve"> </w:t>
            </w:r>
            <w:r>
              <w:t xml:space="preserve">0.0225 Ry/Bohr, and its logged eV value converts to −4275.01530 Ry. Stated in §2.6; the pristine E</w:t>
            </w:r>
            <w:r>
              <w:rPr>
                <w:vertAlign w:val="subscript"/>
              </w:rPr>
              <w:t xml:space="preserve">f</w:t>
            </w:r>
            <w:r>
              <w:t xml:space="preserve"> </w:t>
            </w:r>
            <w:r>
              <w:t xml:space="preserve">and the two reductions are now labelled lower bounds (Abstract, Table 2 footnote b, §3.2, §4.1, §4.2, Limitation (iv), Conclusions, Highlights, cover letter, graphical abstract). Job 0 added to</w:t>
            </w:r>
            <w:r>
              <w:t xml:space="preserve"> </w:t>
            </w:r>
            <w:r>
              <w:rPr>
                <w:rStyle w:val="VerbatimChar"/>
              </w:rPr>
              <w:t xml:space="preserve">revision_calculations/</w:t>
            </w:r>
            <w:r>
              <w:t xml:space="preserve"> </w:t>
            </w:r>
            <w:r>
              <w:t xml:space="preserve">(relaxation of the cell).</w:t>
            </w:r>
          </w:p>
        </w:tc>
      </w:tr>
      <w:tr>
        <w:tc>
          <w:tcPr/>
          <w:p>
            <w:pPr>
              <w:pStyle w:val="Compact"/>
              <w:jc w:val="left"/>
            </w:pPr>
            <w:r>
              <w:t xml:space="preserve">R5-02</w:t>
            </w:r>
          </w:p>
        </w:tc>
        <w:tc>
          <w:tcPr/>
          <w:p>
            <w:pPr>
              <w:pStyle w:val="Compact"/>
              <w:jc w:val="left"/>
            </w:pPr>
            <w:r>
              <w:t xml:space="preserve">[NEEDS CITATION] for the 200–1000 lx claim</w:t>
            </w:r>
          </w:p>
        </w:tc>
        <w:tc>
          <w:tcPr/>
          <w:p>
            <w:pPr>
              <w:pStyle w:val="Compact"/>
              <w:jc w:val="left"/>
            </w:pPr>
            <w:r>
              <w:t xml:space="preserve">Pecunia et al. could not be read from this environment (Wiley, Crossref and Semantic Scholar are blocked; Scite, Scholar Gateway and Consensus quotas exhausted; not in Drive). The sentence now makes the general point without the figure: indoor light is orders of magnitude weaker than sunlight, so V</w:t>
            </w:r>
            <w:r>
              <w:rPr>
                <w:vertAlign w:val="subscript"/>
              </w:rPr>
              <w:t xml:space="preserve">oc</w:t>
            </w:r>
            <w:r>
              <w:t xml:space="preserve"> </w:t>
            </w:r>
            <w:r>
              <w:t xml:space="preserve">is sensitive to non-radiative recombination. Pecunia remains cited for indoor PV as a battery replacement.</w:t>
            </w:r>
          </w:p>
        </w:tc>
      </w:tr>
      <w:tr>
        <w:tc>
          <w:tcPr/>
          <w:p>
            <w:pPr>
              <w:pStyle w:val="Compact"/>
              <w:jc w:val="left"/>
            </w:pPr>
            <w:r>
              <w:t xml:space="preserve">R5-03</w:t>
            </w:r>
          </w:p>
        </w:tc>
        <w:tc>
          <w:tcPr/>
          <w:p>
            <w:pPr>
              <w:pStyle w:val="Compact"/>
              <w:jc w:val="left"/>
            </w:pPr>
            <w:r>
              <w:t xml:space="preserve">HSE06 settings</w:t>
            </w:r>
          </w:p>
        </w:tc>
        <w:tc>
          <w:tcPr/>
          <w:p>
            <w:pPr>
              <w:pStyle w:val="Compact"/>
              <w:jc w:val="left"/>
            </w:pPr>
            <w:r>
              <w:t xml:space="preserve">input_dft =</w:t>
            </w:r>
            <w:r>
              <w:t xml:space="preserve"> </w:t>
            </w:r>
            <w:r>
              <w:t xml:space="preserve">‘</w:t>
            </w:r>
            <w:r>
              <w:t xml:space="preserve">hse</w:t>
            </w:r>
            <w:r>
              <w:t xml:space="preserve">’</w:t>
            </w:r>
            <w:r>
              <w:t xml:space="preserve">, exx_fraction = 0.25, screening_parameter = 0.106 Bohr</w:t>
            </w:r>
            <w:r>
              <w:rPr>
                <w:vertAlign w:val="superscript"/>
              </w:rPr>
              <w:t xml:space="preserve">−1</w:t>
            </w:r>
            <w:r>
              <w:t xml:space="preserve"> </w:t>
            </w:r>
            <w:r>
              <w:t xml:space="preserve">and the same PAW datasets are recorded in the run spreadsheet; stated in §2.8(iii), with the reason the hybrid and PBE+U totals are not comparable (no Hubbard term; EXX from pseudo-wavefunctions). The qualitative outcome is kept in §3.6.</w:t>
            </w:r>
          </w:p>
        </w:tc>
      </w:tr>
      <w:tr>
        <w:tc>
          <w:tcPr/>
          <w:p>
            <w:pPr>
              <w:pStyle w:val="Compact"/>
              <w:jc w:val="left"/>
            </w:pPr>
            <w:r>
              <w:t xml:space="preserve">R5-04</w:t>
            </w:r>
          </w:p>
        </w:tc>
        <w:tc>
          <w:tcPr/>
          <w:p>
            <w:pPr>
              <w:pStyle w:val="Compact"/>
              <w:jc w:val="left"/>
            </w:pPr>
            <w:r>
              <w:t xml:space="preserve">Dual-U Rb energies logged in eV</w:t>
            </w:r>
          </w:p>
        </w:tc>
        <w:tc>
          <w:tcPr/>
          <w:p>
            <w:pPr>
              <w:pStyle w:val="Compact"/>
              <w:jc w:val="left"/>
            </w:pPr>
            <w:r>
              <w:t xml:space="preserve">The spreadsheet’s factor (13.605693 eV/Ry) reproduces the four production cells logged in both units to 0.0006 eV; the dual-U energies are converted (−4324.98591 and −4284.02974 Ry) in §3.4, Tables S5 and S9 and the ledger, with two new ledger checks. m</w:t>
            </w:r>
            <w:r>
              <w:rPr>
                <w:vertAlign w:val="subscript"/>
              </w:rPr>
              <w:t xml:space="preserve">abs</w:t>
            </w:r>
            <w:r>
              <w:t xml:space="preserve"> </w:t>
            </w:r>
            <w:r>
              <w:t xml:space="preserve">not recorded.</w:t>
            </w:r>
          </w:p>
        </w:tc>
      </w:tr>
      <w:tr>
        <w:tc>
          <w:tcPr/>
          <w:p>
            <w:pPr>
              <w:pStyle w:val="Compact"/>
              <w:jc w:val="left"/>
            </w:pPr>
            <w:r>
              <w:t xml:space="preserve">R5-05</w:t>
            </w:r>
          </w:p>
        </w:tc>
        <w:tc>
          <w:tcPr/>
          <w:p>
            <w:pPr>
              <w:pStyle w:val="Compact"/>
              <w:jc w:val="left"/>
            </w:pPr>
            <w:r>
              <w:t xml:space="preserve">Bader dopant charges inconsistent with the sum rule</w:t>
            </w:r>
          </w:p>
        </w:tc>
        <w:tc>
          <w:tcPr/>
          <w:p>
            <w:pPr>
              <w:pStyle w:val="Compact"/>
              <w:jc w:val="left"/>
            </w:pPr>
            <w:r>
              <w:t xml:space="preserve">The run-note values (+2.14, +0.82 e) are replaced by the values implied by the recorded totals and sublattice means (+2.04 ± 0.03, +0.87 ± 0.03 e), with the derivation in Table S3; the pp.x density is identified as the valence pseudo-density (plot_num = 0).</w:t>
            </w:r>
          </w:p>
        </w:tc>
      </w:tr>
      <w:tr>
        <w:tc>
          <w:tcPr/>
          <w:p>
            <w:pPr>
              <w:pStyle w:val="Compact"/>
              <w:jc w:val="left"/>
            </w:pPr>
            <w:r>
              <w:t xml:space="preserve">R5-06</w:t>
            </w:r>
          </w:p>
        </w:tc>
        <w:tc>
          <w:tcPr/>
          <w:p>
            <w:pPr>
              <w:pStyle w:val="Compact"/>
              <w:jc w:val="left"/>
            </w:pPr>
            <w:r>
              <w:t xml:space="preserve">Figure S3 (raster-patched interim artwork)</w:t>
            </w:r>
          </w:p>
        </w:tc>
        <w:tc>
          <w:tcPr/>
          <w:p>
            <w:pPr>
              <w:pStyle w:val="Compact"/>
              <w:jc w:val="left"/>
            </w:pPr>
            <w:r>
              <w:t xml:space="preserve">Removed with Section S11; the final forces are in the text and the BFGS histories are in the deposited outputs. The patched files moved to</w:t>
            </w:r>
            <w:r>
              <w:t xml:space="preserve"> </w:t>
            </w:r>
            <w:r>
              <w:rPr>
                <w:rStyle w:val="VerbatimChar"/>
              </w:rPr>
              <w:t xml:space="preserve">figures/superseded/</w:t>
            </w:r>
            <w:r>
              <w:t xml:space="preserve">.</w:t>
            </w:r>
          </w:p>
        </w:tc>
      </w:tr>
      <w:tr>
        <w:tc>
          <w:tcPr/>
          <w:p>
            <w:pPr>
              <w:pStyle w:val="Compact"/>
              <w:jc w:val="left"/>
            </w:pPr>
            <w:r>
              <w:t xml:space="preserve">R5-07</w:t>
            </w:r>
          </w:p>
        </w:tc>
        <w:tc>
          <w:tcPr/>
          <w:p>
            <w:pPr>
              <w:pStyle w:val="Compact"/>
              <w:jc w:val="left"/>
            </w:pPr>
            <w:r>
              <w:t xml:space="preserve">AI declaration</w:t>
            </w:r>
          </w:p>
        </w:tc>
        <w:tc>
          <w:tcPr/>
          <w:p>
            <w:pPr>
              <w:pStyle w:val="Compact"/>
              <w:jc w:val="left"/>
            </w:pPr>
            <w:r>
              <w:t xml:space="preserve">Reworded to the facts: text editing, consistency checks, Python plotting scripts; no image generated or altered.</w:t>
            </w:r>
          </w:p>
        </w:tc>
      </w:tr>
      <w:tr>
        <w:tc>
          <w:tcPr/>
          <w:p>
            <w:pPr>
              <w:pStyle w:val="Compact"/>
              <w:jc w:val="left"/>
            </w:pPr>
            <w:r>
              <w:t xml:space="preserve">R5-08</w:t>
            </w:r>
          </w:p>
        </w:tc>
        <w:tc>
          <w:tcPr/>
          <w:p>
            <w:pPr>
              <w:pStyle w:val="Compact"/>
              <w:jc w:val="left"/>
            </w:pPr>
            <w:r>
              <w:t xml:space="preserve">Data availability</w:t>
            </w:r>
          </w:p>
        </w:tc>
        <w:tc>
          <w:tcPr/>
          <w:p>
            <w:pPr>
              <w:pStyle w:val="Compact"/>
              <w:jc w:val="left"/>
            </w:pPr>
            <w:r>
              <w:t xml:space="preserve">“</w:t>
            </w:r>
            <w:r>
              <w:t xml:space="preserve">Available from the corresponding author on request; deposited at Zenodo with a DOI on acceptance.</w:t>
            </w:r>
            <w:r>
              <w:t xml:space="preserve">”</w:t>
            </w:r>
            <w:r>
              <w:t xml:space="preserve"> </w:t>
            </w:r>
            <w:r>
              <w:t xml:space="preserve">A DOI can replace it if the deposit is made first.</w:t>
            </w:r>
          </w:p>
        </w:tc>
      </w:tr>
      <w:tr>
        <w:tc>
          <w:tcPr/>
          <w:p>
            <w:pPr>
              <w:pStyle w:val="Compact"/>
              <w:jc w:val="left"/>
            </w:pPr>
            <w:r>
              <w:t xml:space="preserve">R5-09</w:t>
            </w:r>
          </w:p>
        </w:tc>
        <w:tc>
          <w:tcPr/>
          <w:p>
            <w:pPr>
              <w:pStyle w:val="Compact"/>
              <w:jc w:val="left"/>
            </w:pPr>
            <w:r>
              <w:t xml:space="preserve">Run 25 identity</w:t>
            </w:r>
          </w:p>
        </w:tc>
        <w:tc>
          <w:tcPr/>
          <w:p>
            <w:pPr>
              <w:pStyle w:val="Compact"/>
              <w:jc w:val="left"/>
            </w:pPr>
            <w:r>
              <w:t xml:space="preserve">Lies 0.114 eV above run 4, consistent with an earlier step of the restarted Pr_VO relaxation; stated under Table S9 with a new ledger check.</w:t>
            </w:r>
          </w:p>
        </w:tc>
      </w:tr>
      <w:tr>
        <w:tc>
          <w:tcPr/>
          <w:p>
            <w:pPr>
              <w:pStyle w:val="Compact"/>
              <w:jc w:val="left"/>
            </w:pPr>
            <w:r>
              <w:t xml:space="preserve">R5-10</w:t>
            </w:r>
          </w:p>
        </w:tc>
        <w:tc>
          <w:tcPr/>
          <w:p>
            <w:pPr>
              <w:pStyle w:val="Compact"/>
              <w:jc w:val="left"/>
            </w:pPr>
            <w:r>
              <w:t xml:space="preserve">Settings not recoverable from the files at hand</w:t>
            </w:r>
          </w:p>
        </w:tc>
        <w:tc>
          <w:tcPr/>
          <w:p>
            <w:pPr>
              <w:pStyle w:val="Compact"/>
              <w:jc w:val="left"/>
            </w:pPr>
            <w:r>
              <w:t xml:space="preserve">Stated as</w:t>
            </w:r>
            <w:r>
              <w:t xml:space="preserve"> </w:t>
            </w:r>
            <w:r>
              <w:t xml:space="preserve">“</w:t>
            </w:r>
            <w:r>
              <w:t xml:space="preserve">not recorded / not extracted / not re-inspected</w:t>
            </w:r>
            <w:r>
              <w:t xml:space="preserve">”</w:t>
            </w:r>
            <w:r>
              <w:t xml:space="preserve">: degauss and etot_conv_thr of the production inputs, −TS terms (with an order-of-magnitude estimate), nosym and magnetisation constraints (absent from templates and run log), vc-relax k-mesh/cut-off/stress, Pr dataset MD5, Pr_VO geometry and vacancy confirmation, Pristine_VO E</w:t>
            </w:r>
            <w:r>
              <w:rPr>
                <w:vertAlign w:val="subscript"/>
              </w:rPr>
              <w:t xml:space="preserve">F</w:t>
            </w:r>
            <w:r>
              <w:t xml:space="preserve"> </w:t>
            </w:r>
            <w:r>
              <w:t xml:space="preserve">and m</w:t>
            </w:r>
            <w:r>
              <w:rPr>
                <w:vertAlign w:val="subscript"/>
              </w:rPr>
              <w:t xml:space="preserve">abs</w:t>
            </w:r>
            <w:r>
              <w:t xml:space="preserve">, m</w:t>
            </w:r>
            <w:r>
              <w:rPr>
                <w:vertAlign w:val="subscript"/>
              </w:rPr>
              <w:t xml:space="preserve">abs</w:t>
            </w:r>
            <w:r>
              <w:t xml:space="preserve"> </w:t>
            </w:r>
            <w:r>
              <w:t xml:space="preserve">at q = +1, occupation numbers, PDOS-SCF total energy, diago_full_acc rerun, wall times.</w:t>
            </w:r>
          </w:p>
        </w:tc>
      </w:tr>
      <w:tr>
        <w:tc>
          <w:tcPr/>
          <w:p>
            <w:pPr>
              <w:pStyle w:val="Compact"/>
              <w:jc w:val="left"/>
            </w:pPr>
            <w:r>
              <w:t xml:space="preserve">R5-11</w:t>
            </w:r>
          </w:p>
        </w:tc>
        <w:tc>
          <w:tcPr/>
          <w:p>
            <w:pPr>
              <w:pStyle w:val="Compact"/>
              <w:jc w:val="left"/>
            </w:pPr>
            <w:r>
              <w:t xml:space="preserve">Notes pointing to optional calculations</w:t>
            </w:r>
          </w:p>
        </w:tc>
        <w:tc>
          <w:tcPr/>
          <w:p>
            <w:pPr>
              <w:pStyle w:val="Compact"/>
              <w:jc w:val="left"/>
            </w:pPr>
            <w:r>
              <w:t xml:space="preserve">Deleted; the corresponding limitation sentences already stand, and the inputs are in</w:t>
            </w:r>
            <w:r>
              <w:t xml:space="preserve"> </w:t>
            </w:r>
            <w:r>
              <w:rPr>
                <w:rStyle w:val="VerbatimChar"/>
              </w:rPr>
              <w:t xml:space="preserve">revision_calculations/</w:t>
            </w:r>
            <w:r>
              <w:t xml:space="preserve">.</w:t>
            </w:r>
          </w:p>
        </w:tc>
      </w:tr>
      <w:tr>
        <w:tc>
          <w:tcPr/>
          <w:p>
            <w:pPr>
              <w:pStyle w:val="Compact"/>
              <w:jc w:val="left"/>
            </w:pPr>
            <w:r>
              <w:t xml:space="preserve">R5-12</w:t>
            </w:r>
          </w:p>
        </w:tc>
        <w:tc>
          <w:tcPr/>
          <w:p>
            <w:pPr>
              <w:pStyle w:val="Compact"/>
              <w:jc w:val="left"/>
            </w:pPr>
            <w:r>
              <w:t xml:space="preserve">Output file names</w:t>
            </w:r>
          </w:p>
        </w:tc>
        <w:tc>
          <w:tcPr/>
          <w:p>
            <w:pPr>
              <w:pStyle w:val="Compact"/>
              <w:jc w:val="left"/>
            </w:pPr>
            <w:r>
              <w:t xml:space="preserve">Those recorded in the run log are listed under Table S9.</w:t>
            </w:r>
          </w:p>
        </w:tc>
      </w:tr>
    </w:tbl>
    <w:p>
      <w:pPr>
        <w:pStyle w:val="BodyText"/>
      </w:pPr>
      <w:r>
        <w:t xml:space="preserve">State after round 5: manuscript 1 AUTHOR ACTION (Funding), 0 NEEDS CITATION; SI 0 (the revision notes, removed at packaging, are not counted). Abstract 250 words. 29 ledger checks pass.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2026-10-04T23:42:19Z</dcterms:created>
  <dcterms:modified xsi:type="dcterms:W3CDTF">2026-10-04T23:42:19Z</dcterms:modified>
</cp:coreProperties>
</file>

<file path=docProps/custom.xml><?xml version="1.0" encoding="utf-8"?>
<Properties xmlns="http://schemas.openxmlformats.org/officeDocument/2006/custom-properties" xmlns:vt="http://schemas.openxmlformats.org/officeDocument/2006/docPropsVTypes"/>
</file>