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and aliovalent substitution is the usual lever for controlling them; trivalent rare-earth and monovalent alkali dopants have, however,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Both substitutions lower the cost of oxygen removal, leaving the Pr cell uphill and the Rb cell downhill; the 5.36 eV Pr–Rb contrast changes by only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The Rb cells carry unpaired spin in every treatment tested, reaching an absolute magnetisation of 2.99 μ</w:t>
      </w:r>
      <w:r>
        <w:rPr>
          <w:vertAlign w:val="subscript"/>
        </w:rPr>
        <w:t xml:space="preserve">B</w:t>
      </w:r>
      <w:r>
        <w:t xml:space="preserve"> </w:t>
      </w:r>
      <w:r>
        <w:t xml:space="preserve">for the +2-charged vacancy cell, consistent with three holes per Rb. With U on Ti-3d only, the Pr cells converge to non-magnetic smeared solutions, but the vacancy-free Pr cell develops an unpaired spin (1.00 μ</w:t>
      </w:r>
      <w:r>
        <w:rPr>
          <w:vertAlign w:val="subscript"/>
        </w:rPr>
        <w:t xml:space="preserve">B</w:t>
      </w:r>
      <w:r>
        <w:t xml:space="preserve">) once an oxygen-2p Hubbard term is added, so its spin state is method dependent. The results are consistent with charge-compensation control of V</w:t>
      </w:r>
      <w:r>
        <w:rPr>
          <w:vertAlign w:val="subscript"/>
        </w:rPr>
        <w:t xml:space="preserve">O</w:t>
      </w:r>
      <w:r>
        <w:t xml:space="preserve"> </w:t>
      </w:r>
      <w:r>
        <w:t xml:space="preserve">energetics in this host;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describe this deficit as accommodated electronically, by rehybridisation at the valence-band edge or by a change of dopant oxidation state [19–23]</w:t>
      </w:r>
      <w:r>
        <w:t xml:space="preserve"> </w:t>
      </w:r>
      <w:r>
        <w:rPr>
          <w:bCs/>
          <w:b/>
        </w:rPr>
        <w:t xml:space="preserve">[AUTHOR ACTION: confirm from the full texts that each of these five studies describes electronic accommodation of the dopant charge; Ahmad et al. is an experimental photoelectrochemistry study of Gd-doped TiO</w:t>
      </w:r>
      <w:r>
        <w:rPr>
          <w:vertAlign w:val="subscript"/>
          <w:bCs/>
          <w:b/>
        </w:rPr>
        <w:t xml:space="preserve">2</w:t>
      </w:r>
      <w:r>
        <w:rPr>
          <w:bCs/>
          <w:b/>
        </w:rPr>
        <w:t xml:space="preserve"> </w:t>
      </w:r>
      <w:r>
        <w:rPr>
          <w:bCs/>
          <w:b/>
        </w:rPr>
        <w:t xml:space="preserve">nanorods and Polliotto et al. concern zirconium titanate, so drop any that do not.]</w:t>
      </w:r>
      <w:r>
        <w:t xml:space="preserve">.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[24] and Gd-doped CeO</w:t>
      </w:r>
      <w:r>
        <w:rPr>
          <w:vertAlign w:val="subscript"/>
        </w:rPr>
        <w:t xml:space="preserve">2</w:t>
      </w:r>
      <w:r>
        <w:t xml:space="preserve"> </w:t>
      </w:r>
      <w:r>
        <w:t xml:space="preserve">[18], and Bahmanrokh et al. proposed a defect-equilibria formalism for Ce-doped anatase in which both channels appear [25]</w:t>
      </w:r>
      <w:r>
        <w:t xml:space="preserve"> </w:t>
      </w:r>
      <w:r>
        <w:rPr>
          <w:bCs/>
          <w:b/>
        </w:rPr>
        <w:t xml:space="preserve">[AUTHOR ACTION: confirm from the full text that both electronic and vacancy compensation appear in that formalism.]</w:t>
      </w:r>
      <w:r>
        <w:t xml:space="preserve">. Pr in particular has been treated at the anatase (101) surface [26] and in the bulk [23], and is an attractive test case, here modelled as trivalent with a 4f-in-core dataset (Section 2.1), because its ionic radius (0.99 Å in six-fold coordination [27])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[28],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[29]: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[30,31] (hardware and wall times in Table S6) using the PBE exchange–correlation functional [32] and projector-augmented-wave (PAW) datasets from PSlibrary 1.0.0 [33]: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w:t>
      </w:r>
      <w:r>
        <w:t xml:space="preserve"> </w:t>
      </w:r>
      <w:r>
        <w:rPr>
          <w:bCs/>
          <w:b/>
        </w:rPr>
        <w:t xml:space="preserve">[AUTHOR ACTION: copy the exact valence configuration from the UPF header into Table 1 and Table S7.]</w:t>
      </w:r>
      <w:r>
        <w:t xml:space="preserve"> </w:t>
      </w:r>
      <w:r>
        <w:t xml:space="preserve">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[34],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Deák et al. note that this value is close to an ab initio determination of U for anatase [35], and it has been used for Er-doped anatase [20] and for anatase (101) defect chemistry [7]; other anatase work uses U = 4.2 eV [13], a value originally fitted for the rutile (110) surface [36], or larger values [14].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texts that Mazierski et al. and Yin et al. used U(Ti-3d) = 3.5 eV and that Deák et al. quote an ab initio anatase value near 3.5 eV.]</w:t>
      </w:r>
      <w:r>
        <w:t xml:space="preserve"> </w:t>
      </w:r>
      <w:r>
        <w:t xml:space="preserve">The DFT+U approach rests on the formulation of Anisimov et al. [37]; linear-response determination of U [38]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in each doped cell is an oxygen atom in the neighbourhood of the dopant site; three alternative sites in the Pr cell are examined in Section 3.7.</w:t>
      </w:r>
      <w:r>
        <w:t xml:space="preserve"> </w:t>
      </w:r>
      <w:r>
        <w:rPr>
          <w:bCs/>
          <w:b/>
        </w:rPr>
        <w:t xml:space="preserve">[AUTHOR ACTION: state the atom index and the relaxed dopant–O distance of the production V</w:t>
      </w:r>
      <w:r>
        <w:rPr>
          <w:vertAlign w:val="subscript"/>
          <w:bCs/>
          <w:b/>
        </w:rPr>
        <w:t xml:space="preserve">O</w:t>
      </w:r>
      <w:r>
        <w:rPr>
          <w:bCs/>
          <w:b/>
        </w:rPr>
        <w:t xml:space="preserve"> </w:t>
      </w:r>
      <w:r>
        <w:rPr>
          <w:bCs/>
          <w:b/>
        </w:rPr>
        <w:t xml:space="preserve">in both cells. The earlier draft stated that the nearest-neighbour oxygen (index O3, 2.17 Å from Pr) was not tested, whereas SI Table S4 describes the production site as the closest oxygen at ≈2.17 Å; reconcile from the input files before any statement about nearest-neighbour preference is made. Also give the relaxed first-shell dopant–O bond lengths for Pr and Rb (six values each) as Table S8; note that 2.17 Å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a choice made in earlier work on larger (108-atom) anatase defect cells only for hybrid-functional calculations [14].</w:t>
      </w:r>
      <w:r>
        <w:t xml:space="preserve"> </w:t>
      </w:r>
      <w:r>
        <w:rPr>
          <w:bCs/>
          <w:b/>
        </w:rPr>
        <w:t xml:space="preserve">[AUTHOR ACTION: confirm this against the published version of Arrigoni and Madsen; their arXiv preprint (1912.07260) uses denser meshes for DFT+U and a Γ-only grid only for the hybrid calculations.]</w:t>
      </w:r>
      <w:r>
        <w:t xml:space="preserve"> </w:t>
      </w:r>
      <w:r>
        <w:t xml:space="preserve">Single-point total energies on the Γ-relaxed geometries were recomputed on a 2×2×2 Monkhorst–Pack mesh for all four doped cells, and the projected densities of states were obtained from non-self-consistent calculations on a 2×2×2 mesh (Supporting Information, Figures S1 and S2);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Production relaxations were started from a small, symmetry-breaking starting magnetisation.</w:t>
      </w:r>
      <w:r>
        <w:t xml:space="preserve"> </w:t>
      </w:r>
      <w:r>
        <w:rPr>
          <w:bCs/>
          <w:b/>
        </w:rPr>
        <w:t xml:space="preserve">[AUTHOR ACTION: state the starting_magnetization value of each species in the production inputs. Quantum ESPRESSO requires a non-zero value for at least one species in an nspin = 2 run, and Section S1 records 0.05 on both species for the pristine V</w:t>
      </w:r>
      <w:r>
        <w:rPr>
          <w:vertAlign w:val="subscript"/>
          <w:bCs/>
          <w:b/>
        </w:rPr>
        <w:t xml:space="preserve">O</w:t>
      </w:r>
      <w:r>
        <w:rPr>
          <w:bCs/>
          <w:b/>
        </w:rPr>
        <w:t xml:space="preserve"> </w:t>
      </w:r>
      <w:r>
        <w:rPr>
          <w:bCs/>
          <w:b/>
        </w:rPr>
        <w:t xml:space="preserve">cell; the earlier wording</w:t>
      </w:r>
      <w:r>
        <w:rPr>
          <w:bCs/>
          <w:b/>
        </w:rPr>
        <w:t xml:space="preserve"> </w:t>
      </w:r>
      <w:r>
        <w:rPr>
          <w:bCs/>
          <w:b/>
        </w:rPr>
        <w:t xml:space="preserve">“</w:t>
      </w:r>
      <w:r>
        <w:rPr>
          <w:bCs/>
          <w:b/>
        </w:rPr>
        <w:t xml:space="preserve">zero magnetisation on all species</w:t>
      </w:r>
      <w:r>
        <w:rPr>
          <w:bCs/>
          <w:b/>
        </w:rPr>
        <w:t xml:space="preserve">”</w:t>
      </w:r>
      <w:r>
        <w:rPr>
          <w:bCs/>
          <w:b/>
        </w:rPr>
        <w:t xml:space="preserve"> </w:t>
      </w:r>
      <w:r>
        <w:rPr>
          <w:bCs/>
          <w:b/>
        </w:rPr>
        <w:t xml:space="preserve">cannot be correct as written.]</w:t>
      </w:r>
      <w:r>
        <w:t xml:space="preserve"> </w:t>
      </w:r>
      <w:r>
        <w:t xml:space="preserve">Because a near-zero start can trap a calculation in a non-magnetic solution,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w:t>
      </w:r>
      <w:r>
        <w:t xml:space="preserve"> </w:t>
      </w:r>
      <w:r>
        <w:rPr>
          <w:bCs/>
          <w:b/>
        </w:rPr>
        <w:t xml:space="preserve">[AUTHOR ACTION: state whether equivalent magnetic-start trials were run for Pristine_perfect, Pristine_VO and Pr_perfect and report their outcomes; if not, say so here.]</w:t>
      </w:r>
      <w:r>
        <w:t xml:space="preserve"> </w:t>
      </w:r>
      <w:r>
        <w:t xml:space="preserve">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[40,41],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[42,43], without three-body terms, following the DFT+U+D3 protocol used for defective anatase by Torres et al. [44];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[45,46].</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lies in the neighbourhood of the dopant in both cells (Section 2.3).</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patch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the panel subtitles of the interim artwork were patched to match this caption; the two panels of the interim artwork show coincident atomic positions, including the dopant first shell, so they cannot both be the relaxed geometries described in this caption and in the artwork title (</w:t>
      </w:r>
      <w:r>
        <w:rPr>
          <w:bCs/>
          <w:b/>
          <w:iCs/>
          <w:i/>
        </w:rPr>
        <w:t xml:space="preserve">“</w:t>
      </w:r>
      <w:r>
        <w:rPr>
          <w:bCs/>
          <w:b/>
          <w:iCs/>
          <w:i/>
        </w:rPr>
        <w:t xml:space="preserve">PBE+U relaxed</w:t>
      </w:r>
      <w:r>
        <w:rPr>
          <w:bCs/>
          <w:b/>
          <w:iCs/>
          <w:i/>
        </w:rPr>
        <w:t xml:space="preserve">”</w:t>
      </w:r>
      <w:r>
        <w:rPr>
          <w:bCs/>
          <w:b/>
          <w:iCs/>
          <w:i/>
        </w:rPr>
        <w:t xml:space="preserve">); regenerate the figure from the relaxed coordinates of each cell and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w:t>
      </w:r>
      <w:r>
        <w:rPr>
          <w:iCs/>
          <w:i/>
        </w:rPr>
        <w:t xml:space="preserve"> </w:t>
      </w:r>
      <w:r>
        <w:rPr>
          <w:bCs/>
          <w:b/>
          <w:iCs/>
          <w:i/>
        </w:rPr>
        <w:t xml:space="preserve">[AUTHOR ACTION: confirm the Rb_VO 2×2×2 run from its output file (Section S4, Table S6); the Rb entry of this column, the +5.39 eV contrast and the 0.04 eV shift quoted in the Abstract and Conclusions all depend on it.]</w:t>
      </w:r>
      <w:r>
        <w:rPr>
          <w:iCs/>
          <w:i/>
        </w:rPr>
        <w:t xml:space="preserve"> </w:t>
      </w:r>
      <w:r>
        <w:rPr>
          <w:iCs/>
          <w:i/>
        </w:rPr>
        <w:t xml:space="preserve">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4.0–5.0 eV range reported for the neutral bulk vacancy in anatase with DFT+U [14] and below the 5.3–5.5 eV obtained with HSE06 at the oxygen-rich limit [35,47]</w:t>
      </w:r>
      <w:r>
        <w:t xml:space="preserve"> </w:t>
      </w:r>
      <w:r>
        <w:rPr>
          <w:bCs/>
          <w:b/>
        </w:rPr>
        <w:t xml:space="preserve">[NEEDS CITATION: the bulk-anatase hybrid-functional V</w:t>
      </w:r>
      <w:r>
        <w:rPr>
          <w:vertAlign w:val="subscript"/>
          <w:bCs/>
          <w:b/>
        </w:rPr>
        <w:t xml:space="preserve">O</w:t>
      </w:r>
      <w:r>
        <w:rPr>
          <w:bCs/>
          <w:b/>
        </w:rPr>
        <w:t xml:space="preserve"> </w:t>
      </w:r>
      <w:r>
        <w:rPr>
          <w:bCs/>
          <w:b/>
        </w:rPr>
        <w:t xml:space="preserve">study of Deák et al. is Deák, Aradi and Frauenheim, Phys. Rev. B 92 (2015) 045204 (cited as such by Arrigoni and Madsen), rather than the surface paper cited here; if the value is taken from that study, add it to refs.py and cite it in place of Deak2014.]</w:t>
      </w:r>
      <w:r>
        <w:t xml:space="preserve">, as expected for a semi-local functional with a PBE O</w:t>
      </w:r>
      <w:r>
        <w:rPr>
          <w:vertAlign w:val="subscript"/>
        </w:rPr>
        <w:t xml:space="preserve">2</w:t>
      </w:r>
      <w:r>
        <w:t xml:space="preserve"> </w:t>
      </w:r>
      <w:r>
        <w:t xml:space="preserve">reference. This is a consistency check, not a validation of the protocol.</w:t>
      </w:r>
      <w:r>
        <w:t xml:space="preserve"> </w:t>
      </w:r>
      <w:r>
        <w:rPr>
          <w:bCs/>
          <w:b/>
        </w:rPr>
        <w:t xml:space="preserve">[AUTHOR ACTION: verify the Arrigoni–Madsen, Boonchun and Deák values and their oxygen-chemical-potential conditions against the full texts. Note that Arrigoni and Madsen used a larger U (5.8 eV in their arXiv preprint), fitted elemental-energy corrections to their DFT+U energies and a reduced exact-exchange fraction (HSE15) in their hybrid calculations, so their values are not directly comparable with an uncorrected PBE+U value at a PBE O</w:t>
      </w:r>
      <w:r>
        <w:rPr>
          <w:vertAlign w:val="subscript"/>
          <w:bCs/>
          <w:b/>
        </w:rPr>
        <w:t xml:space="preserve">2</w:t>
      </w:r>
      <w:r>
        <w:rPr>
          <w:bCs/>
          <w:b/>
        </w:rPr>
        <w:t xml:space="preserve"> </w:t>
      </w:r>
      <w:r>
        <w:rPr>
          <w:bCs/>
          <w:b/>
        </w:rPr>
        <w:t xml:space="preserve">reference.]</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in smearing free energy (Section 2.4), which includes a −TS term that favours fractionally occupied solutions. The non-magnetic solution is therefore the lower of the two solutions tested at this smearing, and a broader search over spin seeds and local distortions would be needed to establish it as the ground state.</w:t>
      </w:r>
      <w:r>
        <w:t xml:space="preserve"> </w:t>
      </w:r>
      <w:r>
        <w:rPr>
          <w:bCs/>
          <w:b/>
        </w:rPr>
        <w:t xml:space="preserve">[AUTHOR ACTION: report the fractional occupations of the states within ±0.3 eV of E</w:t>
      </w:r>
      <w:r>
        <w:rPr>
          <w:vertAlign w:val="subscript"/>
          <w:bCs/>
          <w:b/>
        </w:rPr>
        <w:t xml:space="preserve">F</w:t>
      </w:r>
      <w:r>
        <w:rPr>
          <w:bCs/>
          <w:b/>
        </w:rPr>
        <w:t xml:space="preserve"> </w:t>
      </w:r>
      <w:r>
        <w:rPr>
          <w:bCs/>
          <w:b/>
        </w:rPr>
        <w:t xml:space="preserve">for the non-magnetic Pr_perfect and Pr_VO solutions, so that the smeared character asserted here is documented.]</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scratch on the final Rb_VO geometry, at the production U (with the D3 term, Section 3.7) and at other U values (Table S1), converge instead to m</w:t>
      </w:r>
      <w:r>
        <w:rPr>
          <w:vertAlign w:val="subscript"/>
        </w:rPr>
        <w:t xml:space="preserve">abs</w:t>
      </w:r>
      <w:r>
        <w:t xml:space="preserve"> </w:t>
      </w:r>
      <w:r>
        <w:t xml:space="preserve">= 1.00 μ</w:t>
      </w:r>
      <w:r>
        <w:rPr>
          <w:vertAlign w:val="subscript"/>
        </w:rPr>
        <w:t xml:space="preserve">B</w:t>
      </w:r>
      <w:r>
        <w:t xml:space="preserve">. The relaxed cell therefore has two nearly degenerate spin solutions of this kind, and which one is lower in energy has not been established.</w:t>
      </w:r>
      <w:r>
        <w:t xml:space="preserve"> </w:t>
      </w:r>
      <w:r>
        <w:rPr>
          <w:bCs/>
          <w:b/>
        </w:rPr>
        <w:t xml:space="preserve">[AUTHOR ACTION: compare the total energy of a from-scratch single point at U = 3.5 eV without D3 on the final Rb_VO geometry with the last relaxation step, and report both solutions’ m and m</w:t>
      </w:r>
      <w:r>
        <w:rPr>
          <w:vertAlign w:val="subscript"/>
          <w:bCs/>
          <w:b/>
        </w:rPr>
        <w:t xml:space="preserve">abs</w:t>
      </w:r>
      <w:r>
        <w:rPr>
          <w:bCs/>
          <w:b/>
        </w:rPr>
        <w:t xml:space="preserve">.]</w:t>
      </w:r>
      <w:r>
        <w:t xml:space="preserve"> </w:t>
      </w:r>
      <w:r>
        <w:t xml:space="preserve">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rPr>
                <w:bCs/>
                <w:b/>
              </w:rPr>
              <w:t xml:space="preserve">[AUTHOR ACTION: m]</w:t>
            </w:r>
          </w:p>
        </w:tc>
        <w:tc>
          <w:tcPr/>
          <w:p>
            <w:pPr>
              <w:pStyle w:val="Compact"/>
              <w:jc w:val="left"/>
            </w:pPr>
            <w:r>
              <w:rPr>
                <w:bCs/>
                <w:b/>
              </w:rPr>
              <w:t xml:space="preserve">[AUTHOR ACTION: m</w:t>
            </w:r>
            <w:r>
              <w:rPr>
                <w:vertAlign w:val="subscript"/>
                <w:bCs/>
                <w:b/>
              </w:rPr>
              <w:t xml:space="preserve">abs</w:t>
            </w:r>
            <w:r>
              <w:rPr>
                <w:bCs/>
                <w:b/>
              </w:rPr>
              <w:t xml:space="preserve">]</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rPr>
          <w:iCs/>
          <w:i/>
        </w:rPr>
        <w:t xml:space="preserve"> </w:t>
      </w:r>
      <w:r>
        <w:rPr>
          <w:iCs/>
          <w:i/>
        </w:rPr>
        <w:t xml:space="preserve">Fermi energy not tabulated for this cell.</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w:t>
      </w:r>
      <w:r>
        <w:t xml:space="preserve"> </w:t>
      </w:r>
      <w:r>
        <w:rPr>
          <w:bCs/>
          <w:b/>
        </w:rPr>
        <w:t xml:space="preserve">[AUTHOR ACTION: state for each of the four dual-U cells whether it was relaxed or computed as a single point, and add the Rb_perfect and Rb_VO dual-U total energies to Tables S5 and S9.]</w:t>
      </w:r>
      <w:r>
        <w:t xml:space="preserve"> </w:t>
      </w:r>
      <w:r>
        <w:t xml:space="preserve">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unpaired spins once the oxygen term is present (their localisation has not been established from site-projected moments);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 as well as m</w:t>
      </w:r>
      <w:r>
        <w:rPr>
          <w:vertAlign w:val="subscript"/>
          <w:bCs/>
          <w:b/>
        </w:rPr>
        <w:t xml:space="preserve">abs</w:t>
      </w:r>
      <w:r>
        <w:rPr>
          <w:bCs/>
          <w:b/>
        </w:rPr>
        <w:t xml:space="preserve"> </w:t>
      </w:r>
      <w:r>
        <w:rPr>
          <w:bCs/>
          <w:b/>
        </w:rPr>
        <w:t xml:space="preserve">for the dual-U cells (m = 3.00 μ</w:t>
      </w:r>
      <w:r>
        <w:rPr>
          <w:vertAlign w:val="subscript"/>
          <w:bCs/>
          <w:b/>
        </w:rPr>
        <w:t xml:space="preserve">B</w:t>
      </w:r>
      <w:r>
        <w:rPr>
          <w:bCs/>
          <w:b/>
        </w:rPr>
        <w:t xml:space="preserve"> </w:t>
      </w:r>
      <w:r>
        <w:rPr>
          <w:bCs/>
          <w:b/>
        </w:rPr>
        <w:t xml:space="preserve">is required for the three Rb spins to be parallel) and the site-projected moments or spin density of dual-U Rb_perfect and Pr_perfect.]</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differences (+2.10 eV for Pr_VO and −0.76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Figure S1 shows the Pr_VO dopant channels separately and Figure S2 the spin-summed densities of states of both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 weak Ti-3d shoulder is visible at the conduction-band onset),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species-summed projection gives the relative O-2p and Ti-3d weight of this feature but not its distribution over sites; the Bader differences of Section 3.7 are compatible with predominantly O-2p character, and the dual-U magnetisation of Section 3.4 does not by itself establish it.</w:t>
      </w:r>
      <w:r>
        <w:t xml:space="preserve"> </w:t>
      </w:r>
      <w:r>
        <w:rPr>
          <w:bCs/>
          <w:b/>
        </w:rPr>
        <w:t xml:space="preserve">[AUTHOR ACTION: from the existing projwfc.x output, add site-resolved O-2p and Ti-3d projections of the Rb_VO gap state and its integrated occupation per spin channel (Figure S4), and state the energy resolution of the DOS.]</w:t>
      </w:r>
      <w:r>
        <w:t xml:space="preserve"> </w:t>
      </w:r>
      <w:r>
        <w:t xml:space="preserve">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report the 2×2×2 non-self-consistent Fermi energy of the pristine cell.]</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patch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region around E</w:t>
      </w:r>
      <w:r>
        <w:rPr>
          <w:vertAlign w:val="subscript"/>
          <w:iCs/>
          <w:i/>
        </w:rPr>
        <w:t xml:space="preserve">F</w:t>
      </w:r>
      <w:r>
        <w:rPr>
          <w:iCs/>
          <w:i/>
        </w:rPr>
        <w:t xml:space="preserve"> </w:t>
      </w:r>
      <w:r>
        <w:rPr>
          <w:iCs/>
          <w:i/>
        </w:rPr>
        <w:t xml:space="preserve">of Rb_VO showing the spin-split feature at the valence-band edge, occupied in one spin channel and empty in the other, with mixed O-2p/Ti-3d weight.</w:t>
      </w:r>
      <w:r>
        <w:rPr>
          <w:iCs/>
          <w:i/>
        </w:rPr>
        <w:t xml:space="preserve"> </w:t>
      </w:r>
      <w:r>
        <w:rPr>
          <w:bCs/>
          <w:b/>
          <w:iCs/>
          <w:i/>
        </w:rPr>
        <w:t xml:space="preserve">[AUTHOR ACTION: in the interim artwork the arrow labelled</w:t>
      </w:r>
      <w:r>
        <w:rPr>
          <w:bCs/>
          <w:b/>
          <w:iCs/>
          <w:i/>
        </w:rPr>
        <w:t xml:space="preserve"> </w:t>
      </w:r>
      <w:r>
        <w:rPr>
          <w:bCs/>
          <w:b/>
          <w:iCs/>
          <w:i/>
        </w:rPr>
        <w:t xml:space="preserve">“</w:t>
      </w:r>
      <w:r>
        <w:rPr>
          <w:bCs/>
          <w:b/>
          <w:iCs/>
          <w:i/>
        </w:rPr>
        <w:t xml:space="preserve">gap state</w:t>
      </w:r>
      <w:r>
        <w:rPr>
          <w:bCs/>
          <w:b/>
          <w:iCs/>
          <w:i/>
        </w:rPr>
        <w:t xml:space="preserve">”</w:t>
      </w:r>
      <w:r>
        <w:rPr>
          <w:bCs/>
          <w:b/>
          <w:iCs/>
          <w:i/>
        </w:rPr>
        <w:t xml:space="preserve"> </w:t>
      </w:r>
      <w:r>
        <w:rPr>
          <w:bCs/>
          <w:b/>
          <w:iCs/>
          <w:i/>
        </w:rPr>
        <w:t xml:space="preserve">points at the spin-up valence-band edge, the spin-down feature lies mostly above E</w:t>
      </w:r>
      <w:r>
        <w:rPr>
          <w:vertAlign w:val="subscript"/>
          <w:bCs/>
          <w:b/>
          <w:iCs/>
          <w:i/>
        </w:rPr>
        <w:t xml:space="preserve">F</w:t>
      </w:r>
      <w:r>
        <w:rPr>
          <w:bCs/>
          <w:b/>
          <w:iCs/>
          <w:i/>
        </w:rPr>
        <w:t xml:space="preserve">, and its Ti-3d weight is barely visible beside the O-2p projection; redraw the inset from the projwfc.x data so that the occupied and empty spin components described in Section 3.6 are identified.]</w:t>
      </w:r>
      <w:r>
        <w:rPr>
          <w:iCs/>
          <w:i/>
        </w:rPr>
        <w:t xml:space="preserve"> </w:t>
      </w:r>
      <w:r>
        <w:rPr>
          <w:bCs/>
          <w:b/>
          <w:iCs/>
          <w:i/>
        </w:rPr>
        <w:t xml:space="preserve">[AUTHOR ACTION: the title, panel subtitles and inset label of the interim artwork were patched to match this caption; regenerate from the projwfc.x output with the broadening and band count stated and the source run identifiers recorded in the figure script, and check the Rb_VO spin-down Ti-3d channel, which appears to be missing from the valence band in the current plot; the inset is drawn over the Rb_VO spin-down valence band and hides it, so place the inset where it covers no data and give it axis labels, and restore the top frame of the Rb_VO panel, which the interim label patch erased. The empty (hole) part of the Rb_VO feature at E</w:t>
      </w:r>
      <w:r>
        <w:rPr>
          <w:vertAlign w:val="subscript"/>
          <w:bCs/>
          <w:b/>
          <w:iCs/>
          <w:i/>
        </w:rPr>
        <w:t xml:space="preserve">F</w:t>
      </w:r>
      <w:r>
        <w:rPr>
          <w:bCs/>
          <w:b/>
          <w:iCs/>
          <w:i/>
        </w:rPr>
        <w:t xml:space="preserve"> </w:t>
      </w:r>
      <w:r>
        <w:rPr>
          <w:bCs/>
          <w:b/>
          <w:iCs/>
          <w:i/>
        </w:rPr>
        <w:t xml:space="preserve">is plotted in the spin-down channel, which implies m &gt; 0, whereas Table 3 gives m = −0.97 μ</w:t>
      </w:r>
      <w:r>
        <w:rPr>
          <w:vertAlign w:val="subscript"/>
          <w:bCs/>
          <w:b/>
          <w:iCs/>
          <w:i/>
        </w:rPr>
        <w:t xml:space="preserve">B</w:t>
      </w:r>
      <w:r>
        <w:rPr>
          <w:bCs/>
          <w:b/>
          <w:iCs/>
          <w:i/>
        </w:rPr>
        <w:t xml:space="preserve">; check the spin labelling and state which of the two Rb_VO solutions (Section 3.3) the non-self-consistent run used. Replace the inset label</w:t>
      </w:r>
      <w:r>
        <w:rPr>
          <w:bCs/>
          <w:b/>
          <w:iCs/>
          <w:i/>
        </w:rPr>
        <w:t xml:space="preserve"> </w:t>
      </w:r>
      <w:r>
        <w:rPr>
          <w:bCs/>
          <w:b/>
          <w:iCs/>
          <w:i/>
        </w:rPr>
        <w:t xml:space="preserve">“</w:t>
      </w:r>
      <w:r>
        <w:rPr>
          <w:bCs/>
          <w:b/>
          <w:iCs/>
          <w:i/>
        </w:rPr>
        <w:t xml:space="preserve">gap state</w:t>
      </w:r>
      <w:r>
        <w:rPr>
          <w:bCs/>
          <w:b/>
          <w:iCs/>
          <w:i/>
        </w:rPr>
        <w:t xml:space="preserve">”</w:t>
      </w:r>
      <w:r>
        <w:rPr>
          <w:bCs/>
          <w:b/>
          <w:iCs/>
          <w:i/>
        </w:rPr>
        <w:t xml:space="preserve">: the feature is contiguous with the valence-band edge.]</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is non-magnetic at every U, and Rb_VO carries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in the from-scratch single points, versus 1.21 μ</w:t>
      </w:r>
      <w:r>
        <w:rPr>
          <w:vertAlign w:val="subscript"/>
        </w:rPr>
        <w:t xml:space="preserve">B</w:t>
      </w:r>
      <w:r>
        <w:t xml:space="preserve"> </w:t>
      </w:r>
      <w:r>
        <w:t xml:space="preserve">in the final relaxation step at U = 3.5 eV; see Section 3.3 for the two solutions). The printed Fermi energies vary by at most 0.26 eV across the 1.5 eV range.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2×2×2 energies of Table S2 lie 1.13 and 1.24 eV above the Γ-only values for Pr_VO and Rb_VO, i.e. 0.05–0.08 eV (1–2 meV per atom) above the 3×3×2 values if the Γ-only energies lie below them, so convergence beyond 2×2×1 is at the 1–2 meV per atom level and is not monotonic across mesh families.</w:t>
      </w:r>
      <w:r>
        <w:t xml:space="preserve"> </w:t>
      </w:r>
      <w:r>
        <w:rPr>
          <w:bCs/>
          <w:b/>
        </w:rPr>
        <w:t xml:space="preserve">[AUTHOR ACTION: confirm from the output files that the Γ-only energies lie below the 3×3×2 values; Table S9 (runs 4 and 9, 6 and 11) places the 2×2×2 energies above the Γ-only ones, which is consistent with the quoted 3×3×2 offsets only for that sign.]</w:t>
      </w:r>
      <w:r>
        <w:t xml:space="preserve"> </w:t>
      </w:r>
      <w:r>
        <w:t xml:space="preserve">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A complete formation-energy cycle exists only at Γ and, for the doped hosts, at 2×2×2. The magnetisations are mesh-independent.</w:t>
      </w:r>
      <w:r>
        <w:t xml:space="preserve"> </w:t>
      </w:r>
      <w:r>
        <w:rPr>
          <w:bCs/>
          <w:b/>
        </w:rPr>
        <w:t xml:space="preserve">[AUTHOR ACTION: state which of the two Rb_VO spin solutions of Section 3.3 the k-mesh and 2×2×2 single points converged to, and from which SCF density the 2×2×2 PDOS of Figure 4 was computed.]</w:t>
      </w:r>
      <w:r>
        <w:t xml:space="preserve"> </w:t>
      </w:r>
      <w:r>
        <w:rPr>
          <w:bCs/>
          <w:b/>
        </w:rPr>
        <w:t xml:space="preserve">[AUTHOR ACTION: no magnetisation from the 2×2×1, 2×2×2 or 3×3×2 runs is tabulated; add m and m</w:t>
      </w:r>
      <w:r>
        <w:rPr>
          <w:vertAlign w:val="subscript"/>
          <w:bCs/>
          <w:b/>
        </w:rPr>
        <w:t xml:space="preserve">abs</w:t>
      </w:r>
      <w:r>
        <w:rPr>
          <w:bCs/>
          <w:b/>
        </w:rPr>
        <w:t xml:space="preserve"> </w:t>
      </w:r>
      <w:r>
        <w:rPr>
          <w:bCs/>
          <w:b/>
        </w:rPr>
        <w:t xml:space="preserve">of these runs to Table S2, or delete this sentence.]</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 and confirm the 2×2×2 values against the 3×3×2 ones.]</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0.037 eV above the production value for Pr_VO, which indicates that the from-scratch single point converged to a slightly different electronic solution of the smeared Pr_VO cell.</w:t>
      </w:r>
      <w:r>
        <w:t xml:space="preserve"> </w:t>
      </w:r>
      <w:r>
        <w:rPr>
          <w:bCs/>
          <w:b/>
        </w:rPr>
        <w:t xml:space="preserve">[AUTHOR ACTION: check the convergence and occupations of the Pr_VO D3 single point and report the discrepancy’s origin.]</w:t>
      </w:r>
      <w:r>
        <w:t xml:space="preserve"> </w:t>
      </w:r>
      <w:r>
        <w:t xml:space="preserve">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w:t>
      </w:r>
      <w:r>
        <w:rPr>
          <w:vertAlign w:val="subscript"/>
        </w:rPr>
        <w:t xml:space="preserve">abs</w:t>
      </w:r>
      <w:r>
        <w:t xml:space="preserve"> </w:t>
      </w:r>
      <w:r>
        <w:t xml:space="preserve">=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1.21 μ</w:t>
      </w:r>
      <w:r>
        <w:rPr>
          <w:vertAlign w:val="subscript"/>
        </w:rPr>
        <w:t xml:space="preserve">B</w:t>
      </w:r>
      <w:r>
        <w:t xml:space="preserve"> </w:t>
      </w:r>
      <w:r>
        <w:t xml:space="preserve">of the final relaxation step.</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nearest-neighbour candidate has not been established as tested (Section 2.3), site degeneracies are not given, and no corresponding sampling was performed for the Rb cell.</w:t>
      </w:r>
      <w:r>
        <w:t xml:space="preserve"> </w:t>
      </w:r>
      <w:r>
        <w:rPr>
          <w:bCs/>
          <w:b/>
        </w:rPr>
        <w:t xml:space="preserve">[AUTHOR ACTION: list the index, coordinates, minimum-image Pr–V</w:t>
      </w:r>
      <w:r>
        <w:rPr>
          <w:vertAlign w:val="subscript"/>
          <w:bCs/>
          <w:b/>
        </w:rPr>
        <w:t xml:space="preserve">O</w:t>
      </w:r>
      <w:r>
        <w:rPr>
          <w:bCs/>
          <w:b/>
        </w:rPr>
        <w:t xml:space="preserve"> </w:t>
      </w:r>
      <w:r>
        <w:rPr>
          <w:bCs/>
          <w:b/>
        </w:rPr>
        <w:t xml:space="preserve">distance and multiplicity of all four sites in Table S4, state whether the nearest-neighbour oxygen (O3, 2.17 Å) was among them,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 Give the distances of O8 and O30 from Rb and from the vacancy, since the depletion maximum lies outside the first coordination shell of Rb.]</w:t>
      </w:r>
      <w:r>
        <w:t xml:space="preserve"> </w:t>
      </w:r>
      <w:r>
        <w:t xml:space="preserve">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 Until this figure and the site-projected moments requested in Section 3.4 exist, no reported observable establishes localisation; the title therefore reads</w:t>
      </w:r>
      <w:r>
        <w:rPr>
          <w:bCs/>
          <w:b/>
        </w:rPr>
        <w:t xml:space="preserve"> </w:t>
      </w:r>
      <w:r>
        <w:rPr>
          <w:bCs/>
          <w:b/>
        </w:rPr>
        <w:t xml:space="preserve">“</w:t>
      </w:r>
      <w:r>
        <w:rPr>
          <w:bCs/>
          <w:b/>
        </w:rPr>
        <w:t xml:space="preserve">Dopant-Induced Holes</w:t>
      </w:r>
      <w:r>
        <w:rPr>
          <w:bCs/>
          <w:b/>
        </w:rPr>
        <w:t xml:space="preserve">”</w:t>
      </w:r>
      <w:r>
        <w:rPr>
          <w:bCs/>
          <w:b/>
        </w:rPr>
        <w:t xml:space="preserve"> </w:t>
      </w:r>
      <w:r>
        <w:rPr>
          <w:bCs/>
          <w:b/>
        </w:rPr>
        <w:t xml:space="preserve">and can return to</w:t>
      </w:r>
      <w:r>
        <w:rPr>
          <w:bCs/>
          <w:b/>
        </w:rPr>
        <w:t xml:space="preserve"> </w:t>
      </w:r>
      <w:r>
        <w:rPr>
          <w:bCs/>
          <w:b/>
        </w:rPr>
        <w:t xml:space="preserve">“</w:t>
      </w:r>
      <w:r>
        <w:rPr>
          <w:bCs/>
          <w:b/>
        </w:rPr>
        <w:t xml:space="preserve">Hole Localisation</w:t>
      </w:r>
      <w:r>
        <w:rPr>
          <w:bCs/>
          <w:b/>
        </w:rPr>
        <w:t xml:space="preserve">”</w:t>
      </w:r>
      <w:r>
        <w:rPr>
          <w:bCs/>
          <w:b/>
        </w:rPr>
        <w:t xml:space="preserve"> </w:t>
      </w:r>
      <w:r>
        <w:rPr>
          <w:bCs/>
          <w:b/>
        </w:rPr>
        <w:t xml:space="preserve">only if the spin density shows a localised hole.]</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w:t>
      </w:r>
      <w:r>
        <w:t xml:space="preserve"> </w:t>
      </w:r>
      <w:r>
        <w:rPr>
          <w:bCs/>
          <w:b/>
        </w:rPr>
        <w:t xml:space="preserve">[AUTHOR ACTION: report the PBE+U band gap of the pristine cell (Section 3.6) and compare it with these per-electron reductions; the valence-to-conduction-band separation visible in Figure 4 appears smaller than either.]</w:t>
      </w:r>
      <w:r>
        <w:t xml:space="preserve"> </w:t>
      </w:r>
      <w:r>
        <w:t xml:space="preserve">The reductions also contain an electrostatic and elastic interaction between the vacancy and the dopant, as the dependence of E</w:t>
      </w:r>
      <w:r>
        <w:rPr>
          <w:vertAlign w:val="subscript"/>
        </w:rPr>
        <w:t xml:space="preserve">f</w:t>
      </w:r>
      <w:r>
        <w:t xml:space="preserve"> </w:t>
      </w:r>
      <w:r>
        <w:t xml:space="preserve">on the vacancy site in the Pr cell indicates (Section 3.7);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The preference for the production vacancy site over the two more distant sites sampled (Section 3.7) is in the same direction as the Pr–V</w:t>
      </w:r>
      <w:r>
        <w:rPr>
          <w:vertAlign w:val="subscript"/>
        </w:rPr>
        <w:t xml:space="preserve">O</w:t>
      </w:r>
      <w:r>
        <w:t xml:space="preserve"> </w:t>
      </w:r>
      <w:r>
        <w:t xml:space="preserve">association reported for Pr adsorbed at the anatase (101) surface by Vural et al. [26], although adsorption and bulk substitution are different situations and only four sites were sampled here.</w:t>
      </w:r>
      <w:r>
        <w:t xml:space="preserve"> </w:t>
      </w:r>
      <w:r>
        <w:rPr>
          <w:bCs/>
          <w:b/>
        </w:rPr>
        <w:t xml:space="preserve">[AUTHOR ACTION: confirm from the full text of Vural et al., with a page or figure reference, that they report a Pr–V</w:t>
      </w:r>
      <w:r>
        <w:rPr>
          <w:vertAlign w:val="subscript"/>
          <w:bCs/>
          <w:b/>
        </w:rPr>
        <w:t xml:space="preserve">O</w:t>
      </w:r>
      <w:r>
        <w:rPr>
          <w:bCs/>
          <w:b/>
        </w:rPr>
        <w:t xml:space="preserve"> </w:t>
      </w:r>
      <w:r>
        <w:rPr>
          <w:bCs/>
          <w:b/>
        </w:rPr>
        <w:t xml:space="preserve">association; the institutional records of their abstract describe Pr-induced gap states, optical activity and benzoic-acid adsorption but do not mention oxygen vacancies. If the association is not reported there, delete this sentence.]</w:t>
      </w:r>
      <w:r>
        <w:t xml:space="preserve"> </w:t>
      </w:r>
      <w:r>
        <w:t xml:space="preserve">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[27]),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[27])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w:t>
      </w:r>
      <w:r>
        <w:rPr>
          <w:vertAlign w:val="subscript"/>
        </w:rPr>
        <w:t xml:space="preserve">abs</w:t>
      </w:r>
      <w:r>
        <w:t xml:space="preserve"> </w:t>
      </w:r>
      <w:r>
        <w:t xml:space="preserve">=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Total energies differ by 22–25 meV per atom from the 3×3×2 values (sign to be confirmed,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One magnetic trial was performed, for Pr_VO; occupations, smearing and symmetry settings were not varied, and two nearly degenerate spin solutions of Rb_VO were found but not ranked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(in-plane value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that differ in composition and by two carriers, and is compatible with, rather than evidence for, an oxygen-centred hole.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which the oxygen-site Hubbard calculation and the Bader comparison are compatible with placing mainly on oxygen (site-projected moments and the spin density have not yet been analysed), and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produce the plotting scripts for Figures 2 and 3 and the graphical abstract from the authors’ computed values.</w:t>
      </w:r>
      <w:r>
        <w:t xml:space="preserve"> </w:t>
      </w:r>
      <w:r>
        <w:rPr>
          <w:bCs/>
          <w:b/>
        </w:rPr>
        <w:t xml:space="preserve">[AUTHOR ACTION: the same tool also wrote figures/patch_labels.py, which raster-patched text labels on the interim artwork of Figures 1, 4, S1 and S2. Elsevier does not permit generative-AI or AI-assisted tools to create or alter images, or to produce graphical-abstract artwork; before submission, regenerate Figures 1, 4, S1 and S2 and the graphical abstract with the authors’ own scripts from the raw data and amend this statement accordingly, or agree the use with the editorial office and disclose it here.]</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W.-J.; Wen, B.; Ge, Q.; Wei, X.; Teobaldi, G.; Liu, L.-M.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Liu, E.; Fan, J. Multi-Level Trapped Electrons System in Enhancing Photocatalytic Activity of TiO2 Nanosheets for Simultaneous Reduction of Cr(VI) and RhB Degradation. Appl. Surf. Sci. 2020, 504,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Polliotto, V.; Albanese, E.; Livraghi, S.; Pacchioni, G.; Giamello, E. Structural, Electronic and Photochemical Properties of Cerium-Doped Zirconium Titanate. Catal. Today 2020, 340, 49–58. DOI: 10.1016/j.cattod.2018.09.026.</w:t>
      </w:r>
    </w:p>
    <w:p>
      <w:pPr>
        <w:pStyle w:val="BodyText"/>
      </w:pPr>
      <w:r>
        <w:t xml:space="preserve">[20] 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Ahmad, A.; Yerlikaya, G.; Ur Rehman, M. Z.; Paksoy, H.; Kardaş, G. Enhanced Photoelectrochemical Water Splitting Using Gadolinium Doped Titanium Dioxide Nanorod Array Photoanodes. Int. J. Hydrogen Energy 2020, 45, 2515–2526. DOI: 10.1016/j.ijhydene.2019.11.117.</w:t>
      </w:r>
    </w:p>
    <w:p>
      <w:pPr>
        <w:pStyle w:val="BodyText"/>
      </w:pPr>
      <w:r>
        <w:t xml:space="preserve">[22] Chen, W.; Yuan, P.; Zhang, S.; Sun, Q.; Liang, E.; Jia, Y. Electronic Properties of Anatase TiO2 Doped by Lanthanides: A DFT+U Study. Physica B 2012, 407, 1038–1043. DOI: 10.1016/j.physb.2011.12.126.</w:t>
      </w:r>
    </w:p>
    <w:p>
      <w:pPr>
        <w:pStyle w:val="BodyText"/>
      </w:pPr>
      <w:r>
        <w:t xml:space="preserve">[23] Chen, H.; Yao, L.; Yang, S.; Wang, Y.; Liang, X.; Huang, Y. First-Principles Study on Electronic and Optical Properties in Pr-Doped Anatase TiO2. Adv. Mater. Res. 2014, 924, 260–268. DOI: 10.4028/www.scientific.net/AMR.924.260.</w:t>
      </w:r>
    </w:p>
    <w:p>
      <w:pPr>
        <w:pStyle w:val="BodyText"/>
      </w:pPr>
      <w:r>
        <w:t xml:space="preserve">[24]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[25] Bahmanrokh, G.; Cazorla, C.; Mofarah, S. S.; Koshy, P.; Sorrell, C. C. Band Gap Engineering of Ce-Doped Anatase TiO2 through Solid Solubility Mechanisms and New Defect Equilibria Formalism. Nanoscale 2020, 12, 4916–4934. DOI: 10.1039/c9nr08604h.</w:t>
      </w:r>
    </w:p>
    <w:p>
      <w:pPr>
        <w:pStyle w:val="BodyText"/>
      </w:pPr>
      <w:r>
        <w:t xml:space="preserve">[26] Vural, K. B.; Kaderoğlu, Ç.; Ellialtıoğlu, Ş. Density Functional Theory Investigation of Pr Adsorption on the Anatase TiO2(101) Surface for Photovoltaic Applications. Appl. Surf. Sci. 2023, 612, 156042. DOI: 10.1016/j.apsusc.2022.156042.</w:t>
      </w:r>
    </w:p>
    <w:p>
      <w:pPr>
        <w:pStyle w:val="BodyText"/>
      </w:pPr>
      <w:r>
        <w:t xml:space="preserve">[27] Shannon, R. D. Revised Effective Ionic Radii and Systematic Studies of Interatomic Distances in Halides and Chalcogenides. Acta Crystallogr., Sect. A 1976, 32, 751–767. DOI: 10.1107/S0567739476001551.</w:t>
      </w:r>
    </w:p>
    <w:p>
      <w:pPr>
        <w:pStyle w:val="BodyText"/>
      </w:pPr>
      <w:r>
        <w:t xml:space="preserve">[28]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[29] Kröger, F. A.; Vink, H. J. Relations between the Concentrations of Imperfections in Crystalline Solids. Solid State Phys. 1956, 3, 307–435. DOI: 10.1016/S0081-1947(08)60135-6.</w:t>
      </w:r>
    </w:p>
    <w:p>
      <w:pPr>
        <w:pStyle w:val="BodyText"/>
      </w:pPr>
      <w:r>
        <w:t xml:space="preserve">[30] Giannozzi, P.; Andreussi, O.; Brumme, T.; Bunau, O.; et al. Advanced Capabilities for Materials Modelling with Quantum ESPRESSO. J. Phys.: Condens. Matter 2017, 29, 465901. DOI: 10.1088/1361-648X/aa8f79.</w:t>
      </w:r>
    </w:p>
    <w:p>
      <w:pPr>
        <w:pStyle w:val="BodyText"/>
      </w:pPr>
      <w:r>
        <w:t xml:space="preserve">[31] Giannozzi, P.; Baseggio, O.; Bonfà, P.; Brunato, D.; et al. Quantum ESPRESSO toward the Exascale. J. Chem. Phys. 2020, 152, 154105. DOI: 10.1063/5.0005082.</w:t>
      </w:r>
    </w:p>
    <w:p>
      <w:pPr>
        <w:pStyle w:val="BodyText"/>
      </w:pPr>
      <w:r>
        <w:t xml:space="preserve">[32] Perdew, J. P.; Burke, K.; Ernzerhof, M. Generalized Gradient Approximation Made Simple. Phys. Rev. Lett. 1996, 77, 3865–3868. DOI: 10.1103/PhysRevLett.77.3865.</w:t>
      </w:r>
    </w:p>
    <w:p>
      <w:pPr>
        <w:pStyle w:val="BodyText"/>
      </w:pPr>
      <w:r>
        <w:t xml:space="preserve">[33]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[34] Dudarev, S. L.; Botton, G. A.; Savrasov, S. Y.; Humphreys, C. J.; Sutton, A. P. Electron-Energy-Loss Spectra and the Structural Stability of Nickel Oxide: An LSDA+U Study. Phys. Rev. B 1998, 57, 1505–1509. DOI: 10.1103/PhysRevB.57.1505.</w:t>
      </w:r>
    </w:p>
    <w:p>
      <w:pPr>
        <w:pStyle w:val="BodyText"/>
      </w:pPr>
      <w:r>
        <w:t xml:space="preserve">[35] Deák, P.; Kullgren, J.; Frauenheim, T. Polarons and Oxygen Vacancies at the Surface of Anatase TiO2. Phys. Status Solidi RRL 2014, 8, 583–586. DOI: 10.1002/pssr.201409139.</w:t>
      </w:r>
    </w:p>
    <w:p>
      <w:pPr>
        <w:pStyle w:val="BodyText"/>
      </w:pPr>
      <w:r>
        <w:t xml:space="preserve">[36] Morgan, B. J.; Watson, G. W. A DFT+U Description of Oxygen Vacancies at the TiO2 Rutile (110) Surface. Surf. Sci. 2007, 601, 5034–5041. DOI: 10.1016/j.susc.2007.08.025.</w:t>
      </w:r>
    </w:p>
    <w:p>
      <w:pPr>
        <w:pStyle w:val="BodyText"/>
      </w:pPr>
      <w:r>
        <w:t xml:space="preserve">[37] Anisimov, V. I.; Zaanen, J.; Andersen, O. K. Band Theory and Mott Insulators: Hubbard U Instead of Stoner I. Phys. Rev. B 1991, 44, 943–954. DOI: 10.1103/PhysRevB.44.943.</w:t>
      </w:r>
    </w:p>
    <w:p>
      <w:pPr>
        <w:pStyle w:val="BodyText"/>
      </w:pPr>
      <w:r>
        <w:t xml:space="preserve">[38] Cococcioni, M.; de Gironcoli, S. Linear Response Approach to the Calculation of the Effective Interaction Parameters in the LDA+U Method. Phys. Rev. B 2005, 71, 035105. DOI: 10.1103/PhysRevB.71.035105.</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Rodriguez-Pineda, J.; Zanella, R. Relevance of Dispersion and the Electronic Spin in the DFT+U Approach for the Description of Pristine and Defective TiO2 Anatase. ACS Omega 2021, 6, 23170–23180. DOI: 10.1021/acsomega.1c02818.</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2026-10-03T02:34:08Z</dcterms:created>
  <dcterms:modified xsi:type="dcterms:W3CDTF">2026-10-03T02:34:08Z</dcterms:modified>
</cp:coreProperties>
</file>

<file path=docProps/custom.xml><?xml version="1.0" encoding="utf-8"?>
<Properties xmlns="http://schemas.openxmlformats.org/officeDocument/2006/custom-properties" xmlns:vt="http://schemas.openxmlformats.org/officeDocument/2006/docPropsVTypes"/>
</file>