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supporting-information"/>
    <w:p>
      <w:pPr>
        <w:pStyle w:val="Heading1"/>
      </w:pPr>
      <w:r>
        <w:t xml:space="preserve">Supporting Information</w:t>
      </w:r>
    </w:p>
    <w:bookmarkStart w:id="40" w:name="Xcd3fa84157bc61bf613925a6c2f212a17c4e56b"/>
    <w:p>
      <w:pPr>
        <w:pStyle w:val="Heading2"/>
      </w:pPr>
      <w:r>
        <w:t xml:space="preserve">Oxygen-Vacancy Energetics and Dopant-Induced Holes in Pr- and Rb-Substituted Anatase TiO</w:t>
      </w:r>
      <w:r>
        <w:rPr>
          <w:vertAlign w:val="subscript"/>
        </w:rPr>
        <w:t xml:space="preserve">2</w:t>
      </w:r>
      <w:r>
        <w:t xml:space="preserve">: A DFT+U Comparison</w:t>
      </w:r>
    </w:p>
    <w:p>
      <w:pPr>
        <w:pStyle w:val="FirstParagraph"/>
      </w:pPr>
      <w:r>
        <w:t xml:space="preserve">Mohammad Ghadimimehr, Azimah Binti Omar*, Siti Rohani Binti Sheikh Raihan — Universiti Malaya</w:t>
      </w:r>
    </w:p>
    <w:p>
      <w:pPr>
        <w:pStyle w:val="BlockText"/>
      </w:pPr>
      <w:r>
        <w:rPr>
          <w:bCs/>
          <w:b/>
        </w:rPr>
        <w:t xml:space="preserve">Revision note (v4; delete before submission).</w:t>
      </w:r>
      <w:r>
        <w:t xml:space="preserve"> </w:t>
      </w:r>
      <w:r>
        <w:t xml:space="preserve">Section numbering, table numbering and figure numbering follow the v4 main text. Items marked</w:t>
      </w:r>
      <w:r>
        <w:t xml:space="preserve"> </w:t>
      </w:r>
      <w:r>
        <w:rPr>
          <w:bCs/>
          <w:b/>
        </w:rPr>
        <w:t xml:space="preserve">[AUTHOR ACTION]</w:t>
      </w:r>
      <w:r>
        <w:t xml:space="preserve"> </w:t>
      </w:r>
      <w:r>
        <w:t xml:space="preserve">need data that only the authors can extract from the calculation records. Tables S9 and S10 are new and are the single traceable account of what was calculated that the audit asked for.</w:t>
      </w:r>
    </w:p>
    <w:p>
      <w:pPr>
        <w:pStyle w:val="FirstParagraph"/>
      </w:pPr>
      <w:r>
        <w:rPr>
          <w:bCs/>
          <w:b/>
        </w:rPr>
        <w:t xml:space="preserve">Contents.</w:t>
      </w:r>
      <w:r>
        <w:t xml:space="preserve"> </w:t>
      </w:r>
      <w:r>
        <w:t xml:space="preserve">S1 Pristine V</w:t>
      </w:r>
      <w:r>
        <w:rPr>
          <w:vertAlign w:val="subscript"/>
        </w:rPr>
        <w:t xml:space="preserve">O</w:t>
      </w:r>
      <w:r>
        <w:t xml:space="preserve"> </w:t>
      </w:r>
      <w:r>
        <w:t xml:space="preserve">convergence · S2 Additional PDOS · S3 Hubbard-U sweep · S4 k-mesh verification · S5 Bader analysis · S6 Alternative V</w:t>
      </w:r>
      <w:r>
        <w:rPr>
          <w:vertAlign w:val="subscript"/>
        </w:rPr>
        <w:t xml:space="preserve">O</w:t>
      </w:r>
      <w:r>
        <w:t xml:space="preserve"> </w:t>
      </w:r>
      <w:r>
        <w:t xml:space="preserve">sites · S7 Hybrid, dual-U and dispersion calculations · S8 Methods details and file inventory · S9 Full-precision energy ledger · S10 Run manifest · S11 Force-convergence trajectories</w:t>
      </w:r>
    </w:p>
    <w:bookmarkStart w:id="20" w:name="X49ea14112a47d5e8a192bc43fc63a1c9ebf155f"/>
    <w:p>
      <w:pPr>
        <w:pStyle w:val="Heading3"/>
      </w:pPr>
      <w:r>
        <w:t xml:space="preserve">S1. Pristine V</w:t>
      </w:r>
      <w:r>
        <w:rPr>
          <w:vertAlign w:val="subscript"/>
        </w:rPr>
        <w:t xml:space="preserve">O</w:t>
      </w:r>
      <w:r>
        <w:t xml:space="preserve"> </w:t>
      </w:r>
      <w:r>
        <w:t xml:space="preserve">baseline: convergence recovery</w:t>
      </w:r>
    </w:p>
    <w:p>
      <w:pPr>
        <w:pStyle w:val="FirstParagraph"/>
      </w:pPr>
      <w:r>
        <w:t xml:space="preserve">The pristine anatase V</w:t>
      </w:r>
      <w:r>
        <w:rPr>
          <w:vertAlign w:val="subscript"/>
        </w:rPr>
        <w:t xml:space="preserve">O</w:t>
      </w:r>
      <w:r>
        <w:t xml:space="preserve"> </w:t>
      </w:r>
      <w:r>
        <w:t xml:space="preserve">reference reported in Table 2 of the main text (E</w:t>
      </w:r>
      <w:r>
        <w:rPr>
          <w:vertAlign w:val="subscript"/>
        </w:rPr>
        <w:t xml:space="preserve">f</w:t>
      </w:r>
      <w:r>
        <w:t xml:space="preserve"> </w:t>
      </w:r>
      <w:r>
        <w:t xml:space="preserve">= +4.74 eV) required two attempts. The first used mixing_mode = local-TF with mixing_beta = 0.3, not the damped mixing_beta = 0.1 of the doped-cell relaxations (Section 2.6), and oscillated, with the SCF accuracy estimate moving between 0.05 and 0.14 Ry over iterations 14–17, an instability associated with the two vacancy electrons occupying a dense manifold of conduction-band states. The second attempt (run Pristine_VO_v3) changed six settings together: mixing_beta 0.3 → 0.1; mixing_ndim → 12; Gaussian smearing degauss 0.005 → 0.01 Ry (≈ 136 meV); electron_maxstep → 300; diago_thr_init → 1×10</w:t>
      </w:r>
      <w:r>
        <w:rPr>
          <w:vertAlign w:val="superscript"/>
        </w:rPr>
        <w:t xml:space="preserve">−3</w:t>
      </w:r>
      <w:r>
        <w:t xml:space="preserve"> </w:t>
      </w:r>
      <w:r>
        <w:t xml:space="preserve">Ry; and starting_magnetization = 0.05 on both species as a symmetry-breaking nudge. The SCF then converged monotonically in 96 iterations of the first BFGS step to conv_thr = 1×10</w:t>
      </w:r>
      <w:r>
        <w:rPr>
          <w:vertAlign w:val="superscript"/>
        </w:rPr>
        <w:t xml:space="preserve">−8</w:t>
      </w:r>
      <w:r>
        <w:t xml:space="preserve"> </w:t>
      </w:r>
      <w:r>
        <w:t xml:space="preserve">Ry. Six further BFGS steps brought the maximum force to 0.00563 Ry/Bohr, slightly above the 0.005 Ry/Bohr production threshold, at which point the relaxation was stopped. The final total energy of the 47-atom cell is −4233.15036 Ry; against E(Pristine_perfect) = −4275.01530 Ry and ½E(O</w:t>
      </w:r>
      <w:r>
        <w:rPr>
          <w:vertAlign w:val="subscript"/>
        </w:rPr>
        <w:t xml:space="preserve">2</w:t>
      </w:r>
      <w:r>
        <w:t xml:space="preserve">) = −41.51621 Ry this gives E</w:t>
      </w:r>
      <w:r>
        <w:rPr>
          <w:vertAlign w:val="subscript"/>
        </w:rPr>
        <w:t xml:space="preserve">f</w:t>
      </w:r>
      <w:r>
        <w:t xml:space="preserve"> </w:t>
      </w:r>
      <w:r>
        <w:t xml:space="preserve">= +4.74 eV. The converged cell is non-magnetic.</w:t>
      </w:r>
      <w:r>
        <w:t xml:space="preserve"> </w:t>
      </w:r>
      <w:r>
        <w:rPr>
          <w:bCs/>
          <w:b/>
        </w:rPr>
        <w:t xml:space="preserve">[AUTHOR ACTION: state whether the production doped-cell relaxations used degauss = 0.005 or 0.01 Ry; if the pristine V</w:t>
      </w:r>
      <w:r>
        <w:rPr>
          <w:vertAlign w:val="subscript"/>
          <w:bCs/>
          <w:b/>
        </w:rPr>
        <w:t xml:space="preserve">O</w:t>
      </w:r>
      <w:r>
        <w:rPr>
          <w:bCs/>
          <w:b/>
        </w:rPr>
        <w:t xml:space="preserve"> </w:t>
      </w:r>
      <w:r>
        <w:rPr>
          <w:bCs/>
          <w:b/>
        </w:rPr>
        <w:t xml:space="preserve">cell used a different smearing from the doped cells, say so in Section 2.4 of the main text.]</w:t>
      </w:r>
    </w:p>
    <w:bookmarkEnd w:id="20"/>
    <w:bookmarkStart w:id="27" w:name="Xf7c833b920909eccf44fd26ff5bd6363caad309"/>
    <w:p>
      <w:pPr>
        <w:pStyle w:val="Heading3"/>
      </w:pPr>
      <w:r>
        <w:t xml:space="preserve">S2. Additional projected densities of states</w:t>
      </w:r>
    </w:p>
    <w:p>
      <w:pPr>
        <w:pStyle w:val="FirstParagraph"/>
      </w:pPr>
      <w:r>
        <w:rPr>
          <w:bCs/>
          <w:b/>
        </w:rPr>
        <w:t xml:space="preserve">S2.1 Pr_VO with dopant channels.</w:t>
      </w:r>
      <w:r>
        <w:t xml:space="preserve"> </w:t>
      </w:r>
      <w:r>
        <w:t xml:space="preserve">Figure S1 shows the PDOS of the Pr_VO cell with the Pr-5d and Pr-5p channels plotted separately from Ti-3d and O-2p. The conduction band is dominated by Ti-3d; the Fermi level lies inside the conduction band because the cell carries one net excess electron (Table 1 of the main text). The Pr.pbe-spdn-kjpaw_psl.1.0.0 dataset has Z</w:t>
      </w:r>
      <w:r>
        <w:rPr>
          <w:vertAlign w:val="subscript"/>
        </w:rPr>
        <w:t xml:space="preserve">val</w:t>
      </w:r>
      <w:r>
        <w:t xml:space="preserve"> </w:t>
      </w:r>
      <w:r>
        <w:t xml:space="preserve">= 11 (5s</w:t>
      </w:r>
      <w:r>
        <w:rPr>
          <w:vertAlign w:val="superscript"/>
        </w:rPr>
        <w:t xml:space="preserve">2</w:t>
      </w:r>
      <w:r>
        <w:t xml:space="preserve">5p</w:t>
      </w:r>
      <w:r>
        <w:rPr>
          <w:vertAlign w:val="superscript"/>
        </w:rPr>
        <w:t xml:space="preserve">6</w:t>
      </w:r>
      <w:r>
        <w:t xml:space="preserve">5d</w:t>
      </w:r>
      <w:r>
        <w:rPr>
          <w:vertAlign w:val="superscript"/>
        </w:rPr>
        <w:t xml:space="preserve">1</w:t>
      </w:r>
      <w:r>
        <w:t xml:space="preserve">(6s,6p)</w:t>
      </w:r>
      <w:r>
        <w:rPr>
          <w:vertAlign w:val="superscript"/>
        </w:rPr>
        <w:t xml:space="preserve">2</w:t>
      </w:r>
      <w:r>
        <w:t xml:space="preserve">, Table 1 of the main text) with the 4f electrons frozen in the core, so no 4f projection exists.</w:t>
      </w:r>
      <w:r>
        <w:t xml:space="preserve"> </w:t>
      </w:r>
      <w:r>
        <w:rPr>
          <w:bCs/>
          <w:b/>
        </w:rPr>
        <w:t xml:space="preserve">[AUTHOR ACTION: the interim artwork has the empty channel’s legend entry and the interpretive text box patched out; regenerate Figure S1 from projwfc.x output with channels Ti-3d, O-2p, Pr-5d, Pr-5p and total only and state the Gaussian broadening.]</w:t>
      </w:r>
      <w:r>
        <w:t xml:space="preserve"> </w:t>
      </w:r>
      <w:r>
        <w:t xml:space="preserve">The small residual between the total DOS and the sum of the projected channels arises from the incompleteness of the atomic projectors, not from a missing 4f channel.</w:t>
      </w:r>
    </w:p>
    <w:p>
      <w:pPr>
        <w:pStyle w:val="BodyText"/>
      </w:pPr>
      <w:r>
        <w:drawing>
          <wp:inline>
            <wp:extent cx="5334000" cy="3256168"/>
            <wp:effectExtent b="0" l="0" r="0" t="0"/>
            <wp:docPr descr="" title="" id="22" name="Picture"/>
            <a:graphic>
              <a:graphicData uri="http://schemas.openxmlformats.org/drawingml/2006/picture">
                <pic:pic>
                  <pic:nvPicPr>
                    <pic:cNvPr descr="../figures/FigS1_PrVO_PDOS_patched.png" id="23" name="Picture"/>
                    <pic:cNvPicPr>
                      <a:picLocks noChangeArrowheads="1" noChangeAspect="1"/>
                    </pic:cNvPicPr>
                  </pic:nvPicPr>
                  <pic:blipFill>
                    <a:blip r:embed="rId21"/>
                    <a:stretch>
                      <a:fillRect/>
                    </a:stretch>
                  </pic:blipFill>
                  <pic:spPr bwMode="auto">
                    <a:xfrm>
                      <a:off x="0" y="0"/>
                      <a:ext cx="5334000" cy="3256168"/>
                    </a:xfrm>
                    <a:prstGeom prst="rect">
                      <a:avLst/>
                    </a:prstGeom>
                    <a:noFill/>
                    <a:ln w="9525">
                      <a:noFill/>
                      <a:headEnd/>
                      <a:tailEnd/>
                    </a:ln>
                  </pic:spPr>
                </pic:pic>
              </a:graphicData>
            </a:graphic>
          </wp:inline>
        </w:drawing>
      </w:r>
    </w:p>
    <w:p>
      <w:pPr>
        <w:pStyle w:val="BodyText"/>
      </w:pPr>
      <w:r>
        <w:rPr>
          <w:iCs/>
          <w:i/>
        </w:rPr>
        <w:t xml:space="preserve">Figure S1. Projected density of states of the Pr_VO cell (PBE+U, U(Ti-3d) = 3.5 eV, 2×2×2 non-self-consistent, E</w:t>
      </w:r>
      <w:r>
        <w:rPr>
          <w:vertAlign w:val="subscript"/>
          <w:iCs/>
          <w:i/>
        </w:rPr>
        <w:t xml:space="preserve">F</w:t>
      </w:r>
      <w:r>
        <w:rPr>
          <w:iCs/>
          <w:i/>
        </w:rPr>
        <w:t xml:space="preserve"> </w:t>
      </w:r>
      <w:r>
        <w:rPr>
          <w:iCs/>
          <w:i/>
        </w:rPr>
        <w:t xml:space="preserve">= 10.306 eV). Channels: Ti-3d summed over 15 Ti; O-2p summed over 31 O; Pr-5d; Pr-5p; total.</w:t>
      </w:r>
      <w:r>
        <w:rPr>
          <w:iCs/>
          <w:i/>
        </w:rPr>
        <w:t xml:space="preserve"> </w:t>
      </w:r>
      <w:r>
        <w:rPr>
          <w:bCs/>
          <w:b/>
          <w:iCs/>
          <w:i/>
        </w:rPr>
        <w:t xml:space="preserve">[AUTHOR ACTION: artwork to be regenerated as noted in Section S2.1; delete this note once done.]</w:t>
      </w:r>
    </w:p>
    <w:p>
      <w:pPr>
        <w:pStyle w:val="BodyText"/>
      </w:pPr>
      <w:r>
        <w:rPr>
          <w:bCs/>
          <w:b/>
        </w:rPr>
        <w:t xml:space="preserve">S2.2 Total DOS, Pr_VO versus Rb_VO.</w:t>
      </w:r>
      <w:r>
        <w:t xml:space="preserve"> </w:t>
      </w:r>
      <w:r>
        <w:t xml:space="preserve">Figure S2 shows the non-spin-resolved companion of Figure 4 of the main text. Pr_VO: E</w:t>
      </w:r>
      <w:r>
        <w:rPr>
          <w:vertAlign w:val="subscript"/>
        </w:rPr>
        <w:t xml:space="preserve">F</w:t>
      </w:r>
      <w:r>
        <w:t xml:space="preserve"> </w:t>
      </w:r>
      <w:r>
        <w:t xml:space="preserve">= 10.31 eV inside the Ti-3d conduction band. Rb_VO: E</w:t>
      </w:r>
      <w:r>
        <w:rPr>
          <w:vertAlign w:val="subscript"/>
        </w:rPr>
        <w:t xml:space="preserve">F</w:t>
      </w:r>
      <w:r>
        <w:t xml:space="preserve"> </w:t>
      </w:r>
      <w:r>
        <w:t xml:space="preserve">= 7.14 eV at the top of the O-2p valence band, with a small feature straddling E</w:t>
      </w:r>
      <w:r>
        <w:rPr>
          <w:vertAlign w:val="subscript"/>
        </w:rPr>
        <w:t xml:space="preserve">F</w:t>
      </w:r>
      <w:r>
        <w:t xml:space="preserve"> </w:t>
      </w:r>
      <w:r>
        <w:t xml:space="preserve">and centred just above it.</w:t>
      </w:r>
      <w:r>
        <w:t xml:space="preserve"> </w:t>
      </w:r>
      <w:r>
        <w:rPr>
          <w:bCs/>
          <w:b/>
        </w:rPr>
        <w:t xml:space="preserve">[AUTHOR ACTION: the panel subtitles of the interim artwork were patched (</w:t>
      </w:r>
      <w:r>
        <w:rPr>
          <w:bCs/>
          <w:b/>
        </w:rPr>
        <w:t xml:space="preserve">“</w:t>
      </w:r>
      <w:r>
        <w:rPr>
          <w:bCs/>
          <w:b/>
        </w:rPr>
        <w:t xml:space="preserve">singlet</w:t>
      </w:r>
      <w:r>
        <w:rPr>
          <w:bCs/>
          <w:b/>
        </w:rPr>
        <w:t xml:space="preserve">”</w:t>
      </w:r>
      <w:r>
        <w:rPr>
          <w:bCs/>
          <w:b/>
        </w:rPr>
        <w:t xml:space="preserve"> </w:t>
      </w:r>
      <w:r>
        <w:rPr>
          <w:bCs/>
          <w:b/>
        </w:rPr>
        <w:t xml:space="preserve">removed; m</w:t>
      </w:r>
      <w:r>
        <w:rPr>
          <w:vertAlign w:val="subscript"/>
          <w:bCs/>
          <w:b/>
        </w:rPr>
        <w:t xml:space="preserve">abs</w:t>
      </w:r>
      <w:r>
        <w:rPr>
          <w:bCs/>
          <w:b/>
        </w:rPr>
        <w:t xml:space="preserve"> </w:t>
      </w:r>
      <w:r>
        <w:rPr>
          <w:bCs/>
          <w:b/>
        </w:rPr>
        <w:t xml:space="preserve">instead of |m|); regenerate from the projwfc.x output.]</w:t>
      </w:r>
    </w:p>
    <w:p>
      <w:pPr>
        <w:pStyle w:val="BodyText"/>
      </w:pPr>
      <w:r>
        <w:drawing>
          <wp:inline>
            <wp:extent cx="5334000" cy="5191158"/>
            <wp:effectExtent b="0" l="0" r="0" t="0"/>
            <wp:docPr descr="" title="" id="25" name="Picture"/>
            <a:graphic>
              <a:graphicData uri="http://schemas.openxmlformats.org/drawingml/2006/picture">
                <pic:pic>
                  <pic:nvPicPr>
                    <pic:cNvPr descr="../figures/FigS2_total_PDOS_patched.png" id="26" name="Picture"/>
                    <pic:cNvPicPr>
                      <a:picLocks noChangeArrowheads="1" noChangeAspect="1"/>
                    </pic:cNvPicPr>
                  </pic:nvPicPr>
                  <pic:blipFill>
                    <a:blip r:embed="rId24"/>
                    <a:stretch>
                      <a:fillRect/>
                    </a:stretch>
                  </pic:blipFill>
                  <pic:spPr bwMode="auto">
                    <a:xfrm>
                      <a:off x="0" y="0"/>
                      <a:ext cx="5334000" cy="5191158"/>
                    </a:xfrm>
                    <a:prstGeom prst="rect">
                      <a:avLst/>
                    </a:prstGeom>
                    <a:noFill/>
                    <a:ln w="9525">
                      <a:noFill/>
                      <a:headEnd/>
                      <a:tailEnd/>
                    </a:ln>
                  </pic:spPr>
                </pic:pic>
              </a:graphicData>
            </a:graphic>
          </wp:inline>
        </w:drawing>
      </w:r>
    </w:p>
    <w:p>
      <w:pPr>
        <w:pStyle w:val="BodyText"/>
      </w:pPr>
      <w:r>
        <w:rPr>
          <w:iCs/>
          <w:i/>
        </w:rPr>
        <w:t xml:space="preserve">Figure S2. Projected density of states of Pr_VO (top) and Rb_VO (bottom) without spin decomposition. Filled blue: Ti-3d; red: O-2p; purple: dopant d; grey: total.</w:t>
      </w:r>
    </w:p>
    <w:bookmarkEnd w:id="27"/>
    <w:bookmarkStart w:id="28" w:name="s3.-hubbard-u-sensitivity-sweep"/>
    <w:p>
      <w:pPr>
        <w:pStyle w:val="Heading3"/>
      </w:pPr>
      <w:r>
        <w:t xml:space="preserve">S3. Hubbard-U sensitivity sweep</w:t>
      </w:r>
    </w:p>
    <w:p>
      <w:pPr>
        <w:pStyle w:val="FirstParagraph"/>
      </w:pPr>
      <w:r>
        <w:t xml:space="preserve">Single-point calculations on the relaxed Pristine_perfect, Pr_VO and Rb_VO cells at U(Ti-3d) = 3.0, 4.0 and 4.5 eV (Γ-only, 40 Ry, ortho-atomic projectors). The maximum variation of the printed Fermi energy across the sweep is 0.26 eV.</w:t>
      </w:r>
    </w:p>
    <w:p>
      <w:pPr>
        <w:pStyle w:val="BodyText"/>
      </w:pPr>
      <w:r>
        <w:rPr>
          <w:iCs/>
          <w:i/>
          <w:bCs/>
          <w:b/>
        </w:rPr>
        <w:t xml:space="preserve">Table S1. Absolute magnetisation m</w:t>
      </w:r>
      <w:r>
        <w:rPr>
          <w:vertAlign w:val="subscript"/>
          <w:iCs/>
          <w:i/>
          <w:bCs/>
          <w:b/>
        </w:rPr>
        <w:t xml:space="preserve">abs</w:t>
      </w:r>
      <w:r>
        <w:rPr>
          <w:iCs/>
          <w:i/>
          <w:bCs/>
          <w:b/>
        </w:rPr>
        <w:t xml:space="preserve"> </w:t>
      </w:r>
      <w:r>
        <w:rPr>
          <w:iCs/>
          <w:i/>
          <w:bCs/>
          <w:b/>
        </w:rPr>
        <w:t xml:space="preserve">(μ</w:t>
      </w:r>
      <w:r>
        <w:rPr>
          <w:vertAlign w:val="subscript"/>
          <w:iCs/>
          <w:i/>
          <w:bCs/>
          <w:b/>
        </w:rPr>
        <w:t xml:space="preserve">B</w:t>
      </w:r>
      <w:r>
        <w:rPr>
          <w:iCs/>
          <w:i/>
          <w:bCs/>
          <w:b/>
        </w:rPr>
        <w:t xml:space="preserve">) across the U(Ti-3d) sweep.</w:t>
      </w:r>
      <w:r>
        <w:t xml:space="preserve"> </w:t>
      </w:r>
      <w:r>
        <w:rPr>
          <w:iCs/>
          <w:i/>
        </w:rPr>
        <w:t xml:space="preserve">The production (3.5 eV) column is from the relaxed calculation; the others are single points on the same geometry.</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U = 3.0</w:t>
            </w:r>
          </w:p>
        </w:tc>
        <w:tc>
          <w:tcPr/>
          <w:p>
            <w:pPr>
              <w:pStyle w:val="Compact"/>
              <w:jc w:val="left"/>
            </w:pPr>
            <w:r>
              <w:t xml:space="preserve">U = 3.5 (production)</w:t>
            </w:r>
          </w:p>
        </w:tc>
        <w:tc>
          <w:tcPr/>
          <w:p>
            <w:pPr>
              <w:pStyle w:val="Compact"/>
              <w:jc w:val="left"/>
            </w:pPr>
            <w:r>
              <w:t xml:space="preserve">U = 4.0</w:t>
            </w:r>
          </w:p>
        </w:tc>
        <w:tc>
          <w:tcPr/>
          <w:p>
            <w:pPr>
              <w:pStyle w:val="Compact"/>
              <w:jc w:val="left"/>
            </w:pPr>
            <w:r>
              <w:t xml:space="preserve">U = 4.5</w:t>
            </w:r>
          </w:p>
        </w:tc>
      </w:tr>
      <w:tr>
        <w:tc>
          <w:tcPr/>
          <w:p>
            <w:pPr>
              <w:pStyle w:val="Compact"/>
              <w:jc w:val="left"/>
            </w:pPr>
            <w:r>
              <w:t xml:space="preserve">Pristine_perfect</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Pr_VO</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Rb_VO</w:t>
            </w:r>
          </w:p>
        </w:tc>
        <w:tc>
          <w:tcPr/>
          <w:p>
            <w:pPr>
              <w:pStyle w:val="Compact"/>
              <w:jc w:val="left"/>
            </w:pPr>
            <w:r>
              <w:t xml:space="preserve">1.00</w:t>
            </w:r>
          </w:p>
        </w:tc>
        <w:tc>
          <w:tcPr/>
          <w:p>
            <w:pPr>
              <w:pStyle w:val="Compact"/>
              <w:jc w:val="left"/>
            </w:pPr>
            <w:r>
              <w:t xml:space="preserve">1.21</w:t>
            </w:r>
          </w:p>
        </w:tc>
        <w:tc>
          <w:tcPr/>
          <w:p>
            <w:pPr>
              <w:pStyle w:val="Compact"/>
              <w:jc w:val="left"/>
            </w:pPr>
            <w:r>
              <w:t xml:space="preserve">1.00</w:t>
            </w:r>
          </w:p>
        </w:tc>
        <w:tc>
          <w:tcPr/>
          <w:p>
            <w:pPr>
              <w:pStyle w:val="Compact"/>
              <w:jc w:val="left"/>
            </w:pPr>
            <w:r>
              <w:t xml:space="preserve">1.00</w:t>
            </w:r>
          </w:p>
        </w:tc>
      </w:tr>
    </w:tbl>
    <w:p>
      <w:pPr>
        <w:pStyle w:val="BodyText"/>
      </w:pPr>
      <w:r>
        <w:rPr>
          <w:bCs/>
          <w:b/>
        </w:rPr>
        <w:t xml:space="preserve">[AUTHOR ACTION: add the total energies and Fermi energies of the nine single points as additional columns, with run identifiers.]</w:t>
      </w:r>
    </w:p>
    <w:bookmarkEnd w:id="28"/>
    <w:bookmarkStart w:id="29" w:name="s4.-k-mesh-verification"/>
    <w:p>
      <w:pPr>
        <w:pStyle w:val="Heading3"/>
      </w:pPr>
      <w:r>
        <w:t xml:space="preserve">S4. k-mesh verification</w:t>
      </w:r>
    </w:p>
    <w:p>
      <w:pPr>
        <w:pStyle w:val="FirstParagraph"/>
      </w:pPr>
      <w:r>
        <w:t xml:space="preserve">Single-point SCF energies on the Γ-relaxed geometries at a 2×2×2 Monkhorst–Pack mesh (40 Ry, U(Ti-3d) = 3.5 eV).</w:t>
      </w:r>
    </w:p>
    <w:p>
      <w:pPr>
        <w:pStyle w:val="BodyText"/>
      </w:pPr>
      <w:r>
        <w:rPr>
          <w:iCs/>
          <w:i/>
          <w:bCs/>
          <w:b/>
        </w:rPr>
        <w:t xml:space="preserve">Table S2. Total energies at Γ-only and 2×2×2 (Ry) and the resulting formation energies (eV).</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Cell</w:t>
            </w:r>
          </w:p>
        </w:tc>
        <w:tc>
          <w:tcPr/>
          <w:p>
            <w:pPr>
              <w:pStyle w:val="Compact"/>
              <w:jc w:val="left"/>
            </w:pPr>
            <w:r>
              <w:t xml:space="preserve">E</w:t>
            </w:r>
            <w:r>
              <w:rPr>
                <w:vertAlign w:val="subscript"/>
              </w:rPr>
              <w:t xml:space="preserve">tot</w:t>
            </w:r>
            <w:r>
              <w:t xml:space="preserve">, Γ (Ry)</w:t>
            </w:r>
          </w:p>
        </w:tc>
        <w:tc>
          <w:tcPr/>
          <w:p>
            <w:pPr>
              <w:pStyle w:val="Compact"/>
              <w:jc w:val="left"/>
            </w:pPr>
            <w:r>
              <w:t xml:space="preserve">E</w:t>
            </w:r>
            <w:r>
              <w:rPr>
                <w:vertAlign w:val="subscript"/>
              </w:rPr>
              <w:t xml:space="preserve">tot</w:t>
            </w:r>
            <w:r>
              <w:t xml:space="preserve">, 2×2×2 (Ry)</w:t>
            </w:r>
          </w:p>
        </w:tc>
        <w:tc>
          <w:tcPr/>
          <w:p>
            <w:pPr>
              <w:pStyle w:val="Compact"/>
              <w:jc w:val="left"/>
            </w:pPr>
            <w:r>
              <w:t xml:space="preserve">ΔE = E(2×2×2) − E(Γ) (Ry)</w:t>
            </w:r>
          </w:p>
        </w:tc>
        <w:tc>
          <w:tcPr/>
          <w:p>
            <w:pPr>
              <w:pStyle w:val="Compact"/>
              <w:jc w:val="left"/>
            </w:pPr>
            <w:r>
              <w:t xml:space="preserve">ΔE (eV)</w:t>
            </w:r>
          </w:p>
        </w:tc>
      </w:tr>
      <w:tr>
        <w:tc>
          <w:tcPr/>
          <w:p>
            <w:pPr>
              <w:pStyle w:val="Compact"/>
              <w:jc w:val="left"/>
            </w:pPr>
            <w:r>
              <w:t xml:space="preserve">Pr_perfect</w:t>
            </w:r>
          </w:p>
        </w:tc>
        <w:tc>
          <w:tcPr/>
          <w:p>
            <w:pPr>
              <w:pStyle w:val="Compact"/>
              <w:jc w:val="left"/>
            </w:pPr>
            <w:r>
              <w:t xml:space="preserve">−4576.71224</w:t>
            </w:r>
          </w:p>
        </w:tc>
        <w:tc>
          <w:tcPr/>
          <w:p>
            <w:pPr>
              <w:pStyle w:val="Compact"/>
              <w:jc w:val="left"/>
            </w:pPr>
            <w:r>
              <w:t xml:space="preserve">−4576.62183</w:t>
            </w:r>
          </w:p>
        </w:tc>
        <w:tc>
          <w:tcPr/>
          <w:p>
            <w:pPr>
              <w:pStyle w:val="Compact"/>
              <w:jc w:val="left"/>
            </w:pPr>
            <w:r>
              <w:t xml:space="preserve">+0.09041</w:t>
            </w:r>
          </w:p>
        </w:tc>
        <w:tc>
          <w:tcPr/>
          <w:p>
            <w:pPr>
              <w:pStyle w:val="Compact"/>
              <w:jc w:val="left"/>
            </w:pPr>
            <w:r>
              <w:t xml:space="preserve">+1.230</w:t>
            </w:r>
          </w:p>
        </w:tc>
      </w:tr>
      <w:tr>
        <w:tc>
          <w:tcPr/>
          <w:p>
            <w:pPr>
              <w:pStyle w:val="Compact"/>
              <w:jc w:val="left"/>
            </w:pPr>
            <w:r>
              <w:t xml:space="preserve">Pr_VO</w:t>
            </w:r>
          </w:p>
        </w:tc>
        <w:tc>
          <w:tcPr/>
          <w:p>
            <w:pPr>
              <w:pStyle w:val="Compact"/>
              <w:jc w:val="left"/>
            </w:pPr>
            <w:r>
              <w:t xml:space="preserve">−4535.10106</w:t>
            </w:r>
          </w:p>
        </w:tc>
        <w:tc>
          <w:tcPr/>
          <w:p>
            <w:pPr>
              <w:pStyle w:val="Compact"/>
              <w:jc w:val="left"/>
            </w:pPr>
            <w:r>
              <w:t xml:space="preserve">−4535.01814</w:t>
            </w:r>
          </w:p>
        </w:tc>
        <w:tc>
          <w:tcPr/>
          <w:p>
            <w:pPr>
              <w:pStyle w:val="Compact"/>
              <w:jc w:val="left"/>
            </w:pPr>
            <w:r>
              <w:t xml:space="preserve">+0.08292</w:t>
            </w:r>
          </w:p>
        </w:tc>
        <w:tc>
          <w:tcPr/>
          <w:p>
            <w:pPr>
              <w:pStyle w:val="Compact"/>
              <w:jc w:val="left"/>
            </w:pPr>
            <w:r>
              <w:t xml:space="preserve">+1.128</w:t>
            </w:r>
          </w:p>
        </w:tc>
      </w:tr>
      <w:tr>
        <w:tc>
          <w:tcPr/>
          <w:p>
            <w:pPr>
              <w:pStyle w:val="Compact"/>
              <w:jc w:val="left"/>
            </w:pPr>
            <w:r>
              <w:t xml:space="preserve">Rb_perfect</w:t>
            </w:r>
          </w:p>
        </w:tc>
        <w:tc>
          <w:tcPr/>
          <w:p>
            <w:pPr>
              <w:pStyle w:val="Compact"/>
              <w:jc w:val="left"/>
            </w:pPr>
            <w:r>
              <w:t xml:space="preserve">−4330.38890</w:t>
            </w:r>
          </w:p>
        </w:tc>
        <w:tc>
          <w:tcPr/>
          <w:p>
            <w:pPr>
              <w:pStyle w:val="Compact"/>
              <w:jc w:val="left"/>
            </w:pPr>
            <w:r>
              <w:t xml:space="preserve">−4330.28761</w:t>
            </w:r>
          </w:p>
        </w:tc>
        <w:tc>
          <w:tcPr/>
          <w:p>
            <w:pPr>
              <w:pStyle w:val="Compact"/>
              <w:jc w:val="left"/>
            </w:pPr>
            <w:r>
              <w:t xml:space="preserve">+0.10129</w:t>
            </w:r>
          </w:p>
        </w:tc>
        <w:tc>
          <w:tcPr/>
          <w:p>
            <w:pPr>
              <w:pStyle w:val="Compact"/>
              <w:jc w:val="left"/>
            </w:pPr>
            <w:r>
              <w:t xml:space="preserve">+1.378</w:t>
            </w:r>
          </w:p>
        </w:tc>
      </w:tr>
      <w:tr>
        <w:tc>
          <w:tcPr/>
          <w:p>
            <w:pPr>
              <w:pStyle w:val="Compact"/>
              <w:jc w:val="left"/>
            </w:pPr>
            <w:r>
              <w:t xml:space="preserve">Rb_VO</w:t>
            </w:r>
          </w:p>
        </w:tc>
        <w:tc>
          <w:tcPr/>
          <w:p>
            <w:pPr>
              <w:pStyle w:val="Compact"/>
              <w:jc w:val="left"/>
            </w:pPr>
            <w:r>
              <w:t xml:space="preserve">−4289.17135</w:t>
            </w:r>
          </w:p>
        </w:tc>
        <w:tc>
          <w:tcPr/>
          <w:p>
            <w:pPr>
              <w:pStyle w:val="Compact"/>
              <w:jc w:val="left"/>
            </w:pPr>
            <w:r>
              <w:t xml:space="preserve">−4289.08034</w:t>
            </w:r>
          </w:p>
        </w:tc>
        <w:tc>
          <w:tcPr/>
          <w:p>
            <w:pPr>
              <w:pStyle w:val="Compact"/>
              <w:jc w:val="left"/>
            </w:pPr>
            <w:r>
              <w:t xml:space="preserve">+0.09101</w:t>
            </w:r>
          </w:p>
        </w:tc>
        <w:tc>
          <w:tcPr/>
          <w:p>
            <w:pPr>
              <w:pStyle w:val="Compact"/>
              <w:jc w:val="left"/>
            </w:pPr>
            <w:r>
              <w:t xml:space="preserve">+1.238</w:t>
            </w: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Pr)</w:t>
            </w:r>
          </w:p>
        </w:tc>
        <w:tc>
          <w:tcPr/>
          <w:p>
            <w:pPr>
              <w:pStyle w:val="Compact"/>
              <w:jc w:val="left"/>
            </w:pPr>
            <w:r>
              <w:t xml:space="preserve">+1.292 eV</w:t>
            </w:r>
          </w:p>
        </w:tc>
        <w:tc>
          <w:tcPr/>
          <w:p>
            <w:pPr>
              <w:pStyle w:val="Compact"/>
              <w:jc w:val="left"/>
            </w:pPr>
            <w:r>
              <w:t xml:space="preserve">+1.190 eV</w:t>
            </w:r>
          </w:p>
        </w:tc>
        <w:tc>
          <w:tcPr/>
          <w:p>
            <w:pPr>
              <w:pStyle w:val="Compact"/>
            </w:pPr>
          </w:p>
        </w:tc>
        <w:tc>
          <w:tcPr/>
          <w:p>
            <w:pPr>
              <w:pStyle w:val="Compact"/>
            </w:pPr>
          </w:p>
        </w:tc>
      </w:tr>
      <w:tr>
        <w:tc>
          <w:tcPr/>
          <w:p>
            <w:pPr>
              <w:pStyle w:val="Compact"/>
              <w:jc w:val="left"/>
            </w:pPr>
            <w:r>
              <w:t xml:space="preserve">E</w:t>
            </w:r>
            <w:r>
              <w:rPr>
                <w:vertAlign w:val="subscript"/>
              </w:rPr>
              <w:t xml:space="preserve">f</w:t>
            </w:r>
            <w:r>
              <w:t xml:space="preserve">(V</w:t>
            </w:r>
            <w:r>
              <w:rPr>
                <w:vertAlign w:val="subscript"/>
              </w:rPr>
              <w:t xml:space="preserve">O</w:t>
            </w:r>
            <w:r>
              <w:t xml:space="preserve">; Rb)</w:t>
            </w:r>
          </w:p>
        </w:tc>
        <w:tc>
          <w:tcPr/>
          <w:p>
            <w:pPr>
              <w:pStyle w:val="Compact"/>
              <w:jc w:val="left"/>
            </w:pPr>
            <w:r>
              <w:t xml:space="preserve">−4.063 eV</w:t>
            </w:r>
          </w:p>
        </w:tc>
        <w:tc>
          <w:tcPr/>
          <w:p>
            <w:pPr>
              <w:pStyle w:val="Compact"/>
              <w:jc w:val="left"/>
            </w:pPr>
            <w:r>
              <w:t xml:space="preserve">−4.203 eV</w:t>
            </w:r>
          </w:p>
        </w:tc>
        <w:tc>
          <w:tcPr/>
          <w:p>
            <w:pPr>
              <w:pStyle w:val="Compact"/>
            </w:pPr>
          </w:p>
        </w:tc>
        <w:tc>
          <w:tcPr/>
          <w:p>
            <w:pPr>
              <w:pStyle w:val="Compact"/>
            </w:pPr>
          </w:p>
        </w:tc>
      </w:tr>
      <w:tr>
        <w:tc>
          <w:tcPr/>
          <w:p>
            <w:pPr>
              <w:pStyle w:val="Compact"/>
              <w:jc w:val="left"/>
            </w:pPr>
            <w:r>
              <w:t xml:space="preserve">ΔE</w:t>
            </w:r>
            <w:r>
              <w:rPr>
                <w:vertAlign w:val="subscript"/>
              </w:rPr>
              <w:t xml:space="preserve">f</w:t>
            </w:r>
            <w:r>
              <w:t xml:space="preserve"> </w:t>
            </w:r>
            <w:r>
              <w:t xml:space="preserve">(Pr − Rb)</w:t>
            </w:r>
          </w:p>
        </w:tc>
        <w:tc>
          <w:tcPr/>
          <w:p>
            <w:pPr>
              <w:pStyle w:val="Compact"/>
              <w:jc w:val="left"/>
            </w:pPr>
            <w:r>
              <w:t xml:space="preserve">+5.356 eV</w:t>
            </w:r>
          </w:p>
        </w:tc>
        <w:tc>
          <w:tcPr/>
          <w:p>
            <w:pPr>
              <w:pStyle w:val="Compact"/>
              <w:jc w:val="left"/>
            </w:pPr>
            <w:r>
              <w:t xml:space="preserve">+5.394 eV</w:t>
            </w:r>
          </w:p>
        </w:tc>
        <w:tc>
          <w:tcPr/>
          <w:p>
            <w:pPr>
              <w:pStyle w:val="Compact"/>
            </w:pPr>
          </w:p>
        </w:tc>
        <w:tc>
          <w:tcPr/>
          <w:p>
            <w:pPr>
              <w:pStyle w:val="Compact"/>
              <w:jc w:val="left"/>
            </w:pPr>
            <w:r>
              <w:t xml:space="preserve">ΔΔE = +0.038 eV</w:t>
            </w:r>
          </w:p>
        </w:tc>
      </w:tr>
    </w:tbl>
    <w:p>
      <w:pPr>
        <w:pStyle w:val="BodyText"/>
      </w:pPr>
      <w:r>
        <w:t xml:space="preserve">ΔΔE is defined as the 2×2×2 contrast minus the Γ-only contrast. The main text (Section 3.7) also quotes energies for Pristine_perfect, Pr_VO and Rb_VO at 2×2×1, 2×2×2 and 3×3×2 meshes (magnitudes of E(Γ) − E(3×3×2): 1.05, 1.08, 1.16 eV; of E(2×2×1) − E(3×3×2): 1.15, 1.05, 0.42 meV/atom). In the table above ΔE = E</w:t>
      </w:r>
      <w:r>
        <w:rPr>
          <w:vertAlign w:val="subscript"/>
        </w:rPr>
        <w:t xml:space="preserve">tot</w:t>
      </w:r>
      <w:r>
        <w:t xml:space="preserve">(2×2×2) − E</w:t>
      </w:r>
      <w:r>
        <w:rPr>
          <w:vertAlign w:val="subscript"/>
        </w:rPr>
        <w:t xml:space="preserve">tot</w:t>
      </w:r>
      <w:r>
        <w:t xml:space="preserve">(Γ) is positive, so the 2×2×2 energies lie above the Γ-only ones; they agree with the quoted 3×3×2 values to 0.05–0.08 eV only if the Γ-only energies lie below 3×3×2.</w:t>
      </w:r>
      <w:r>
        <w:t xml:space="preserve"> </w:t>
      </w:r>
      <w:r>
        <w:rPr>
          <w:bCs/>
          <w:b/>
        </w:rPr>
        <w:t xml:space="preserve">[AUTHOR ACTION: state the sign of E(Γ) − E(3×3×2) for each cell from the output files.]</w:t>
      </w:r>
      <w:r>
        <w:t xml:space="preserve"> </w:t>
      </w:r>
      <w:r>
        <w:rPr>
          <w:bCs/>
          <w:b/>
        </w:rPr>
        <w:t xml:space="preserve">[AUTHOR ACTION: add all of those energies to this table with run identifiers, including Pristine_perfect at 2×2×2; the pristine V</w:t>
      </w:r>
      <w:r>
        <w:rPr>
          <w:vertAlign w:val="subscript"/>
          <w:bCs/>
          <w:b/>
        </w:rPr>
        <w:t xml:space="preserve">O</w:t>
      </w:r>
      <w:r>
        <w:rPr>
          <w:bCs/>
          <w:b/>
        </w:rPr>
        <w:t xml:space="preserve"> </w:t>
      </w:r>
      <w:r>
        <w:rPr>
          <w:bCs/>
          <w:b/>
        </w:rPr>
        <w:t xml:space="preserve">cell was not computed at 2×2×2. The earlier run log listed only Pr_perfect, Rb_perfect and Pr_VO as completed for the 2×2×2 stage although an Rb_VO value is reported above; confirm the Rb_VO 2×2×2 run from its output file.]</w:t>
      </w:r>
    </w:p>
    <w:bookmarkEnd w:id="29"/>
    <w:bookmarkStart w:id="30" w:name="s5.-bader-topological-charge-analysis"/>
    <w:p>
      <w:pPr>
        <w:pStyle w:val="Heading3"/>
      </w:pPr>
      <w:r>
        <w:t xml:space="preserve">S5. Bader topological-charge analysis</w:t>
      </w:r>
    </w:p>
    <w:p>
      <w:pPr>
        <w:pStyle w:val="FirstParagraph"/>
      </w:pPr>
      <w:r>
        <w:t xml:space="preserve">Bader analysis of the relaxed Pr_VO and Rb_VO cells: pp.x charge density (plot_num = 0, output_format = 6, Gaussian cube) decomposed with the Henkelman grid-based code (v1.05, 2023-08-19).</w:t>
      </w:r>
      <w:r>
        <w:t xml:space="preserve"> </w:t>
      </w:r>
      <w:r>
        <w:rPr>
          <w:bCs/>
          <w:b/>
        </w:rPr>
        <w:t xml:space="preserve">[AUTHOR ACTION: state the FFT grid dimensions and whether the all-electron PAW density was reconstructed; if not, say that the comparison uses the smooth valence density.]</w:t>
      </w:r>
    </w:p>
    <w:p>
      <w:pPr>
        <w:pStyle w:val="BodyText"/>
      </w:pPr>
      <w:r>
        <w:rPr>
          <w:iCs/>
          <w:i/>
          <w:bCs/>
          <w:b/>
        </w:rPr>
        <w:t xml:space="preserve">Table S3. Summary Bader metrics.</w:t>
      </w:r>
      <w:r>
        <w:t xml:space="preserve"> </w:t>
      </w:r>
      <w:r>
        <w:rPr>
          <w:iCs/>
          <w:i/>
        </w:rPr>
        <w:t xml:space="preserve">Charges are Bader electron populations in e;</w:t>
      </w:r>
      <w:r>
        <w:rPr>
          <w:iCs/>
          <w:i/>
        </w:rPr>
        <w:t xml:space="preserve"> </w:t>
      </w:r>
      <w:r>
        <w:rPr>
          <w:iCs/>
          <w:i/>
        </w:rPr>
        <w:t xml:space="preserve">“</w:t>
      </w:r>
      <w:r>
        <w:rPr>
          <w:iCs/>
          <w:i/>
        </w:rPr>
        <w:t xml:space="preserve">depletion</w:t>
      </w:r>
      <w:r>
        <w:rPr>
          <w:iCs/>
          <w:i/>
        </w:rPr>
        <w:t xml:space="preserve">”</w:t>
      </w:r>
      <w:r>
        <w:rPr>
          <w:iCs/>
          <w:i/>
        </w:rPr>
        <w:t xml:space="preserve"> </w:t>
      </w:r>
      <w:r>
        <w:rPr>
          <w:iCs/>
          <w:i/>
        </w:rPr>
        <w:t xml:space="preserve">is the population difference Rb_VO − Pr_VO for the corresponding atom.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Pr_VO</w:t>
            </w:r>
          </w:p>
        </w:tc>
        <w:tc>
          <w:tcPr/>
          <w:p>
            <w:pPr>
              <w:pStyle w:val="Compact"/>
              <w:jc w:val="left"/>
            </w:pPr>
            <w:r>
              <w:t xml:space="preserve">Rb_VO</w:t>
            </w:r>
          </w:p>
        </w:tc>
      </w:tr>
      <w:tr>
        <w:tc>
          <w:tcPr/>
          <w:p>
            <w:pPr>
              <w:pStyle w:val="Compact"/>
              <w:jc w:val="left"/>
            </w:pPr>
            <w:r>
              <w:t xml:space="preserve">Total electrons (Bader sum)</w:t>
            </w:r>
          </w:p>
        </w:tc>
        <w:tc>
          <w:tcPr/>
          <w:p>
            <w:pPr>
              <w:pStyle w:val="Compact"/>
              <w:jc w:val="left"/>
            </w:pPr>
            <w:r>
              <w:t xml:space="preserve">376.998</w:t>
            </w:r>
          </w:p>
        </w:tc>
        <w:tc>
          <w:tcPr/>
          <w:p>
            <w:pPr>
              <w:pStyle w:val="Compact"/>
              <w:jc w:val="left"/>
            </w:pPr>
            <w:r>
              <w:t xml:space="preserve">374.998</w:t>
            </w:r>
          </w:p>
        </w:tc>
      </w:tr>
      <w:tr>
        <w:tc>
          <w:tcPr/>
          <w:p>
            <w:pPr>
              <w:pStyle w:val="Compact"/>
              <w:jc w:val="left"/>
            </w:pPr>
            <w:r>
              <w:t xml:space="preserve">Mean Ti population (15 atoms)</w:t>
            </w:r>
          </w:p>
        </w:tc>
        <w:tc>
          <w:tcPr/>
          <w:p>
            <w:pPr>
              <w:pStyle w:val="Compact"/>
              <w:jc w:val="left"/>
            </w:pPr>
            <w:r>
              <w:t xml:space="preserve">9.683</w:t>
            </w:r>
          </w:p>
        </w:tc>
        <w:tc>
          <w:tcPr/>
          <w:p>
            <w:pPr>
              <w:pStyle w:val="Compact"/>
              <w:jc w:val="left"/>
            </w:pPr>
            <w:r>
              <w:t xml:space="preserve">9.671</w:t>
            </w:r>
          </w:p>
        </w:tc>
      </w:tr>
      <w:tr>
        <w:tc>
          <w:tcPr/>
          <w:p>
            <w:pPr>
              <w:pStyle w:val="Compact"/>
              <w:jc w:val="left"/>
            </w:pPr>
            <w:r>
              <w:t xml:space="preserve">Mean O population (31 atoms)</w:t>
            </w:r>
          </w:p>
        </w:tc>
        <w:tc>
          <w:tcPr/>
          <w:p>
            <w:pPr>
              <w:pStyle w:val="Compact"/>
              <w:jc w:val="left"/>
            </w:pPr>
            <w:r>
              <w:t xml:space="preserve">7.187</w:t>
            </w:r>
          </w:p>
        </w:tc>
        <w:tc>
          <w:tcPr/>
          <w:p>
            <w:pPr>
              <w:pStyle w:val="Compact"/>
              <w:jc w:val="left"/>
            </w:pPr>
            <w:r>
              <w:t xml:space="preserve">7.155</w:t>
            </w:r>
          </w:p>
        </w:tc>
      </w:tr>
      <w:tr>
        <w:tc>
          <w:tcPr/>
          <w:p>
            <w:pPr>
              <w:pStyle w:val="Compact"/>
              <w:jc w:val="left"/>
            </w:pPr>
            <w:r>
              <w:t xml:space="preserve">Dopant Bader charge (Z</w:t>
            </w:r>
            <w:r>
              <w:rPr>
                <w:vertAlign w:val="subscript"/>
              </w:rPr>
              <w:t xml:space="preserve">val</w:t>
            </w:r>
            <w:r>
              <w:t xml:space="preserve"> </w:t>
            </w:r>
            <w:r>
              <w:t xml:space="preserve">minus population)</w:t>
            </w:r>
          </w:p>
        </w:tc>
        <w:tc>
          <w:tcPr/>
          <w:p>
            <w:pPr>
              <w:pStyle w:val="Compact"/>
              <w:jc w:val="left"/>
            </w:pPr>
            <w:r>
              <w:t xml:space="preserve">Pr: +2.14 e</w:t>
            </w:r>
          </w:p>
        </w:tc>
        <w:tc>
          <w:tcPr/>
          <w:p>
            <w:pPr>
              <w:pStyle w:val="Compact"/>
              <w:jc w:val="left"/>
            </w:pPr>
            <w:r>
              <w:t xml:space="preserve">Rb: +0.82 e</w:t>
            </w:r>
          </w:p>
        </w:tc>
      </w:tr>
      <w:tr>
        <w:tc>
          <w:tcPr/>
          <w:p>
            <w:pPr>
              <w:pStyle w:val="Compact"/>
              <w:jc w:val="left"/>
            </w:pPr>
            <w:r>
              <w:t xml:space="preserve">O sublattice total difference (Rb_VO − Pr_VO)</w:t>
            </w:r>
          </w:p>
        </w:tc>
        <w:tc>
          <w:tcPr/>
          <w:p>
            <w:pPr>
              <w:pStyle w:val="Compact"/>
              <w:jc w:val="left"/>
            </w:pPr>
            <w:r>
              <w:t xml:space="preserve">reference</w:t>
            </w:r>
          </w:p>
        </w:tc>
        <w:tc>
          <w:tcPr/>
          <w:p>
            <w:pPr>
              <w:pStyle w:val="Compact"/>
              <w:jc w:val="left"/>
            </w:pPr>
            <w:r>
              <w:t xml:space="preserve">−0.97 e</w:t>
            </w:r>
          </w:p>
        </w:tc>
      </w:tr>
      <w:tr>
        <w:tc>
          <w:tcPr/>
          <w:p>
            <w:pPr>
              <w:pStyle w:val="Compact"/>
              <w:jc w:val="left"/>
            </w:pPr>
            <w:r>
              <w:t xml:space="preserve">Largest single-atom O depletion</w:t>
            </w:r>
          </w:p>
        </w:tc>
        <w:tc>
          <w:tcPr/>
          <w:p>
            <w:pPr>
              <w:pStyle w:val="Compact"/>
              <w:jc w:val="left"/>
            </w:pPr>
            <w:r>
              <w:t xml:space="preserve">reference</w:t>
            </w:r>
          </w:p>
        </w:tc>
        <w:tc>
          <w:tcPr/>
          <w:p>
            <w:pPr>
              <w:pStyle w:val="Compact"/>
              <w:jc w:val="left"/>
            </w:pPr>
            <w:r>
              <w:t xml:space="preserve">−0.257 e on O8 (2nd shell of Rb)</w:t>
            </w:r>
          </w:p>
        </w:tc>
      </w:tr>
      <w:tr>
        <w:tc>
          <w:tcPr/>
          <w:p>
            <w:pPr>
              <w:pStyle w:val="Compact"/>
              <w:jc w:val="left"/>
            </w:pPr>
            <w:r>
              <w:t xml:space="preserve">Second-largest O depletion</w:t>
            </w:r>
          </w:p>
        </w:tc>
        <w:tc>
          <w:tcPr/>
          <w:p>
            <w:pPr>
              <w:pStyle w:val="Compact"/>
              <w:jc w:val="left"/>
            </w:pPr>
            <w:r>
              <w:t xml:space="preserve">reference</w:t>
            </w:r>
          </w:p>
        </w:tc>
        <w:tc>
          <w:tcPr/>
          <w:p>
            <w:pPr>
              <w:pStyle w:val="Compact"/>
              <w:jc w:val="left"/>
            </w:pPr>
            <w:r>
              <w:t xml:space="preserve">−0.14 e on O30</w:t>
            </w:r>
          </w:p>
        </w:tc>
      </w:tr>
      <w:tr>
        <w:tc>
          <w:tcPr/>
          <w:p>
            <w:pPr>
              <w:pStyle w:val="Compact"/>
              <w:jc w:val="left"/>
            </w:pPr>
            <w:r>
              <w:t xml:space="preserve">Mean Ti depletion</w:t>
            </w:r>
          </w:p>
        </w:tc>
        <w:tc>
          <w:tcPr/>
          <w:p>
            <w:pPr>
              <w:pStyle w:val="Compact"/>
              <w:jc w:val="left"/>
            </w:pPr>
            <w:r>
              <w:t xml:space="preserve">reference</w:t>
            </w:r>
          </w:p>
        </w:tc>
        <w:tc>
          <w:tcPr/>
          <w:p>
            <w:pPr>
              <w:pStyle w:val="Compact"/>
              <w:jc w:val="left"/>
            </w:pPr>
            <w:r>
              <w:t xml:space="preserve">−0.012 e per Ti (−0.18 e total); none exceeds −0.05 e</w:t>
            </w:r>
          </w:p>
        </w:tc>
      </w:tr>
    </w:tbl>
    <w:p>
      <w:pPr>
        <w:pStyle w:val="BodyText"/>
      </w:pPr>
      <w:r>
        <w:t xml:space="preserve">The Bader sums reproduce the valence electron counts of Table 1 of the main text (377 and 375) and thereby confirm the Z</w:t>
      </w:r>
      <w:r>
        <w:rPr>
          <w:vertAlign w:val="subscript"/>
        </w:rPr>
        <w:t xml:space="preserve">val</w:t>
      </w:r>
      <w:r>
        <w:t xml:space="preserve"> </w:t>
      </w:r>
      <w:r>
        <w:t xml:space="preserve">= 11 (4f-in-core) Pr dataset.</w:t>
      </w:r>
      <w:r>
        <w:t xml:space="preserve"> </w:t>
      </w:r>
      <w:r>
        <w:rPr>
          <w:bCs/>
          <w:b/>
        </w:rPr>
        <w:t xml:space="preserve">[AUTHOR ACTION: the dopant charges are inconsistent with the mean populations above (sum rule: 376.998 − 15 × 9.683 − 31 × 7.187 = 8.956 e on Pr, i.e. +2.04 e; 374.998 − 15 × 9.671 − 31 × 7.155 = 8.128 e on Rb, i.e. +0.87 e); re-extract all values from ACF.dat, add the full 47-row per-atom tables for both cells as Tables S3a and S3b, state that both cells use the same atom ordering and which oxygen index was removed, and note that grid convergence of the Bader charges was not tested. Add the spin-density isosurface of Rb_VO and the site-resolved projections of its gap state as Figure S4.]</w:t>
      </w:r>
    </w:p>
    <w:bookmarkEnd w:id="30"/>
    <w:bookmarkStart w:id="31" w:name="s6.-alternative-vo-sites-in-the-pr-cell"/>
    <w:p>
      <w:pPr>
        <w:pStyle w:val="Heading3"/>
      </w:pPr>
      <w:r>
        <w:t xml:space="preserve">S6. Alternative V</w:t>
      </w:r>
      <w:r>
        <w:rPr>
          <w:vertAlign w:val="subscript"/>
        </w:rPr>
        <w:t xml:space="preserve">O</w:t>
      </w:r>
      <w:r>
        <w:t xml:space="preserve"> </w:t>
      </w:r>
      <w:r>
        <w:t xml:space="preserve">sites in the Pr cell</w:t>
      </w:r>
    </w:p>
    <w:p>
      <w:pPr>
        <w:pStyle w:val="FirstParagraph"/>
      </w:pPr>
      <w:r>
        <w:rPr>
          <w:iCs/>
          <w:i/>
          <w:bCs/>
          <w:b/>
        </w:rPr>
        <w:t xml:space="preserve">Table S4. V</w:t>
      </w:r>
      <w:r>
        <w:rPr>
          <w:vertAlign w:val="subscript"/>
          <w:iCs/>
          <w:i/>
          <w:bCs/>
          <w:b/>
        </w:rPr>
        <w:t xml:space="preserve">O</w:t>
      </w:r>
      <w:r>
        <w:rPr>
          <w:iCs/>
          <w:i/>
          <w:bCs/>
          <w:b/>
        </w:rPr>
        <w:t xml:space="preserve"> </w:t>
      </w:r>
      <w:r>
        <w:rPr>
          <w:iCs/>
          <w:i/>
          <w:bCs/>
          <w:b/>
        </w:rPr>
        <w:t xml:space="preserve">formation energies at four selected oxygen sites of the Pr-substituted cell (BFGS, U(Ti-3d) = 3.5 eV only, Γ-only, 40 Ry).</w:t>
      </w:r>
      <w:r>
        <w:t xml:space="preserve"> </w:t>
      </w:r>
      <w:r>
        <w:rPr>
          <w:iCs/>
          <w:i/>
        </w:rPr>
        <w:t xml:space="preserve">Sites O1 and O17 are symmetry-equivalent; their agreement to 0.1 meV is an internal consistency check.</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Site (index in production input)</w:t>
            </w:r>
          </w:p>
        </w:tc>
        <w:tc>
          <w:tcPr/>
          <w:p>
            <w:pPr>
              <w:pStyle w:val="Compact"/>
              <w:jc w:val="left"/>
            </w:pPr>
            <w:r>
              <w:t xml:space="preserve">Pr–O distance (Å)</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E</w:t>
            </w:r>
            <w:r>
              <w:rPr>
                <w:vertAlign w:val="subscript"/>
              </w:rPr>
              <w:t xml:space="preserve">f</w:t>
            </w:r>
            <w:r>
              <w:t xml:space="preserve">(V</w:t>
            </w:r>
            <w:r>
              <w:rPr>
                <w:vertAlign w:val="subscript"/>
              </w:rPr>
              <w:t xml:space="preserve">O</w:t>
            </w:r>
            <w:r>
              <w:t xml:space="preserve">) (eV)</w:t>
            </w:r>
          </w:p>
        </w:tc>
        <w:tc>
          <w:tcPr/>
          <w:p>
            <w:pPr>
              <w:pStyle w:val="Compact"/>
              <w:jc w:val="left"/>
            </w:pPr>
            <w:r>
              <w:t xml:space="preserve">Relative to production site (eV)</w:t>
            </w:r>
          </w:p>
        </w:tc>
      </w:tr>
      <w:tr>
        <w:tc>
          <w:tcPr/>
          <w:p>
            <w:pPr>
              <w:pStyle w:val="Compact"/>
              <w:jc w:val="left"/>
            </w:pPr>
            <w:r>
              <w:t xml:space="preserve">Production Pr_VO (nearest O to Pr)</w:t>
            </w:r>
          </w:p>
        </w:tc>
        <w:tc>
          <w:tcPr/>
          <w:p>
            <w:pPr>
              <w:pStyle w:val="Compact"/>
              <w:jc w:val="left"/>
            </w:pPr>
            <w:r>
              <w:t xml:space="preserve">≈ 2.17 (1st shell)</w:t>
            </w:r>
          </w:p>
        </w:tc>
        <w:tc>
          <w:tcPr/>
          <w:p>
            <w:pPr>
              <w:pStyle w:val="Compact"/>
              <w:jc w:val="left"/>
            </w:pPr>
            <w:r>
              <w:t xml:space="preserve">−4535.10106</w:t>
            </w:r>
          </w:p>
        </w:tc>
        <w:tc>
          <w:tcPr/>
          <w:p>
            <w:pPr>
              <w:pStyle w:val="Compact"/>
              <w:jc w:val="left"/>
            </w:pPr>
            <w:r>
              <w:t xml:space="preserve">+1.29</w:t>
            </w:r>
          </w:p>
        </w:tc>
        <w:tc>
          <w:tcPr/>
          <w:p>
            <w:pPr>
              <w:pStyle w:val="Compact"/>
              <w:jc w:val="left"/>
            </w:pPr>
            <w:r>
              <w:t xml:space="preserve">0</w:t>
            </w:r>
          </w:p>
        </w:tc>
      </w:tr>
      <w:tr>
        <w:tc>
          <w:tcPr/>
          <w:p>
            <w:pPr>
              <w:pStyle w:val="Compact"/>
              <w:jc w:val="left"/>
            </w:pPr>
            <w:r>
              <w:t xml:space="preserve">O1 (2nd shell)</w:t>
            </w:r>
          </w:p>
        </w:tc>
        <w:tc>
          <w:tcPr/>
          <w:p>
            <w:pPr>
              <w:pStyle w:val="Compact"/>
              <w:jc w:val="left"/>
            </w:pPr>
            <w:r>
              <w:t xml:space="preserve">3.99</w:t>
            </w:r>
          </w:p>
        </w:tc>
        <w:tc>
          <w:tcPr/>
          <w:p>
            <w:pPr>
              <w:pStyle w:val="Compact"/>
              <w:jc w:val="left"/>
            </w:pPr>
            <w:r>
              <w:t xml:space="preserve">−4535.04367</w:t>
            </w:r>
          </w:p>
        </w:tc>
        <w:tc>
          <w:tcPr/>
          <w:p>
            <w:pPr>
              <w:pStyle w:val="Compact"/>
              <w:jc w:val="left"/>
            </w:pPr>
            <w:r>
              <w:t xml:space="preserve">+2.07</w:t>
            </w:r>
          </w:p>
        </w:tc>
        <w:tc>
          <w:tcPr/>
          <w:p>
            <w:pPr>
              <w:pStyle w:val="Compact"/>
              <w:jc w:val="left"/>
            </w:pPr>
            <w:r>
              <w:t xml:space="preserve">+0.78</w:t>
            </w:r>
          </w:p>
        </w:tc>
      </w:tr>
      <w:tr>
        <w:tc>
          <w:tcPr/>
          <w:p>
            <w:pPr>
              <w:pStyle w:val="Compact"/>
              <w:jc w:val="left"/>
            </w:pPr>
            <w:r>
              <w:t xml:space="preserve">O7 (distant)</w:t>
            </w:r>
          </w:p>
        </w:tc>
        <w:tc>
          <w:tcPr/>
          <w:p>
            <w:pPr>
              <w:pStyle w:val="Compact"/>
              <w:jc w:val="left"/>
            </w:pPr>
            <w:r>
              <w:t xml:space="preserve">4.94</w:t>
            </w:r>
          </w:p>
        </w:tc>
        <w:tc>
          <w:tcPr/>
          <w:p>
            <w:pPr>
              <w:pStyle w:val="Compact"/>
              <w:jc w:val="left"/>
            </w:pPr>
            <w:r>
              <w:t xml:space="preserve">−4534.99608</w:t>
            </w:r>
          </w:p>
        </w:tc>
        <w:tc>
          <w:tcPr/>
          <w:p>
            <w:pPr>
              <w:pStyle w:val="Compact"/>
              <w:jc w:val="left"/>
            </w:pPr>
            <w:r>
              <w:t xml:space="preserve">+2.72</w:t>
            </w:r>
          </w:p>
        </w:tc>
        <w:tc>
          <w:tcPr/>
          <w:p>
            <w:pPr>
              <w:pStyle w:val="Compact"/>
              <w:jc w:val="left"/>
            </w:pPr>
            <w:r>
              <w:t xml:space="preserve">+1.43</w:t>
            </w:r>
          </w:p>
        </w:tc>
      </w:tr>
      <w:tr>
        <w:tc>
          <w:tcPr/>
          <w:p>
            <w:pPr>
              <w:pStyle w:val="Compact"/>
              <w:jc w:val="left"/>
            </w:pPr>
            <w:r>
              <w:t xml:space="preserve">O17 (2nd shell, equivalent to O1)</w:t>
            </w:r>
          </w:p>
        </w:tc>
        <w:tc>
          <w:tcPr/>
          <w:p>
            <w:pPr>
              <w:pStyle w:val="Compact"/>
              <w:jc w:val="left"/>
            </w:pPr>
            <w:r>
              <w:t xml:space="preserve">3.99</w:t>
            </w:r>
          </w:p>
        </w:tc>
        <w:tc>
          <w:tcPr/>
          <w:p>
            <w:pPr>
              <w:pStyle w:val="Compact"/>
              <w:jc w:val="left"/>
            </w:pPr>
            <w:r>
              <w:t xml:space="preserve">−4535.04366</w:t>
            </w:r>
          </w:p>
        </w:tc>
        <w:tc>
          <w:tcPr/>
          <w:p>
            <w:pPr>
              <w:pStyle w:val="Compact"/>
              <w:jc w:val="left"/>
            </w:pPr>
            <w:r>
              <w:t xml:space="preserve">+2.07</w:t>
            </w:r>
          </w:p>
        </w:tc>
        <w:tc>
          <w:tcPr/>
          <w:p>
            <w:pPr>
              <w:pStyle w:val="Compact"/>
              <w:jc w:val="left"/>
            </w:pPr>
            <w:r>
              <w:t xml:space="preserve">+0.78</w:t>
            </w:r>
          </w:p>
        </w:tc>
      </w:tr>
    </w:tbl>
    <w:p>
      <w:pPr>
        <w:pStyle w:val="BodyText"/>
      </w:pPr>
      <w:r>
        <w:rPr>
          <w:bCs/>
          <w:b/>
        </w:rPr>
        <w:t xml:space="preserve">[AUTHOR ACTION: add the Cartesian coordinates of the four removed oxygen atoms and the minimum-image Pr–V</w:t>
      </w:r>
      <w:r>
        <w:rPr>
          <w:vertAlign w:val="subscript"/>
          <w:bCs/>
          <w:b/>
        </w:rPr>
        <w:t xml:space="preserve">O</w:t>
      </w:r>
      <w:r>
        <w:rPr>
          <w:bCs/>
          <w:b/>
        </w:rPr>
        <w:t xml:space="preserve"> </w:t>
      </w:r>
      <w:r>
        <w:rPr>
          <w:bCs/>
          <w:b/>
        </w:rPr>
        <w:t xml:space="preserve">distances; state the index of the production vacancy.]</w:t>
      </w:r>
    </w:p>
    <w:bookmarkEnd w:id="31"/>
    <w:bookmarkStart w:id="32" w:name="X25a8e292539f0934a811b4f1ff866a58dc20695"/>
    <w:p>
      <w:pPr>
        <w:pStyle w:val="Heading3"/>
      </w:pPr>
      <w:r>
        <w:t xml:space="preserve">S7. Hybrid-functional, dual-Hubbard and dispersion calculations</w:t>
      </w:r>
    </w:p>
    <w:p>
      <w:pPr>
        <w:pStyle w:val="FirstParagraph"/>
      </w:pPr>
      <w:r>
        <w:rPr>
          <w:iCs/>
          <w:i/>
          <w:bCs/>
          <w:b/>
        </w:rPr>
        <w:t xml:space="preserve">Table S5. Results of the additional calculations (Sections 3.4, 3.6 and 3.7 of the main text).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Calculation</w:t>
            </w:r>
          </w:p>
        </w:tc>
        <w:tc>
          <w:tcPr/>
          <w:p>
            <w:pPr>
              <w:pStyle w:val="Compact"/>
              <w:jc w:val="left"/>
            </w:pPr>
            <w:r>
              <w:t xml:space="preserve">Cell</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Key observable</w:t>
            </w:r>
          </w:p>
        </w:tc>
      </w:tr>
      <w:tr>
        <w:tc>
          <w:tcPr/>
          <w:p>
            <w:pPr>
              <w:pStyle w:val="Compact"/>
              <w:jc w:val="left"/>
            </w:pPr>
            <w:r>
              <w:t xml:space="preserve">HSE06 single point (α = 0.25, ω = 0.106 Bohr</w:t>
            </w:r>
            <w:r>
              <w:rPr>
                <w:vertAlign w:val="superscript"/>
              </w:rPr>
              <w:t xml:space="preserve">−1</w:t>
            </w:r>
            <w:r>
              <w:t xml:space="preserve">)</w:t>
            </w:r>
          </w:p>
        </w:tc>
        <w:tc>
          <w:tcPr/>
          <w:p>
            <w:pPr>
              <w:pStyle w:val="Compact"/>
              <w:jc w:val="left"/>
            </w:pPr>
            <w:r>
              <w:t xml:space="preserve">Pristine_perfect</w:t>
            </w:r>
          </w:p>
        </w:tc>
        <w:tc>
          <w:tcPr/>
          <w:p>
            <w:pPr>
              <w:pStyle w:val="Compact"/>
              <w:jc w:val="left"/>
            </w:pPr>
            <w:r>
              <w:t xml:space="preserve">−3926.66858</w:t>
            </w:r>
          </w:p>
        </w:tc>
        <w:tc>
          <w:tcPr/>
          <w:p>
            <w:pPr>
              <w:pStyle w:val="Compact"/>
              <w:jc w:val="left"/>
            </w:pPr>
            <w:r>
              <w:t xml:space="preserve">E</w:t>
            </w:r>
            <w:r>
              <w:rPr>
                <w:vertAlign w:val="subscript"/>
              </w:rPr>
              <w:t xml:space="preserve">F</w:t>
            </w:r>
            <w:r>
              <w:t xml:space="preserve"> </w:t>
            </w:r>
            <w:r>
              <w:t xml:space="preserve">= 8.286 eV; m</w:t>
            </w:r>
            <w:r>
              <w:rPr>
                <w:vertAlign w:val="subscript"/>
              </w:rPr>
              <w:t xml:space="preserve">abs</w:t>
            </w:r>
            <w:r>
              <w:t xml:space="preserve"> </w:t>
            </w:r>
            <w:r>
              <w:t xml:space="preserve">= 0</w:t>
            </w:r>
          </w:p>
        </w:tc>
      </w:tr>
      <w:tr>
        <w:tc>
          <w:tcPr/>
          <w:p>
            <w:pPr>
              <w:pStyle w:val="Compact"/>
              <w:jc w:val="left"/>
            </w:pPr>
            <w:r>
              <w:t xml:space="preserve">Dual-U relaxation (U(Ti-3d) = 3.5 eV, U(O-2p) = 5.5 eV)</w:t>
            </w:r>
          </w:p>
        </w:tc>
        <w:tc>
          <w:tcPr/>
          <w:p>
            <w:pPr>
              <w:pStyle w:val="Compact"/>
              <w:jc w:val="left"/>
            </w:pPr>
            <w:r>
              <w:t xml:space="preserve">Pr_perfect</w:t>
            </w:r>
          </w:p>
        </w:tc>
        <w:tc>
          <w:tcPr/>
          <w:p>
            <w:pPr>
              <w:pStyle w:val="Compact"/>
              <w:jc w:val="left"/>
            </w:pPr>
            <w:r>
              <w:t xml:space="preserve">−4571.33095</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r>
              <w:t xml:space="preserve">; E</w:t>
            </w:r>
            <w:r>
              <w:rPr>
                <w:vertAlign w:val="subscript"/>
              </w:rPr>
              <w:t xml:space="preserve">F</w:t>
            </w:r>
            <w:r>
              <w:t xml:space="preserve"> </w:t>
            </w:r>
            <w:r>
              <w:t xml:space="preserve">= 6.69 eV; F</w:t>
            </w:r>
            <w:r>
              <w:rPr>
                <w:vertAlign w:val="subscript"/>
              </w:rPr>
              <w:t xml:space="preserve">max</w:t>
            </w:r>
            <w:r>
              <w:t xml:space="preserve"> </w:t>
            </w:r>
            <w:r>
              <w:t xml:space="preserve">= 0.0049 Ry/Bohr</w:t>
            </w:r>
          </w:p>
        </w:tc>
      </w:tr>
      <w:tr>
        <w:tc>
          <w:tcPr/>
          <w:p>
            <w:pPr>
              <w:pStyle w:val="Compact"/>
              <w:jc w:val="left"/>
            </w:pPr>
            <w:r>
              <w:t xml:space="preserve">Dual-U (control)</w:t>
            </w:r>
          </w:p>
        </w:tc>
        <w:tc>
          <w:tcPr/>
          <w:p>
            <w:pPr>
              <w:pStyle w:val="Compact"/>
              <w:jc w:val="left"/>
            </w:pPr>
            <w:r>
              <w:t xml:space="preserve">Pristine_perfect</w:t>
            </w:r>
          </w:p>
        </w:tc>
        <w:tc>
          <w:tcPr/>
          <w:p>
            <w:pPr>
              <w:pStyle w:val="Compact"/>
              <w:jc w:val="left"/>
            </w:pPr>
            <w:r>
              <w:t xml:space="preserve">−4269.72111</w:t>
            </w:r>
          </w:p>
        </w:tc>
        <w:tc>
          <w:tcPr/>
          <w:p>
            <w:pPr>
              <w:pStyle w:val="Compact"/>
              <w:jc w:val="left"/>
            </w:pPr>
            <w:r>
              <w:t xml:space="preserve">m</w:t>
            </w:r>
            <w:r>
              <w:rPr>
                <w:vertAlign w:val="subscript"/>
              </w:rPr>
              <w:t xml:space="preserve">abs</w:t>
            </w:r>
            <w:r>
              <w:t xml:space="preserve"> </w:t>
            </w:r>
            <w:r>
              <w:t xml:space="preserve">= 0; E</w:t>
            </w:r>
            <w:r>
              <w:rPr>
                <w:vertAlign w:val="subscript"/>
              </w:rPr>
              <w:t xml:space="preserve">F</w:t>
            </w:r>
            <w:r>
              <w:t xml:space="preserve"> </w:t>
            </w:r>
            <w:r>
              <w:t xml:space="preserve">= 7.22 eV</w:t>
            </w:r>
          </w:p>
        </w:tc>
      </w:tr>
      <w:tr>
        <w:tc>
          <w:tcPr/>
          <w:p>
            <w:pPr>
              <w:pStyle w:val="Compact"/>
              <w:jc w:val="left"/>
            </w:pPr>
            <w:r>
              <w:t xml:space="preserve">Dual-U</w:t>
            </w:r>
          </w:p>
        </w:tc>
        <w:tc>
          <w:tcPr/>
          <w:p>
            <w:pPr>
              <w:pStyle w:val="Compact"/>
              <w:jc w:val="left"/>
            </w:pPr>
            <w:r>
              <w:t xml:space="preserve">Rb_perfect</w:t>
            </w:r>
          </w:p>
        </w:tc>
        <w:tc>
          <w:tcPr/>
          <w:p>
            <w:pPr>
              <w:pStyle w:val="Compact"/>
              <w:jc w:val="left"/>
            </w:pPr>
            <w:r>
              <w:rPr>
                <w:bCs/>
                <w:b/>
              </w:rPr>
              <w:t xml:space="preserve">[AUTHOR ACTION: E</w:t>
            </w:r>
            <w:r>
              <w:rPr>
                <w:vertAlign w:val="subscript"/>
                <w:bCs/>
                <w:b/>
              </w:rPr>
              <w:t xml:space="preserve">tot</w:t>
            </w:r>
            <w:r>
              <w:rPr>
                <w:bCs/>
                <w:b/>
              </w:rPr>
              <w:t xml:space="preserve">]</w:t>
            </w:r>
          </w:p>
        </w:tc>
        <w:tc>
          <w:tcPr/>
          <w:p>
            <w:pPr>
              <w:pStyle w:val="Compact"/>
              <w:jc w:val="left"/>
            </w:pPr>
            <w:r>
              <w:t xml:space="preserve">m</w:t>
            </w:r>
            <w:r>
              <w:rPr>
                <w:vertAlign w:val="subscript"/>
              </w:rPr>
              <w:t xml:space="preserve">abs</w:t>
            </w:r>
            <w:r>
              <w:t xml:space="preserve"> </w:t>
            </w:r>
            <w:r>
              <w:t xml:space="preserve">= 3.00 μ</w:t>
            </w:r>
            <w:r>
              <w:rPr>
                <w:vertAlign w:val="subscript"/>
              </w:rPr>
              <w:t xml:space="preserve">B</w:t>
            </w:r>
          </w:p>
        </w:tc>
      </w:tr>
      <w:tr>
        <w:tc>
          <w:tcPr/>
          <w:p>
            <w:pPr>
              <w:pStyle w:val="Compact"/>
              <w:jc w:val="left"/>
            </w:pPr>
            <w:r>
              <w:t xml:space="preserve">Dual-U</w:t>
            </w:r>
          </w:p>
        </w:tc>
        <w:tc>
          <w:tcPr/>
          <w:p>
            <w:pPr>
              <w:pStyle w:val="Compact"/>
              <w:jc w:val="left"/>
            </w:pPr>
            <w:r>
              <w:t xml:space="preserve">Rb_VO</w:t>
            </w:r>
          </w:p>
        </w:tc>
        <w:tc>
          <w:tcPr/>
          <w:p>
            <w:pPr>
              <w:pStyle w:val="Compact"/>
              <w:jc w:val="left"/>
            </w:pPr>
            <w:r>
              <w:rPr>
                <w:bCs/>
                <w:b/>
              </w:rPr>
              <w:t xml:space="preserve">[AUTHOR ACTION: E</w:t>
            </w:r>
            <w:r>
              <w:rPr>
                <w:vertAlign w:val="subscript"/>
                <w:bCs/>
                <w:b/>
              </w:rPr>
              <w:t xml:space="preserve">tot</w:t>
            </w:r>
            <w:r>
              <w:rPr>
                <w:bCs/>
                <w:b/>
              </w:rPr>
              <w:t xml:space="preserve">]</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p>
        </w:tc>
      </w:tr>
      <w:tr>
        <w:tc>
          <w:tcPr/>
          <w:p>
            <w:pPr>
              <w:pStyle w:val="Compact"/>
              <w:jc w:val="left"/>
            </w:pPr>
            <w:r>
              <w:t xml:space="preserve">D3(BJ) single point (dftd3_version = 4, no three-body)</w:t>
            </w:r>
          </w:p>
        </w:tc>
        <w:tc>
          <w:tcPr/>
          <w:p>
            <w:pPr>
              <w:pStyle w:val="Compact"/>
              <w:jc w:val="left"/>
            </w:pPr>
            <w:r>
              <w:t xml:space="preserve">Pr_VO</w:t>
            </w:r>
          </w:p>
        </w:tc>
        <w:tc>
          <w:tcPr/>
          <w:p>
            <w:pPr>
              <w:pStyle w:val="Compact"/>
              <w:jc w:val="left"/>
            </w:pPr>
            <w:r>
              <w:t xml:space="preserve">−4535.85464</w:t>
            </w:r>
          </w:p>
        </w:tc>
        <w:tc>
          <w:tcPr/>
          <w:p>
            <w:pPr>
              <w:pStyle w:val="Compact"/>
              <w:jc w:val="left"/>
            </w:pPr>
            <w:r>
              <w:t xml:space="preserve">D3 term = −10.29 eV; m</w:t>
            </w:r>
            <w:r>
              <w:rPr>
                <w:vertAlign w:val="subscript"/>
              </w:rPr>
              <w:t xml:space="preserve">abs</w:t>
            </w:r>
            <w:r>
              <w:t xml:space="preserve"> </w:t>
            </w:r>
            <w:r>
              <w:t xml:space="preserve">= 0; E</w:t>
            </w:r>
            <w:r>
              <w:rPr>
                <w:vertAlign w:val="subscript"/>
              </w:rPr>
              <w:t xml:space="preserve">F</w:t>
            </w:r>
            <w:r>
              <w:t xml:space="preserve"> </w:t>
            </w:r>
            <w:r>
              <w:t xml:space="preserve">= 9.99 eV</w:t>
            </w:r>
          </w:p>
        </w:tc>
      </w:tr>
      <w:tr>
        <w:tc>
          <w:tcPr/>
          <w:p>
            <w:pPr>
              <w:pStyle w:val="Compact"/>
              <w:jc w:val="left"/>
            </w:pPr>
            <w:r>
              <w:t xml:space="preserve">D3(BJ) single point</w:t>
            </w:r>
          </w:p>
        </w:tc>
        <w:tc>
          <w:tcPr/>
          <w:p>
            <w:pPr>
              <w:pStyle w:val="Compact"/>
              <w:jc w:val="left"/>
            </w:pPr>
            <w:r>
              <w:t xml:space="preserve">Rb_VO</w:t>
            </w:r>
          </w:p>
        </w:tc>
        <w:tc>
          <w:tcPr/>
          <w:p>
            <w:pPr>
              <w:pStyle w:val="Compact"/>
              <w:jc w:val="left"/>
            </w:pPr>
            <w:r>
              <w:t xml:space="preserve">−4289.91254</w:t>
            </w:r>
          </w:p>
        </w:tc>
        <w:tc>
          <w:tcPr/>
          <w:p>
            <w:pPr>
              <w:pStyle w:val="Compact"/>
              <w:jc w:val="left"/>
            </w:pPr>
            <w:r>
              <w:t xml:space="preserve">D3 term = −10.09 eV; m</w:t>
            </w:r>
            <w:r>
              <w:rPr>
                <w:vertAlign w:val="subscript"/>
              </w:rPr>
              <w:t xml:space="preserve">abs</w:t>
            </w:r>
            <w:r>
              <w:t xml:space="preserve"> </w:t>
            </w:r>
            <w:r>
              <w:t xml:space="preserve">= 1.00 μ</w:t>
            </w:r>
            <w:r>
              <w:rPr>
                <w:vertAlign w:val="subscript"/>
              </w:rPr>
              <w:t xml:space="preserve">B</w:t>
            </w:r>
            <w:r>
              <w:t xml:space="preserve">; E</w:t>
            </w:r>
            <w:r>
              <w:rPr>
                <w:vertAlign w:val="subscript"/>
              </w:rPr>
              <w:t xml:space="preserve">F</w:t>
            </w:r>
            <w:r>
              <w:t xml:space="preserve"> </w:t>
            </w:r>
            <w:r>
              <w:t xml:space="preserve">= 7.12 eV</w:t>
            </w:r>
          </w:p>
        </w:tc>
      </w:tr>
    </w:tbl>
    <w:p>
      <w:pPr>
        <w:pStyle w:val="BodyText"/>
      </w:pPr>
      <w:r>
        <w:t xml:space="preserve">The D3 single points were not performed on Pr_perfect, Rb_perfect or O</w:t>
      </w:r>
      <w:r>
        <w:rPr>
          <w:vertAlign w:val="subscript"/>
        </w:rPr>
        <w:t xml:space="preserve">2</w:t>
      </w:r>
      <w:r>
        <w:t xml:space="preserve">, so no D3-corrected formation energy can be formed (main text Section 3.7). The HSE06 total energy is not comparable with the PBE+U totals.</w:t>
      </w:r>
    </w:p>
    <w:bookmarkEnd w:id="32"/>
    <w:bookmarkStart w:id="33" w:name="s8.-methods-details-and-file-inventory"/>
    <w:p>
      <w:pPr>
        <w:pStyle w:val="Heading3"/>
      </w:pPr>
      <w:r>
        <w:t xml:space="preserve">S8. Methods details and file inventory</w:t>
      </w:r>
    </w:p>
    <w:p>
      <w:pPr>
        <w:pStyle w:val="FirstParagraph"/>
      </w:pPr>
      <w:r>
        <w:t xml:space="preserve">Quantum ESPRESSO v7.5; PSlibrary 1.0.0 PAW datasets Ti.pbe-spn-kjpaw_psl.1.0.0.UPF, O.pbe-n-kjpaw_psl.1.0.0.UPF, Pr.pbe-spdn-kjpaw_psl.1.0.0.UPF (Z</w:t>
      </w:r>
      <w:r>
        <w:rPr>
          <w:vertAlign w:val="subscript"/>
        </w:rPr>
        <w:t xml:space="preserve">val</w:t>
      </w:r>
      <w:r>
        <w:t xml:space="preserve"> </w:t>
      </w:r>
      <w:r>
        <w:t xml:space="preserve">= 11; 4f in core) and Rb.pbe-spn-kjpaw_psl.1.0.0.UPF; nspin = 2; HUBBARD (ortho-atomic) with U(Ti-3d) = 3.5 eV and, for the dual-U runs, U(O-2p) = 5.5 eV.</w:t>
      </w:r>
      <w:r>
        <w:t xml:space="preserve"> </w:t>
      </w:r>
      <w:r>
        <w:rPr>
          <w:bCs/>
          <w:b/>
        </w:rPr>
        <w:t xml:space="preserve">[AUTHOR ACTION: Table S7 — paste the</w:t>
      </w:r>
      <w:r>
        <w:rPr>
          <w:bCs/>
          <w:b/>
        </w:rPr>
        <w:t xml:space="preserve"> </w:t>
      </w:r>
      <w:r>
        <w:rPr>
          <w:bCs/>
          <w:b/>
        </w:rPr>
        <w:t xml:space="preserve">“</w:t>
      </w:r>
      <w:r>
        <w:rPr>
          <w:bCs/>
          <w:b/>
        </w:rPr>
        <w:t xml:space="preserve">Valence configuration</w:t>
      </w:r>
      <w:r>
        <w:rPr>
          <w:bCs/>
          <w:b/>
        </w:rPr>
        <w:t xml:space="preserve">”</w:t>
      </w:r>
      <w:r>
        <w:rPr>
          <w:bCs/>
          <w:b/>
        </w:rPr>
        <w:t xml:space="preserve"> </w:t>
      </w:r>
      <w:r>
        <w:rPr>
          <w:bCs/>
          <w:b/>
        </w:rPr>
        <w:t xml:space="preserve">block and SHA-256 hash of each UPF file. Table S8 — relaxed first-shell dopant–O distances for Pr and Rb.]</w:t>
      </w:r>
    </w:p>
    <w:p>
      <w:pPr>
        <w:pStyle w:val="BodyText"/>
      </w:pPr>
      <w:r>
        <w:t xml:space="preserve">The input templates, orchestrator scripts, raw output files, ACF.dat files, PDOS files and the master spreadsheet are deposited on Zenodo (DOI in the Data availability statement of the main text). Local directory names of the authors’ computing facility are not reported.</w:t>
      </w:r>
    </w:p>
    <w:p>
      <w:pPr>
        <w:pStyle w:val="BodyText"/>
      </w:pPr>
      <w:r>
        <w:rPr>
          <w:iCs/>
          <w:i/>
          <w:bCs/>
          <w:b/>
        </w:rPr>
        <w:t xml:space="preserve">Table S6. Wall-time summary (Intel i5-3570, 4 cores).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Wall time</w:t>
            </w:r>
          </w:p>
        </w:tc>
        <w:tc>
          <w:tcPr/>
          <w:p>
            <w:pPr>
              <w:pStyle w:val="Compact"/>
              <w:jc w:val="left"/>
            </w:pPr>
            <w:r>
              <w:t xml:space="preserve">Outcome</w:t>
            </w:r>
          </w:p>
        </w:tc>
      </w:tr>
      <w:tr>
        <w:tc>
          <w:tcPr/>
          <w:p>
            <w:pPr>
              <w:pStyle w:val="Compact"/>
              <w:jc w:val="left"/>
            </w:pPr>
            <w:r>
              <w:t xml:space="preserve">Production single-U relaxations (5 cells)</w:t>
            </w:r>
          </w:p>
        </w:tc>
        <w:tc>
          <w:tcPr/>
          <w:p>
            <w:pPr>
              <w:pStyle w:val="Compact"/>
              <w:jc w:val="left"/>
            </w:pPr>
            <w:r>
              <w:t xml:space="preserve">≈ 3 days each</w:t>
            </w:r>
          </w:p>
        </w:tc>
        <w:tc>
          <w:tcPr/>
          <w:p>
            <w:pPr>
              <w:pStyle w:val="Compact"/>
              <w:jc w:val="left"/>
            </w:pPr>
            <w:r>
              <w:t xml:space="preserve">below 0.005 Ry/Bohr (Pr_VO stopped manually; Section 2.6)</w:t>
            </w:r>
          </w:p>
        </w:tc>
      </w:tr>
      <w:tr>
        <w:tc>
          <w:tcPr/>
          <w:p>
            <w:pPr>
              <w:pStyle w:val="Compact"/>
              <w:jc w:val="left"/>
            </w:pPr>
            <w:r>
              <w:t xml:space="preserve">Pristine V</w:t>
            </w:r>
            <w:r>
              <w:rPr>
                <w:vertAlign w:val="subscript"/>
              </w:rPr>
              <w:t xml:space="preserve">O</w:t>
            </w:r>
            <w:r>
              <w:t xml:space="preserve"> </w:t>
            </w:r>
            <w:r>
              <w:t xml:space="preserve">relaxation (after mixing recovery, S1)</w:t>
            </w:r>
          </w:p>
        </w:tc>
        <w:tc>
          <w:tcPr/>
          <w:p>
            <w:pPr>
              <w:pStyle w:val="Compact"/>
              <w:jc w:val="left"/>
            </w:pPr>
            <w:r>
              <w:t xml:space="preserve">≈ 14 h</w:t>
            </w:r>
          </w:p>
        </w:tc>
        <w:tc>
          <w:tcPr/>
          <w:p>
            <w:pPr>
              <w:pStyle w:val="Compact"/>
              <w:jc w:val="left"/>
            </w:pPr>
            <w:r>
              <w:t xml:space="preserve">F</w:t>
            </w:r>
            <w:r>
              <w:rPr>
                <w:vertAlign w:val="subscript"/>
              </w:rPr>
              <w:t xml:space="preserve">max</w:t>
            </w:r>
            <w:r>
              <w:t xml:space="preserve"> </w:t>
            </w:r>
            <w:r>
              <w:t xml:space="preserve">= 0.0056 Ry/Bohr</w:t>
            </w:r>
          </w:p>
        </w:tc>
      </w:tr>
      <w:tr>
        <w:tc>
          <w:tcPr/>
          <w:p>
            <w:pPr>
              <w:pStyle w:val="Compact"/>
              <w:jc w:val="left"/>
            </w:pPr>
            <w:r>
              <w:t xml:space="preserve">HSE06 single point, Pristine_perfect</w:t>
            </w:r>
          </w:p>
        </w:tc>
        <w:tc>
          <w:tcPr/>
          <w:p>
            <w:pPr>
              <w:pStyle w:val="Compact"/>
              <w:jc w:val="left"/>
            </w:pPr>
            <w:r>
              <w:t xml:space="preserve">8 days</w:t>
            </w:r>
          </w:p>
        </w:tc>
        <w:tc>
          <w:tcPr/>
          <w:p>
            <w:pPr>
              <w:pStyle w:val="Compact"/>
              <w:jc w:val="left"/>
            </w:pPr>
            <w:r>
              <w:t xml:space="preserve">done</w:t>
            </w:r>
          </w:p>
        </w:tc>
      </w:tr>
      <w:tr>
        <w:tc>
          <w:tcPr/>
          <w:p>
            <w:pPr>
              <w:pStyle w:val="Compact"/>
              <w:jc w:val="left"/>
            </w:pPr>
            <w:r>
              <w:t xml:space="preserve">Dual-U relaxations, Pr_perfect and Pristine</w:t>
            </w:r>
          </w:p>
        </w:tc>
        <w:tc>
          <w:tcPr/>
          <w:p>
            <w:pPr>
              <w:pStyle w:val="Compact"/>
              <w:jc w:val="left"/>
            </w:pPr>
            <w:r>
              <w:t xml:space="preserve">≈ 24 h</w:t>
            </w:r>
          </w:p>
        </w:tc>
        <w:tc>
          <w:tcPr/>
          <w:p>
            <w:pPr>
              <w:pStyle w:val="Compact"/>
              <w:jc w:val="left"/>
            </w:pPr>
            <w:r>
              <w:t xml:space="preserve">done</w:t>
            </w:r>
          </w:p>
        </w:tc>
      </w:tr>
      <w:tr>
        <w:tc>
          <w:tcPr/>
          <w:p>
            <w:pPr>
              <w:pStyle w:val="Compact"/>
              <w:jc w:val="left"/>
            </w:pPr>
            <w:r>
              <w:t xml:space="preserve">Dual-U calculations (relaxation or single point to be stated, Section 3.4), Rb_perfect and Rb_VO</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D3 single points, Pr_VO and Rb_VO</w:t>
            </w:r>
          </w:p>
        </w:tc>
        <w:tc>
          <w:tcPr/>
          <w:p>
            <w:pPr>
              <w:pStyle w:val="Compact"/>
              <w:jc w:val="left"/>
            </w:pPr>
            <w:r>
              <w:t xml:space="preserve">≈ 12 h total</w:t>
            </w:r>
          </w:p>
        </w:tc>
        <w:tc>
          <w:tcPr/>
          <w:p>
            <w:pPr>
              <w:pStyle w:val="Compact"/>
              <w:jc w:val="left"/>
            </w:pPr>
            <w:r>
              <w:t xml:space="preserve">done</w:t>
            </w:r>
          </w:p>
        </w:tc>
      </w:tr>
      <w:tr>
        <w:tc>
          <w:tcPr/>
          <w:p>
            <w:pPr>
              <w:pStyle w:val="Compact"/>
              <w:jc w:val="left"/>
            </w:pPr>
            <w:r>
              <w:t xml:space="preserve">Alternative-site Pr_VO relaxations (3)</w:t>
            </w:r>
          </w:p>
        </w:tc>
        <w:tc>
          <w:tcPr/>
          <w:p>
            <w:pPr>
              <w:pStyle w:val="Compact"/>
              <w:jc w:val="left"/>
            </w:pPr>
            <w:r>
              <w:t xml:space="preserve">≈ 33 h total</w:t>
            </w:r>
          </w:p>
        </w:tc>
        <w:tc>
          <w:tcPr/>
          <w:p>
            <w:pPr>
              <w:pStyle w:val="Compact"/>
              <w:jc w:val="left"/>
            </w:pPr>
            <w:r>
              <w:t xml:space="preserve">done</w:t>
            </w:r>
          </w:p>
        </w:tc>
      </w:tr>
      <w:tr>
        <w:tc>
          <w:tcPr/>
          <w:p>
            <w:pPr>
              <w:pStyle w:val="Compact"/>
              <w:jc w:val="left"/>
            </w:pPr>
            <w:r>
              <w:t xml:space="preserve">Bader, Pr_VO and Rb_VO</w:t>
            </w:r>
          </w:p>
        </w:tc>
        <w:tc>
          <w:tcPr/>
          <w:p>
            <w:pPr>
              <w:pStyle w:val="Compact"/>
              <w:jc w:val="left"/>
            </w:pPr>
            <w:r>
              <w:t xml:space="preserve">≈ 2 h</w:t>
            </w:r>
          </w:p>
        </w:tc>
        <w:tc>
          <w:tcPr/>
          <w:p>
            <w:pPr>
              <w:pStyle w:val="Compact"/>
              <w:jc w:val="left"/>
            </w:pPr>
            <w:r>
              <w:t xml:space="preserve">done (Pristine not completed)</w:t>
            </w:r>
          </w:p>
        </w:tc>
      </w:tr>
      <w:tr>
        <w:tc>
          <w:tcPr/>
          <w:p>
            <w:pPr>
              <w:pStyle w:val="Compact"/>
              <w:jc w:val="left"/>
            </w:pPr>
            <w:r>
              <w:t xml:space="preserve">2×2×2 single points (4 doped cells; Pristine_perfect in the k-mesh series below)</w:t>
            </w:r>
          </w:p>
        </w:tc>
        <w:tc>
          <w:tcPr/>
          <w:p>
            <w:pPr>
              <w:pStyle w:val="Compact"/>
              <w:jc w:val="left"/>
            </w:pPr>
            <w:r>
              <w:t xml:space="preserve">≈ 6 h total</w:t>
            </w:r>
          </w:p>
        </w:tc>
        <w:tc>
          <w:tcPr/>
          <w:p>
            <w:pPr>
              <w:pStyle w:val="Compact"/>
              <w:jc w:val="left"/>
            </w:pPr>
            <w:r>
              <w:t xml:space="preserve">done</w:t>
            </w:r>
            <w:r>
              <w:t xml:space="preserve"> </w:t>
            </w:r>
            <w:r>
              <w:rPr>
                <w:bCs/>
                <w:b/>
              </w:rPr>
              <w:t xml:space="preserve">[AUTHOR ACTION: confirm the Rb_VO run, see S4]</w:t>
            </w:r>
          </w:p>
        </w:tc>
      </w:tr>
      <w:tr>
        <w:tc>
          <w:tcPr/>
          <w:p>
            <w:pPr>
              <w:pStyle w:val="Compact"/>
              <w:jc w:val="left"/>
            </w:pPr>
            <w:r>
              <w:t xml:space="preserve">Charged cells (4 relaxations)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U sweep (9 single points)</w:t>
            </w:r>
          </w:p>
        </w:tc>
        <w:tc>
          <w:tcPr/>
          <w:p>
            <w:pPr>
              <w:pStyle w:val="Compact"/>
              <w:jc w:val="left"/>
            </w:pPr>
            <w:r>
              <w:rPr>
                <w:bCs/>
                <w:b/>
              </w:rPr>
              <w:t xml:space="preserve">[AUTHOR ACTION]</w:t>
            </w:r>
          </w:p>
        </w:tc>
        <w:tc>
          <w:tcPr/>
          <w:p>
            <w:pPr>
              <w:pStyle w:val="Compact"/>
              <w:jc w:val="left"/>
            </w:pPr>
            <w:r>
              <w:t xml:space="preserve">done</w:t>
            </w:r>
          </w:p>
        </w:tc>
      </w:tr>
      <w:tr>
        <w:tc>
          <w:tcPr/>
          <w:p>
            <w:pPr>
              <w:pStyle w:val="Compact"/>
              <w:jc w:val="left"/>
            </w:pPr>
            <w:r>
              <w:t xml:space="preserve">k-mesh series at 2×2×1, 2×2×2, 3×3×2 (3 cells)</w:t>
            </w:r>
          </w:p>
        </w:tc>
        <w:tc>
          <w:tcPr/>
          <w:p>
            <w:pPr>
              <w:pStyle w:val="Compact"/>
              <w:jc w:val="left"/>
            </w:pPr>
            <w:r>
              <w:rPr>
                <w:bCs/>
                <w:b/>
              </w:rPr>
              <w:t xml:space="preserve">[AUTHOR ACTION]</w:t>
            </w:r>
          </w:p>
        </w:tc>
        <w:tc>
          <w:tcPr/>
          <w:p>
            <w:pPr>
              <w:pStyle w:val="Compact"/>
              <w:jc w:val="left"/>
            </w:pPr>
            <w:r>
              <w:t xml:space="preserve">done</w:t>
            </w:r>
          </w:p>
        </w:tc>
      </w:tr>
    </w:tbl>
    <w:bookmarkEnd w:id="33"/>
    <w:bookmarkStart w:id="34" w:name="s9.-full-precision-energy-ledger"/>
    <w:p>
      <w:pPr>
        <w:pStyle w:val="Heading3"/>
      </w:pPr>
      <w:r>
        <w:t xml:space="preserve">S9. Full-precision energy ledger</w:t>
      </w:r>
    </w:p>
    <w:p>
      <w:pPr>
        <w:pStyle w:val="FirstParagraph"/>
      </w:pPr>
      <w:r>
        <w:t xml:space="preserve">All values are the</w:t>
      </w:r>
      <w:r>
        <w:t xml:space="preserve"> </w:t>
      </w:r>
      <w:r>
        <w:t xml:space="preserve">“</w:t>
      </w:r>
      <w:r>
        <w:t xml:space="preserve">! total energy</w:t>
      </w:r>
      <w:r>
        <w:t xml:space="preserve">”</w:t>
      </w:r>
      <w:r>
        <w:t xml:space="preserve"> </w:t>
      </w:r>
      <w:r>
        <w:t xml:space="preserve">lines printed by pw.x (smearing free energies for the smeared cells; see Section 2.4 of the main text); conversions use 1 Ry = 13.605693 eV. In the Protocol column, single-U denotes U(Ti-3d) = 3.5 eV only and dual-U denotes U(Ti-3d) = 3.5 eV plus U(O-2p) = 5.5 eV. Formation energies in the main text are computed from these values. N</w:t>
      </w:r>
      <w:r>
        <w:rPr>
          <w:vertAlign w:val="subscript"/>
        </w:rPr>
        <w:t xml:space="preserve">e</w:t>
      </w:r>
      <w:r>
        <w:t xml:space="preserve"> </w:t>
      </w:r>
      <w:r>
        <w:t xml:space="preserve">of the charged cells: Pr_VO 376 (q = +1) and 375 (q = +2); Rb_VO 374 (q = +1) and 373 (q = +2).</w:t>
      </w:r>
    </w:p>
    <w:p>
      <w:pPr>
        <w:pStyle w:val="BodyText"/>
      </w:pPr>
      <w:r>
        <w:rPr>
          <w:iCs/>
          <w:i/>
          <w:bCs/>
          <w:b/>
        </w:rPr>
        <w:t xml:space="preserve">Table S9. Energy ledger.</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Run</w:t>
            </w:r>
          </w:p>
        </w:tc>
        <w:tc>
          <w:tcPr/>
          <w:p>
            <w:pPr>
              <w:pStyle w:val="Compact"/>
              <w:jc w:val="left"/>
            </w:pPr>
            <w:r>
              <w:t xml:space="preserve">Cell</w:t>
            </w:r>
          </w:p>
        </w:tc>
        <w:tc>
          <w:tcPr/>
          <w:p>
            <w:pPr>
              <w:pStyle w:val="Compact"/>
              <w:jc w:val="left"/>
            </w:pPr>
            <w:r>
              <w:t xml:space="preserve">q</w:t>
            </w:r>
          </w:p>
        </w:tc>
        <w:tc>
          <w:tcPr/>
          <w:p>
            <w:pPr>
              <w:pStyle w:val="Compact"/>
              <w:jc w:val="left"/>
            </w:pPr>
            <w:r>
              <w:t xml:space="preserve">Protocol</w:t>
            </w:r>
          </w:p>
        </w:tc>
        <w:tc>
          <w:tcPr/>
          <w:p>
            <w:pPr>
              <w:pStyle w:val="Compact"/>
              <w:jc w:val="left"/>
            </w:pPr>
            <w:r>
              <w:t xml:space="preserve">k-mesh</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Derived quantity</w:t>
            </w:r>
          </w:p>
        </w:tc>
      </w:tr>
      <w:tr>
        <w:tc>
          <w:tcPr/>
          <w:p>
            <w:pPr>
              <w:pStyle w:val="Compact"/>
              <w:jc w:val="left"/>
            </w:pPr>
            <w:r>
              <w:t xml:space="preserve">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−4275.01530</w:t>
            </w:r>
          </w:p>
        </w:tc>
        <w:tc>
          <w:tcPr/>
          <w:p>
            <w:pPr>
              <w:pStyle w:val="Compact"/>
              <w:jc w:val="left"/>
            </w:pPr>
            <w:r>
              <w:t xml:space="preserve">reference</w:t>
            </w:r>
          </w:p>
        </w:tc>
      </w:tr>
      <w:tr>
        <w:tc>
          <w:tcPr/>
          <w:p>
            <w:pPr>
              <w:pStyle w:val="Compact"/>
              <w:jc w:val="left"/>
            </w:pPr>
            <w:r>
              <w:t xml:space="preserve">2</w:t>
            </w:r>
          </w:p>
        </w:tc>
        <w:tc>
          <w:tcPr/>
          <w:p>
            <w:pPr>
              <w:pStyle w:val="Compact"/>
              <w:jc w:val="left"/>
            </w:pPr>
            <w:r>
              <w:t xml:space="preserve">Pristine_VO_v3</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−4233.15036</w:t>
            </w:r>
          </w:p>
        </w:tc>
        <w:tc>
          <w:tcPr/>
          <w:p>
            <w:pPr>
              <w:pStyle w:val="Compact"/>
              <w:jc w:val="left"/>
            </w:pPr>
            <w:r>
              <w:t xml:space="preserve">E</w:t>
            </w:r>
            <w:r>
              <w:rPr>
                <w:vertAlign w:val="subscript"/>
              </w:rPr>
              <w:t xml:space="preserve">f</w:t>
            </w:r>
            <w:r>
              <w:t xml:space="preserve"> </w:t>
            </w:r>
            <w:r>
              <w:t xml:space="preserve">= +4.745 eV</w:t>
            </w:r>
          </w:p>
        </w:tc>
      </w:tr>
      <w:tr>
        <w:tc>
          <w:tcPr/>
          <w:p>
            <w:pPr>
              <w:pStyle w:val="Compact"/>
              <w:jc w:val="left"/>
            </w:pPr>
            <w:r>
              <w:t xml:space="preserve">3</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−4576.71224</w:t>
            </w:r>
          </w:p>
        </w:tc>
        <w:tc>
          <w:tcPr/>
          <w:p>
            <w:pPr>
              <w:pStyle w:val="Compact"/>
              <w:jc w:val="left"/>
            </w:pPr>
            <w:r>
              <w:t xml:space="preserve">reference</w:t>
            </w:r>
          </w:p>
        </w:tc>
      </w:tr>
      <w:tr>
        <w:tc>
          <w:tcPr/>
          <w:p>
            <w:pPr>
              <w:pStyle w:val="Compact"/>
              <w:jc w:val="left"/>
            </w:pPr>
            <w:r>
              <w:t xml:space="preserve">4</w:t>
            </w:r>
          </w:p>
        </w:tc>
        <w:tc>
          <w:tcPr/>
          <w:p>
            <w:pPr>
              <w:pStyle w:val="Compact"/>
              <w:jc w:val="left"/>
            </w:pPr>
            <w:r>
              <w:t xml:space="preserve">Pr_VO (production site)</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−4535.10106</w:t>
            </w:r>
          </w:p>
        </w:tc>
        <w:tc>
          <w:tcPr/>
          <w:p>
            <w:pPr>
              <w:pStyle w:val="Compact"/>
              <w:jc w:val="left"/>
            </w:pPr>
            <w:r>
              <w:t xml:space="preserve">E</w:t>
            </w:r>
            <w:r>
              <w:rPr>
                <w:vertAlign w:val="subscript"/>
              </w:rPr>
              <w:t xml:space="preserve">f</w:t>
            </w:r>
            <w:r>
              <w:t xml:space="preserve"> </w:t>
            </w:r>
            <w:r>
              <w:t xml:space="preserve">= +1.292 eV</w:t>
            </w:r>
          </w:p>
        </w:tc>
      </w:tr>
      <w:tr>
        <w:tc>
          <w:tcPr/>
          <w:p>
            <w:pPr>
              <w:pStyle w:val="Compact"/>
              <w:jc w:val="left"/>
            </w:pPr>
            <w:r>
              <w:t xml:space="preserve">5</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−4330.38890</w:t>
            </w:r>
          </w:p>
        </w:tc>
        <w:tc>
          <w:tcPr/>
          <w:p>
            <w:pPr>
              <w:pStyle w:val="Compact"/>
              <w:jc w:val="left"/>
            </w:pPr>
            <w:r>
              <w:t xml:space="preserve">reference</w:t>
            </w:r>
          </w:p>
        </w:tc>
      </w:tr>
      <w:tr>
        <w:tc>
          <w:tcPr/>
          <w:p>
            <w:pPr>
              <w:pStyle w:val="Compact"/>
              <w:jc w:val="left"/>
            </w:pPr>
            <w:r>
              <w:t xml:space="preserve">6</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−4289.17135</w:t>
            </w:r>
          </w:p>
        </w:tc>
        <w:tc>
          <w:tcPr/>
          <w:p>
            <w:pPr>
              <w:pStyle w:val="Compact"/>
              <w:jc w:val="left"/>
            </w:pPr>
            <w:r>
              <w:t xml:space="preserve">E</w:t>
            </w:r>
            <w:r>
              <w:rPr>
                <w:vertAlign w:val="subscript"/>
              </w:rPr>
              <w:t xml:space="preserve">f</w:t>
            </w:r>
            <w:r>
              <w:t xml:space="preserve"> </w:t>
            </w:r>
            <w:r>
              <w:t xml:space="preserve">= −4.063 eV</w:t>
            </w:r>
          </w:p>
        </w:tc>
      </w:tr>
      <w:tr>
        <w:tc>
          <w:tcPr/>
          <w:p>
            <w:pPr>
              <w:pStyle w:val="Compact"/>
              <w:jc w:val="left"/>
            </w:pPr>
            <w:r>
              <w:t xml:space="preserve">7</w:t>
            </w:r>
          </w:p>
        </w:tc>
        <w:tc>
          <w:tcPr/>
          <w:p>
            <w:pPr>
              <w:pStyle w:val="Compact"/>
              <w:jc w:val="left"/>
            </w:pPr>
            <w:r>
              <w:t xml:space="preserve">O</w:t>
            </w:r>
            <w:r>
              <w:rPr>
                <w:vertAlign w:val="subscript"/>
              </w:rPr>
              <w:t xml:space="preserve">2</w:t>
            </w:r>
            <w:r>
              <w:t xml:space="preserve"> </w:t>
            </w:r>
            <w:r>
              <w:t xml:space="preserve">(12 Å box, triplet)</w:t>
            </w:r>
          </w:p>
        </w:tc>
        <w:tc>
          <w:tcPr/>
          <w:p>
            <w:pPr>
              <w:pStyle w:val="Compact"/>
              <w:jc w:val="left"/>
            </w:pPr>
            <w:r>
              <w:t xml:space="preserve">0</w:t>
            </w:r>
          </w:p>
        </w:tc>
        <w:tc>
          <w:tcPr/>
          <w:p>
            <w:pPr>
              <w:pStyle w:val="Compact"/>
              <w:jc w:val="left"/>
            </w:pPr>
            <w:r>
              <w:t xml:space="preserve">PBE</w:t>
            </w:r>
          </w:p>
        </w:tc>
        <w:tc>
          <w:tcPr/>
          <w:p>
            <w:pPr>
              <w:pStyle w:val="Compact"/>
              <w:jc w:val="left"/>
            </w:pPr>
            <w:r>
              <w:t xml:space="preserve">Γ</w:t>
            </w:r>
          </w:p>
        </w:tc>
        <w:tc>
          <w:tcPr/>
          <w:p>
            <w:pPr>
              <w:pStyle w:val="Compact"/>
              <w:jc w:val="left"/>
            </w:pPr>
            <w:r>
              <w:t xml:space="preserve">2 × (−41.51621)</w:t>
            </w:r>
            <w:r>
              <w:t xml:space="preserve"> </w:t>
            </w:r>
            <w:r>
              <w:rPr>
                <w:bCs/>
                <w:b/>
              </w:rPr>
              <w:t xml:space="preserve">[AUTHOR ACTION: paste the printed</w:t>
            </w:r>
            <w:r>
              <w:rPr>
                <w:bCs/>
                <w:b/>
              </w:rPr>
              <w:t xml:space="preserve"> </w:t>
            </w:r>
            <w:r>
              <w:rPr>
                <w:bCs/>
                <w:b/>
              </w:rPr>
              <w:t xml:space="preserve">“</w:t>
            </w:r>
            <w:r>
              <w:rPr>
                <w:bCs/>
                <w:b/>
              </w:rPr>
              <w:t xml:space="preserve">! total energy</w:t>
            </w:r>
            <w:r>
              <w:rPr>
                <w:bCs/>
                <w:b/>
              </w:rPr>
              <w:t xml:space="preserve">”</w:t>
            </w:r>
            <w:r>
              <w:rPr>
                <w:bCs/>
                <w:b/>
              </w:rPr>
              <w:t xml:space="preserve"> </w:t>
            </w:r>
            <w:r>
              <w:rPr>
                <w:bCs/>
                <w:b/>
              </w:rPr>
              <w:t xml:space="preserve">line of the O</w:t>
            </w:r>
            <w:r>
              <w:rPr>
                <w:vertAlign w:val="subscript"/>
                <w:bCs/>
                <w:b/>
              </w:rPr>
              <w:t xml:space="preserve">2</w:t>
            </w:r>
            <w:r>
              <w:rPr>
                <w:bCs/>
                <w:b/>
              </w:rPr>
              <w:t xml:space="preserve"> </w:t>
            </w:r>
            <w:r>
              <w:rPr>
                <w:bCs/>
                <w:b/>
              </w:rPr>
              <w:t xml:space="preserve">run]</w:t>
            </w:r>
          </w:p>
        </w:tc>
        <w:tc>
          <w:tcPr/>
          <w:p>
            <w:pPr>
              <w:pStyle w:val="Compact"/>
              <w:jc w:val="left"/>
            </w:pPr>
            <w:r>
              <w:t xml:space="preserve">½E(O</w:t>
            </w:r>
            <w:r>
              <w:rPr>
                <w:vertAlign w:val="subscript"/>
              </w:rPr>
              <w:t xml:space="preserve">2</w:t>
            </w:r>
            <w:r>
              <w:t xml:space="preserve">) = −41.51621 Ry = −564.857 eV</w:t>
            </w:r>
          </w:p>
        </w:tc>
      </w:tr>
      <w:tr>
        <w:tc>
          <w:tcPr/>
          <w:p>
            <w:pPr>
              <w:pStyle w:val="Compact"/>
              <w:jc w:val="left"/>
            </w:pPr>
            <w:r>
              <w:t xml:space="preserve">8</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−4576.62183</w:t>
            </w:r>
          </w:p>
        </w:tc>
        <w:tc>
          <w:tcPr/>
          <w:p>
            <w:pPr>
              <w:pStyle w:val="Compact"/>
            </w:pPr>
          </w:p>
        </w:tc>
      </w:tr>
      <w:tr>
        <w:tc>
          <w:tcPr/>
          <w:p>
            <w:pPr>
              <w:pStyle w:val="Compact"/>
              <w:jc w:val="left"/>
            </w:pPr>
            <w:r>
              <w:t xml:space="preserve">9</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−4535.01814</w:t>
            </w:r>
          </w:p>
        </w:tc>
        <w:tc>
          <w:tcPr/>
          <w:p>
            <w:pPr>
              <w:pStyle w:val="Compact"/>
              <w:jc w:val="left"/>
            </w:pPr>
            <w:r>
              <w:t xml:space="preserve">E</w:t>
            </w:r>
            <w:r>
              <w:rPr>
                <w:vertAlign w:val="subscript"/>
              </w:rPr>
              <w:t xml:space="preserve">f</w:t>
            </w:r>
            <w:r>
              <w:t xml:space="preserve"> </w:t>
            </w:r>
            <w:r>
              <w:t xml:space="preserve">= +1.190 eV</w:t>
            </w:r>
          </w:p>
        </w:tc>
      </w:tr>
      <w:tr>
        <w:tc>
          <w:tcPr/>
          <w:p>
            <w:pPr>
              <w:pStyle w:val="Compact"/>
              <w:jc w:val="left"/>
            </w:pPr>
            <w:r>
              <w:t xml:space="preserve">10</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−4330.28761</w:t>
            </w:r>
          </w:p>
        </w:tc>
        <w:tc>
          <w:tcPr/>
          <w:p>
            <w:pPr>
              <w:pStyle w:val="Compact"/>
            </w:pPr>
          </w:p>
        </w:tc>
      </w:tr>
      <w:tr>
        <w:tc>
          <w:tcPr/>
          <w:p>
            <w:pPr>
              <w:pStyle w:val="Compact"/>
              <w:jc w:val="left"/>
            </w:pPr>
            <w:r>
              <w:t xml:space="preserve">11</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2×2×2</w:t>
            </w:r>
          </w:p>
        </w:tc>
        <w:tc>
          <w:tcPr/>
          <w:p>
            <w:pPr>
              <w:pStyle w:val="Compact"/>
              <w:jc w:val="left"/>
            </w:pPr>
            <w:r>
              <w:t xml:space="preserve">−4289.08034</w:t>
            </w:r>
          </w:p>
        </w:tc>
        <w:tc>
          <w:tcPr/>
          <w:p>
            <w:pPr>
              <w:pStyle w:val="Compact"/>
              <w:jc w:val="left"/>
            </w:pPr>
            <w:r>
              <w:t xml:space="preserve">E</w:t>
            </w:r>
            <w:r>
              <w:rPr>
                <w:vertAlign w:val="subscript"/>
              </w:rPr>
              <w:t xml:space="preserve">f</w:t>
            </w:r>
            <w:r>
              <w:t xml:space="preserve"> </w:t>
            </w:r>
            <w:r>
              <w:t xml:space="preserve">= −4.203 eV</w:t>
            </w:r>
          </w:p>
        </w:tc>
      </w:tr>
      <w:tr>
        <w:tc>
          <w:tcPr/>
          <w:p>
            <w:pPr>
              <w:pStyle w:val="Compact"/>
              <w:jc w:val="left"/>
            </w:pPr>
            <w:r>
              <w:t xml:space="preserve">12</w:t>
            </w:r>
          </w:p>
        </w:tc>
        <w:tc>
          <w:tcPr/>
          <w:p>
            <w:pPr>
              <w:pStyle w:val="Compact"/>
              <w:jc w:val="left"/>
            </w:pPr>
            <w:r>
              <w:t xml:space="preserve">Pr_VO, site O1</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−4535.04367</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13</w:t>
            </w:r>
          </w:p>
        </w:tc>
        <w:tc>
          <w:tcPr/>
          <w:p>
            <w:pPr>
              <w:pStyle w:val="Compact"/>
              <w:jc w:val="left"/>
            </w:pPr>
            <w:r>
              <w:t xml:space="preserve">Pr_VO, site O7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−4534.99608</w:t>
            </w:r>
          </w:p>
        </w:tc>
        <w:tc>
          <w:tcPr/>
          <w:p>
            <w:pPr>
              <w:pStyle w:val="Compact"/>
              <w:jc w:val="left"/>
            </w:pPr>
            <w:r>
              <w:t xml:space="preserve">E</w:t>
            </w:r>
            <w:r>
              <w:rPr>
                <w:vertAlign w:val="subscript"/>
              </w:rPr>
              <w:t xml:space="preserve">f</w:t>
            </w:r>
            <w:r>
              <w:t xml:space="preserve"> </w:t>
            </w:r>
            <w:r>
              <w:t xml:space="preserve">= +2.720 eV</w:t>
            </w:r>
          </w:p>
        </w:tc>
      </w:tr>
      <w:tr>
        <w:tc>
          <w:tcPr/>
          <w:p>
            <w:pPr>
              <w:pStyle w:val="Compact"/>
              <w:jc w:val="left"/>
            </w:pPr>
            <w:r>
              <w:t xml:space="preserve">14</w:t>
            </w:r>
          </w:p>
        </w:tc>
        <w:tc>
          <w:tcPr/>
          <w:p>
            <w:pPr>
              <w:pStyle w:val="Compact"/>
              <w:jc w:val="left"/>
            </w:pPr>
            <w:r>
              <w:t xml:space="preserve">Pr_VO, site O17</w:t>
            </w:r>
          </w:p>
        </w:tc>
        <w:tc>
          <w:tcPr/>
          <w:p>
            <w:pPr>
              <w:pStyle w:val="Compact"/>
              <w:jc w:val="left"/>
            </w:pPr>
            <w:r>
              <w:t xml:space="preserve">0</w:t>
            </w:r>
          </w:p>
        </w:tc>
        <w:tc>
          <w:tcPr/>
          <w:p>
            <w:pPr>
              <w:pStyle w:val="Compact"/>
              <w:jc w:val="left"/>
            </w:pPr>
            <w:r>
              <w:t xml:space="preserve">single-U</w:t>
            </w:r>
          </w:p>
        </w:tc>
        <w:tc>
          <w:tcPr/>
          <w:p>
            <w:pPr>
              <w:pStyle w:val="Compact"/>
              <w:jc w:val="left"/>
            </w:pPr>
            <w:r>
              <w:t xml:space="preserve">Γ</w:t>
            </w:r>
          </w:p>
        </w:tc>
        <w:tc>
          <w:tcPr/>
          <w:p>
            <w:pPr>
              <w:pStyle w:val="Compact"/>
              <w:jc w:val="left"/>
            </w:pPr>
            <w:r>
              <w:t xml:space="preserve">−4535.04366</w:t>
            </w:r>
          </w:p>
        </w:tc>
        <w:tc>
          <w:tcPr/>
          <w:p>
            <w:pPr>
              <w:pStyle w:val="Compact"/>
              <w:jc w:val="left"/>
            </w:pPr>
            <w:r>
              <w:t xml:space="preserve">E</w:t>
            </w:r>
            <w:r>
              <w:rPr>
                <w:vertAlign w:val="subscript"/>
              </w:rPr>
              <w:t xml:space="preserve">f</w:t>
            </w:r>
            <w:r>
              <w:t xml:space="preserve"> </w:t>
            </w:r>
            <w:r>
              <w:t xml:space="preserve">= +2.073 eV</w:t>
            </w:r>
          </w:p>
        </w:tc>
      </w:tr>
      <w:tr>
        <w:tc>
          <w:tcPr/>
          <w:p>
            <w:pPr>
              <w:pStyle w:val="Compact"/>
              <w:jc w:val="left"/>
            </w:pPr>
            <w:r>
              <w:t xml:space="preserve">15</w:t>
            </w:r>
          </w:p>
        </w:tc>
        <w:tc>
          <w:tcPr/>
          <w:p>
            <w:pPr>
              <w:pStyle w:val="Compact"/>
              <w:jc w:val="left"/>
            </w:pPr>
            <w:r>
              <w:t xml:space="preserve">Pr_VO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−4535.83092</w:t>
            </w:r>
          </w:p>
        </w:tc>
        <w:tc>
          <w:tcPr/>
          <w:p>
            <w:pPr>
              <w:pStyle w:val="Compact"/>
              <w:jc w:val="left"/>
            </w:pPr>
            <w:r>
              <w:t xml:space="preserve">spin diagnostic only</w:t>
            </w:r>
          </w:p>
        </w:tc>
      </w:tr>
      <w:tr>
        <w:tc>
          <w:tcPr/>
          <w:p>
            <w:pPr>
              <w:pStyle w:val="Compact"/>
              <w:jc w:val="left"/>
            </w:pPr>
            <w:r>
              <w:t xml:space="preserve">16</w:t>
            </w:r>
          </w:p>
        </w:tc>
        <w:tc>
          <w:tcPr/>
          <w:p>
            <w:pPr>
              <w:pStyle w:val="Compact"/>
              <w:jc w:val="left"/>
            </w:pPr>
            <w:r>
              <w:t xml:space="preserve">Pr_VO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−4536.36183</w:t>
            </w:r>
          </w:p>
        </w:tc>
        <w:tc>
          <w:tcPr/>
          <w:p>
            <w:pPr>
              <w:pStyle w:val="Compact"/>
              <w:jc w:val="left"/>
            </w:pPr>
            <w:r>
              <w:t xml:space="preserve">spin diagnostic only</w:t>
            </w:r>
          </w:p>
        </w:tc>
      </w:tr>
      <w:tr>
        <w:tc>
          <w:tcPr/>
          <w:p>
            <w:pPr>
              <w:pStyle w:val="Compact"/>
              <w:jc w:val="left"/>
            </w:pPr>
            <w:r>
              <w:t xml:space="preserve">17</w:t>
            </w:r>
          </w:p>
        </w:tc>
        <w:tc>
          <w:tcPr/>
          <w:p>
            <w:pPr>
              <w:pStyle w:val="Compact"/>
              <w:jc w:val="left"/>
            </w:pPr>
            <w:r>
              <w:t xml:space="preserve">Rb_VO</w:t>
            </w:r>
          </w:p>
        </w:tc>
        <w:tc>
          <w:tcPr/>
          <w:p>
            <w:pPr>
              <w:pStyle w:val="Compact"/>
              <w:jc w:val="left"/>
            </w:pPr>
            <w:r>
              <w:t xml:space="preserve">+1</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−4289.68663</w:t>
            </w:r>
          </w:p>
        </w:tc>
        <w:tc>
          <w:tcPr/>
          <w:p>
            <w:pPr>
              <w:pStyle w:val="Compact"/>
              <w:jc w:val="left"/>
            </w:pPr>
            <w:r>
              <w:t xml:space="preserve">spin diagnostic only</w:t>
            </w:r>
          </w:p>
        </w:tc>
      </w:tr>
      <w:tr>
        <w:tc>
          <w:tcPr/>
          <w:p>
            <w:pPr>
              <w:pStyle w:val="Compact"/>
              <w:jc w:val="left"/>
            </w:pPr>
            <w:r>
              <w:t xml:space="preserve">18</w:t>
            </w:r>
          </w:p>
        </w:tc>
        <w:tc>
          <w:tcPr/>
          <w:p>
            <w:pPr>
              <w:pStyle w:val="Compact"/>
              <w:jc w:val="left"/>
            </w:pPr>
            <w:r>
              <w:t xml:space="preserve">Rb_VO</w:t>
            </w:r>
          </w:p>
        </w:tc>
        <w:tc>
          <w:tcPr/>
          <w:p>
            <w:pPr>
              <w:pStyle w:val="Compact"/>
              <w:jc w:val="left"/>
            </w:pPr>
            <w:r>
              <w:t xml:space="preserve">+2</w:t>
            </w:r>
          </w:p>
        </w:tc>
        <w:tc>
          <w:tcPr/>
          <w:p>
            <w:pPr>
              <w:pStyle w:val="Compact"/>
              <w:jc w:val="left"/>
            </w:pPr>
            <w:r>
              <w:t xml:space="preserve">single-U, uniform background</w:t>
            </w:r>
          </w:p>
        </w:tc>
        <w:tc>
          <w:tcPr/>
          <w:p>
            <w:pPr>
              <w:pStyle w:val="Compact"/>
              <w:jc w:val="left"/>
            </w:pPr>
            <w:r>
              <w:t xml:space="preserve">Γ</w:t>
            </w:r>
          </w:p>
        </w:tc>
        <w:tc>
          <w:tcPr/>
          <w:p>
            <w:pPr>
              <w:pStyle w:val="Compact"/>
              <w:jc w:val="left"/>
            </w:pPr>
            <w:r>
              <w:t xml:space="preserve">−4290.19380</w:t>
            </w:r>
          </w:p>
        </w:tc>
        <w:tc>
          <w:tcPr/>
          <w:p>
            <w:pPr>
              <w:pStyle w:val="Compact"/>
              <w:jc w:val="left"/>
            </w:pPr>
            <w:r>
              <w:t xml:space="preserve">spin diagnostic only</w:t>
            </w:r>
          </w:p>
        </w:tc>
      </w:tr>
      <w:tr>
        <w:tc>
          <w:tcPr/>
          <w:p>
            <w:pPr>
              <w:pStyle w:val="Compact"/>
              <w:jc w:val="left"/>
            </w:pPr>
            <w:r>
              <w:t xml:space="preserve">19</w:t>
            </w:r>
          </w:p>
        </w:tc>
        <w:tc>
          <w:tcPr/>
          <w:p>
            <w:pPr>
              <w:pStyle w:val="Compact"/>
              <w:jc w:val="left"/>
            </w:pPr>
            <w:r>
              <w:t xml:space="preserve">Pr_perfect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−4571.33095</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p>
        </w:tc>
      </w:tr>
      <w:tr>
        <w:tc>
          <w:tcPr/>
          <w:p>
            <w:pPr>
              <w:pStyle w:val="Compact"/>
              <w:jc w:val="left"/>
            </w:pPr>
            <w:r>
              <w:t xml:space="preserve">20</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t xml:space="preserve">−4269.72111</w:t>
            </w:r>
          </w:p>
        </w:tc>
        <w:tc>
          <w:tcPr/>
          <w:p>
            <w:pPr>
              <w:pStyle w:val="Compact"/>
              <w:jc w:val="left"/>
            </w:pPr>
            <w:r>
              <w:t xml:space="preserve">m</w:t>
            </w:r>
            <w:r>
              <w:rPr>
                <w:vertAlign w:val="subscript"/>
              </w:rPr>
              <w:t xml:space="preserve">abs</w:t>
            </w:r>
            <w:r>
              <w:t xml:space="preserve"> </w:t>
            </w:r>
            <w:r>
              <w:t xml:space="preserve">= 0</w:t>
            </w:r>
          </w:p>
        </w:tc>
      </w:tr>
      <w:tr>
        <w:tc>
          <w:tcPr/>
          <w:p>
            <w:pPr>
              <w:pStyle w:val="Compact"/>
              <w:jc w:val="left"/>
            </w:pPr>
            <w:r>
              <w:t xml:space="preserve">20a</w:t>
            </w:r>
          </w:p>
        </w:tc>
        <w:tc>
          <w:tcPr/>
          <w:p>
            <w:pPr>
              <w:pStyle w:val="Compact"/>
              <w:jc w:val="left"/>
            </w:pPr>
            <w:r>
              <w:t xml:space="preserve">Rb_perfect</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rPr>
                <w:bCs/>
                <w:b/>
              </w:rPr>
              <w:t xml:space="preserve">[AUTHOR ACTION]</w:t>
            </w:r>
          </w:p>
        </w:tc>
        <w:tc>
          <w:tcPr/>
          <w:p>
            <w:pPr>
              <w:pStyle w:val="Compact"/>
              <w:jc w:val="left"/>
            </w:pPr>
            <w:r>
              <w:t xml:space="preserve">m</w:t>
            </w:r>
            <w:r>
              <w:rPr>
                <w:vertAlign w:val="subscript"/>
              </w:rPr>
              <w:t xml:space="preserve">abs</w:t>
            </w:r>
            <w:r>
              <w:t xml:space="preserve"> </w:t>
            </w:r>
            <w:r>
              <w:t xml:space="preserve">= 3.00 μ</w:t>
            </w:r>
            <w:r>
              <w:rPr>
                <w:vertAlign w:val="subscript"/>
              </w:rPr>
              <w:t xml:space="preserve">B</w:t>
            </w:r>
          </w:p>
        </w:tc>
      </w:tr>
      <w:tr>
        <w:tc>
          <w:tcPr/>
          <w:p>
            <w:pPr>
              <w:pStyle w:val="Compact"/>
              <w:jc w:val="left"/>
            </w:pPr>
            <w:r>
              <w:t xml:space="preserve">20b</w:t>
            </w:r>
          </w:p>
        </w:tc>
        <w:tc>
          <w:tcPr/>
          <w:p>
            <w:pPr>
              <w:pStyle w:val="Compact"/>
              <w:jc w:val="left"/>
            </w:pPr>
            <w:r>
              <w:t xml:space="preserve">Rb_VO</w:t>
            </w:r>
          </w:p>
        </w:tc>
        <w:tc>
          <w:tcPr/>
          <w:p>
            <w:pPr>
              <w:pStyle w:val="Compact"/>
              <w:jc w:val="left"/>
            </w:pPr>
            <w:r>
              <w:t xml:space="preserve">0</w:t>
            </w:r>
          </w:p>
        </w:tc>
        <w:tc>
          <w:tcPr/>
          <w:p>
            <w:pPr>
              <w:pStyle w:val="Compact"/>
              <w:jc w:val="left"/>
            </w:pPr>
            <w:r>
              <w:t xml:space="preserve">dual-U</w:t>
            </w:r>
          </w:p>
        </w:tc>
        <w:tc>
          <w:tcPr/>
          <w:p>
            <w:pPr>
              <w:pStyle w:val="Compact"/>
              <w:jc w:val="left"/>
            </w:pPr>
            <w:r>
              <w:t xml:space="preserve">Γ</w:t>
            </w:r>
          </w:p>
        </w:tc>
        <w:tc>
          <w:tcPr/>
          <w:p>
            <w:pPr>
              <w:pStyle w:val="Compact"/>
              <w:jc w:val="left"/>
            </w:pPr>
            <w:r>
              <w:rPr>
                <w:bCs/>
                <w:b/>
              </w:rPr>
              <w:t xml:space="preserve">[AUTHOR ACTION]</w:t>
            </w:r>
          </w:p>
        </w:tc>
        <w:tc>
          <w:tcPr/>
          <w:p>
            <w:pPr>
              <w:pStyle w:val="Compact"/>
              <w:jc w:val="left"/>
            </w:pPr>
            <w:r>
              <w:t xml:space="preserve">m</w:t>
            </w:r>
            <w:r>
              <w:rPr>
                <w:vertAlign w:val="subscript"/>
              </w:rPr>
              <w:t xml:space="preserve">abs</w:t>
            </w:r>
            <w:r>
              <w:t xml:space="preserve"> </w:t>
            </w:r>
            <w:r>
              <w:t xml:space="preserve">= 1.00 μ</w:t>
            </w:r>
            <w:r>
              <w:rPr>
                <w:vertAlign w:val="subscript"/>
              </w:rPr>
              <w:t xml:space="preserve">B</w:t>
            </w:r>
          </w:p>
        </w:tc>
      </w:tr>
      <w:tr>
        <w:tc>
          <w:tcPr/>
          <w:p>
            <w:pPr>
              <w:pStyle w:val="Compact"/>
              <w:jc w:val="left"/>
            </w:pPr>
            <w:r>
              <w:t xml:space="preserve">21</w:t>
            </w:r>
          </w:p>
        </w:tc>
        <w:tc>
          <w:tcPr/>
          <w:p>
            <w:pPr>
              <w:pStyle w:val="Compact"/>
              <w:jc w:val="left"/>
            </w:pPr>
            <w:r>
              <w:t xml:space="preserve">Pristine_perfect</w:t>
            </w:r>
          </w:p>
        </w:tc>
        <w:tc>
          <w:tcPr/>
          <w:p>
            <w:pPr>
              <w:pStyle w:val="Compact"/>
              <w:jc w:val="left"/>
            </w:pPr>
            <w:r>
              <w:t xml:space="preserve">0</w:t>
            </w:r>
          </w:p>
        </w:tc>
        <w:tc>
          <w:tcPr/>
          <w:p>
            <w:pPr>
              <w:pStyle w:val="Compact"/>
              <w:jc w:val="left"/>
            </w:pPr>
            <w:r>
              <w:t xml:space="preserve">HSE06</w:t>
            </w:r>
          </w:p>
        </w:tc>
        <w:tc>
          <w:tcPr/>
          <w:p>
            <w:pPr>
              <w:pStyle w:val="Compact"/>
              <w:jc w:val="left"/>
            </w:pPr>
            <w:r>
              <w:t xml:space="preserve">Γ</w:t>
            </w:r>
          </w:p>
        </w:tc>
        <w:tc>
          <w:tcPr/>
          <w:p>
            <w:pPr>
              <w:pStyle w:val="Compact"/>
              <w:jc w:val="left"/>
            </w:pPr>
            <w:r>
              <w:t xml:space="preserve">−3926.66858</w:t>
            </w:r>
          </w:p>
        </w:tc>
        <w:tc>
          <w:tcPr/>
          <w:p>
            <w:pPr>
              <w:pStyle w:val="Compact"/>
              <w:jc w:val="left"/>
            </w:pPr>
            <w:r>
              <w:t xml:space="preserve">not comparable with PBE+U totals</w:t>
            </w:r>
          </w:p>
        </w:tc>
      </w:tr>
      <w:tr>
        <w:tc>
          <w:tcPr/>
          <w:p>
            <w:pPr>
              <w:pStyle w:val="Compact"/>
              <w:jc w:val="left"/>
            </w:pPr>
            <w:r>
              <w:t xml:space="preserve">22</w:t>
            </w:r>
          </w:p>
        </w:tc>
        <w:tc>
          <w:tcPr/>
          <w:p>
            <w:pPr>
              <w:pStyle w:val="Compact"/>
              <w:jc w:val="left"/>
            </w:pPr>
            <w:r>
              <w:t xml:space="preserve">Pr_VO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−4535.85464</w:t>
            </w:r>
          </w:p>
        </w:tc>
        <w:tc>
          <w:tcPr/>
          <w:p>
            <w:pPr>
              <w:pStyle w:val="Compact"/>
              <w:jc w:val="left"/>
            </w:pPr>
            <w:r>
              <w:t xml:space="preserve">E(D3) − E(run 4) = −10.25 eV</w:t>
            </w:r>
          </w:p>
        </w:tc>
      </w:tr>
      <w:tr>
        <w:tc>
          <w:tcPr/>
          <w:p>
            <w:pPr>
              <w:pStyle w:val="Compact"/>
              <w:jc w:val="left"/>
            </w:pPr>
            <w:r>
              <w:t xml:space="preserve">23</w:t>
            </w:r>
          </w:p>
        </w:tc>
        <w:tc>
          <w:tcPr/>
          <w:p>
            <w:pPr>
              <w:pStyle w:val="Compact"/>
              <w:jc w:val="left"/>
            </w:pPr>
            <w:r>
              <w:t xml:space="preserve">Rb_VO</w:t>
            </w:r>
          </w:p>
        </w:tc>
        <w:tc>
          <w:tcPr/>
          <w:p>
            <w:pPr>
              <w:pStyle w:val="Compact"/>
              <w:jc w:val="left"/>
            </w:pPr>
            <w:r>
              <w:t xml:space="preserve">0</w:t>
            </w:r>
          </w:p>
        </w:tc>
        <w:tc>
          <w:tcPr/>
          <w:p>
            <w:pPr>
              <w:pStyle w:val="Compact"/>
              <w:jc w:val="left"/>
            </w:pPr>
            <w:r>
              <w:t xml:space="preserve">single-U + D3(BJ)</w:t>
            </w:r>
          </w:p>
        </w:tc>
        <w:tc>
          <w:tcPr/>
          <w:p>
            <w:pPr>
              <w:pStyle w:val="Compact"/>
              <w:jc w:val="left"/>
            </w:pPr>
            <w:r>
              <w:t xml:space="preserve">Γ</w:t>
            </w:r>
          </w:p>
        </w:tc>
        <w:tc>
          <w:tcPr/>
          <w:p>
            <w:pPr>
              <w:pStyle w:val="Compact"/>
              <w:jc w:val="left"/>
            </w:pPr>
            <w:r>
              <w:t xml:space="preserve">−4289.91254</w:t>
            </w:r>
          </w:p>
        </w:tc>
        <w:tc>
          <w:tcPr/>
          <w:p>
            <w:pPr>
              <w:pStyle w:val="Compact"/>
              <w:jc w:val="left"/>
            </w:pPr>
            <w:r>
              <w:t xml:space="preserve">E(D3) − E(run 6) = −10.08 eV</w:t>
            </w:r>
          </w:p>
        </w:tc>
      </w:tr>
      <w:tr>
        <w:tc>
          <w:tcPr/>
          <w:p>
            <w:pPr>
              <w:pStyle w:val="Compact"/>
              <w:jc w:val="left"/>
            </w:pPr>
            <w:r>
              <w:t xml:space="preserve">24</w:t>
            </w:r>
          </w:p>
        </w:tc>
        <w:tc>
          <w:tcPr/>
          <w:p>
            <w:pPr>
              <w:pStyle w:val="Compact"/>
              <w:jc w:val="left"/>
            </w:pPr>
            <w:r>
              <w:t xml:space="preserve">Pr_VO, magnetic trial</w:t>
            </w:r>
          </w:p>
        </w:tc>
        <w:tc>
          <w:tcPr/>
          <w:p>
            <w:pPr>
              <w:pStyle w:val="Compact"/>
              <w:jc w:val="left"/>
            </w:pPr>
            <w:r>
              <w:t xml:space="preserve">0</w:t>
            </w:r>
          </w:p>
        </w:tc>
        <w:tc>
          <w:tcPr/>
          <w:p>
            <w:pPr>
              <w:pStyle w:val="Compact"/>
              <w:jc w:val="left"/>
            </w:pPr>
            <w:r>
              <w:t xml:space="preserve">single-U, magnetic start</w:t>
            </w:r>
          </w:p>
        </w:tc>
        <w:tc>
          <w:tcPr/>
          <w:p>
            <w:pPr>
              <w:pStyle w:val="Compact"/>
              <w:jc w:val="left"/>
            </w:pPr>
            <w:r>
              <w:t xml:space="preserve">Γ</w:t>
            </w:r>
          </w:p>
        </w:tc>
        <w:tc>
          <w:tcPr/>
          <w:p>
            <w:pPr>
              <w:pStyle w:val="Compact"/>
              <w:jc w:val="left"/>
            </w:pPr>
            <w:r>
              <w:rPr>
                <w:bCs/>
                <w:b/>
              </w:rPr>
              <w:t xml:space="preserve">[AUTHOR ACTION]</w:t>
            </w:r>
          </w:p>
        </w:tc>
        <w:tc>
          <w:tcPr/>
          <w:p>
            <w:pPr>
              <w:pStyle w:val="Compact"/>
              <w:jc w:val="left"/>
            </w:pPr>
            <w:r>
              <w:t xml:space="preserve">+0.281 eV above run 4; m = 1.00, m</w:t>
            </w:r>
            <w:r>
              <w:rPr>
                <w:vertAlign w:val="subscript"/>
              </w:rPr>
              <w:t xml:space="preserve">abs</w:t>
            </w:r>
            <w:r>
              <w:t xml:space="preserve"> </w:t>
            </w:r>
            <w:r>
              <w:t xml:space="preserve">= 1.13 μ</w:t>
            </w:r>
            <w:r>
              <w:rPr>
                <w:vertAlign w:val="subscript"/>
              </w:rPr>
              <w:t xml:space="preserve">B</w:t>
            </w:r>
          </w:p>
        </w:tc>
      </w:tr>
    </w:tbl>
    <w:p>
      <w:pPr>
        <w:pStyle w:val="BodyText"/>
      </w:pPr>
      <w:r>
        <w:t xml:space="preserve">Derived differences: E</w:t>
      </w:r>
      <w:r>
        <w:rPr>
          <w:vertAlign w:val="subscript"/>
        </w:rPr>
        <w:t xml:space="preserve">f</w:t>
      </w:r>
      <w:r>
        <w:t xml:space="preserve">(Pr) − E</w:t>
      </w:r>
      <w:r>
        <w:rPr>
          <w:vertAlign w:val="subscript"/>
        </w:rPr>
        <w:t xml:space="preserve">f</w:t>
      </w:r>
      <w:r>
        <w:t xml:space="preserve">(Pristine) = −3.453 eV; E</w:t>
      </w:r>
      <w:r>
        <w:rPr>
          <w:vertAlign w:val="subscript"/>
        </w:rPr>
        <w:t xml:space="preserve">f</w:t>
      </w:r>
      <w:r>
        <w:t xml:space="preserve">(Rb) − E</w:t>
      </w:r>
      <w:r>
        <w:rPr>
          <w:vertAlign w:val="subscript"/>
        </w:rPr>
        <w:t xml:space="preserve">f</w:t>
      </w:r>
      <w:r>
        <w:t xml:space="preserve">(Pristine) = −8.808 eV; ΔE</w:t>
      </w:r>
      <w:r>
        <w:rPr>
          <w:vertAlign w:val="subscript"/>
        </w:rPr>
        <w:t xml:space="preserve">f</w:t>
      </w:r>
      <w:r>
        <w:t xml:space="preserve">(Pr − Rb) = 5.356 eV (Γ), 5.394 eV (2×2×2); ΔΔE = +0.038 eV.</w:t>
      </w:r>
    </w:p>
    <w:bookmarkEnd w:id="34"/>
    <w:bookmarkStart w:id="35" w:name="s10.-run-manifest"/>
    <w:p>
      <w:pPr>
        <w:pStyle w:val="Heading3"/>
      </w:pPr>
      <w:r>
        <w:t xml:space="preserve">S10. Run manifest</w:t>
      </w:r>
    </w:p>
    <w:p>
      <w:pPr>
        <w:pStyle w:val="FirstParagraph"/>
      </w:pPr>
      <w:r>
        <w:rPr>
          <w:iCs/>
          <w:i/>
          <w:bCs/>
          <w:b/>
        </w:rPr>
        <w:t xml:space="preserve">Table S10. Run manifest (template to be completed from the output files).</w:t>
      </w:r>
      <w:r>
        <w:t xml:space="preserve"> </w:t>
      </w:r>
      <w:r>
        <w:rPr>
          <w:iCs/>
          <w:i/>
        </w:rPr>
        <w:t xml:space="preserve">One row per pw.x run that contributes a number to the main text or SI.</w:t>
      </w:r>
    </w:p>
    <w:tbl>
      <w:tblPr>
        <w:tblStyle w:val="Table"/>
        <w:tblW w:type="pct" w:w="5000"/>
        <w:tblLook w:firstRow="1" w:lastRow="0" w:firstColumn="0" w:lastColumn="0" w:noHBand="0" w:noVBand="0" w:val="0020"/>
        <w:jc w:val="start"/>
      </w:tblPr>
      <w:tblGrid>
        <w:gridCol w:w="439"/>
        <w:gridCol w:w="439"/>
        <w:gridCol w:w="439"/>
        <w:gridCol w:w="439"/>
        <w:gridCol w:w="439"/>
        <w:gridCol w:w="439"/>
        <w:gridCol w:w="439"/>
        <w:gridCol w:w="439"/>
        <w:gridCol w:w="439"/>
        <w:gridCol w:w="439"/>
        <w:gridCol w:w="439"/>
        <w:gridCol w:w="439"/>
        <w:gridCol w:w="439"/>
        <w:gridCol w:w="439"/>
        <w:gridCol w:w="439"/>
        <w:gridCol w:w="439"/>
        <w:gridCol w:w="439"/>
        <w:gridCol w:w="439"/>
      </w:tblGrid>
      <w:tr>
        <w:trPr>
          <w:tblHeader w:val="true"/>
        </w:trPr>
        <w:tc>
          <w:tcPr/>
          <w:p>
            <w:pPr>
              <w:pStyle w:val="Compact"/>
              <w:jc w:val="left"/>
            </w:pPr>
            <w:r>
              <w:t xml:space="preserve">Run ID</w:t>
            </w:r>
          </w:p>
        </w:tc>
        <w:tc>
          <w:tcPr/>
          <w:p>
            <w:pPr>
              <w:pStyle w:val="Compact"/>
              <w:jc w:val="left"/>
            </w:pPr>
            <w:r>
              <w:t xml:space="preserve">Output file</w:t>
            </w:r>
          </w:p>
        </w:tc>
        <w:tc>
          <w:tcPr/>
          <w:p>
            <w:pPr>
              <w:pStyle w:val="Compact"/>
              <w:jc w:val="left"/>
            </w:pPr>
            <w:r>
              <w:t xml:space="preserve">Cell</w:t>
            </w:r>
          </w:p>
        </w:tc>
        <w:tc>
          <w:tcPr/>
          <w:p>
            <w:pPr>
              <w:pStyle w:val="Compact"/>
              <w:jc w:val="left"/>
            </w:pPr>
            <w:r>
              <w:t xml:space="preserve">Composition</w:t>
            </w:r>
          </w:p>
        </w:tc>
        <w:tc>
          <w:tcPr/>
          <w:p>
            <w:pPr>
              <w:pStyle w:val="Compact"/>
              <w:jc w:val="left"/>
            </w:pPr>
            <w:r>
              <w:t xml:space="preserve">N</w:t>
            </w:r>
            <w:r>
              <w:rPr>
                <w:vertAlign w:val="subscript"/>
              </w:rPr>
              <w:t xml:space="preserve">e</w:t>
            </w:r>
          </w:p>
        </w:tc>
        <w:tc>
          <w:tcPr/>
          <w:p>
            <w:pPr>
              <w:pStyle w:val="Compact"/>
              <w:jc w:val="left"/>
            </w:pPr>
            <w:r>
              <w:t xml:space="preserve">q</w:t>
            </w:r>
          </w:p>
        </w:tc>
        <w:tc>
          <w:tcPr/>
          <w:p>
            <w:pPr>
              <w:pStyle w:val="Compact"/>
              <w:jc w:val="left"/>
            </w:pPr>
            <w:r>
              <w:t xml:space="preserve">Functional / U (eV)</w:t>
            </w:r>
          </w:p>
        </w:tc>
        <w:tc>
          <w:tcPr/>
          <w:p>
            <w:pPr>
              <w:pStyle w:val="Compact"/>
              <w:jc w:val="left"/>
            </w:pPr>
            <w:r>
              <w:t xml:space="preserve">k-mesh</w:t>
            </w:r>
          </w:p>
        </w:tc>
        <w:tc>
          <w:tcPr/>
          <w:p>
            <w:pPr>
              <w:pStyle w:val="Compact"/>
              <w:jc w:val="left"/>
            </w:pPr>
            <w:r>
              <w:t xml:space="preserve">E</w:t>
            </w:r>
            <w:r>
              <w:rPr>
                <w:vertAlign w:val="subscript"/>
              </w:rPr>
              <w:t xml:space="preserve">cut</w:t>
            </w:r>
            <w:r>
              <w:t xml:space="preserve"> </w:t>
            </w:r>
            <w:r>
              <w:t xml:space="preserve">(Ry)</w:t>
            </w:r>
          </w:p>
        </w:tc>
        <w:tc>
          <w:tcPr/>
          <w:p>
            <w:pPr>
              <w:pStyle w:val="Compact"/>
              <w:jc w:val="left"/>
            </w:pPr>
            <w:r>
              <w:t xml:space="preserve">degauss (Ry)</w:t>
            </w:r>
          </w:p>
        </w:tc>
        <w:tc>
          <w:tcPr/>
          <w:p>
            <w:pPr>
              <w:pStyle w:val="Compact"/>
              <w:jc w:val="left"/>
            </w:pPr>
            <w:r>
              <w:t xml:space="preserve">starting_magnetization</w:t>
            </w:r>
          </w:p>
        </w:tc>
        <w:tc>
          <w:tcPr/>
          <w:p>
            <w:pPr>
              <w:pStyle w:val="Compact"/>
              <w:jc w:val="left"/>
            </w:pPr>
            <w:r>
              <w:t xml:space="preserve">calculation</w:t>
            </w:r>
          </w:p>
        </w:tc>
        <w:tc>
          <w:tcPr/>
          <w:p>
            <w:pPr>
              <w:pStyle w:val="Compact"/>
              <w:jc w:val="left"/>
            </w:pPr>
            <w:r>
              <w:t xml:space="preserve">E</w:t>
            </w:r>
            <w:r>
              <w:rPr>
                <w:vertAlign w:val="subscript"/>
              </w:rPr>
              <w:t xml:space="preserve">tot</w:t>
            </w:r>
            <w:r>
              <w:t xml:space="preserve"> </w:t>
            </w:r>
            <w:r>
              <w:t xml:space="preserve">(Ry)</w:t>
            </w:r>
          </w:p>
        </w:tc>
        <w:tc>
          <w:tcPr/>
          <w:p>
            <w:pPr>
              <w:pStyle w:val="Compact"/>
              <w:jc w:val="left"/>
            </w:pPr>
            <w:r>
              <w:t xml:space="preserve">m (μ</w:t>
            </w:r>
            <w:r>
              <w:rPr>
                <w:vertAlign w:val="subscript"/>
              </w:rPr>
              <w:t xml:space="preserve">B</w:t>
            </w:r>
            <w:r>
              <w:t xml:space="preserve">)</w:t>
            </w:r>
          </w:p>
        </w:tc>
        <w:tc>
          <w:tcPr/>
          <w:p>
            <w:pPr>
              <w:pStyle w:val="Compact"/>
              <w:jc w:val="left"/>
            </w:pPr>
            <w:r>
              <w:t xml:space="preserve">m</w:t>
            </w:r>
            <w:r>
              <w:rPr>
                <w:vertAlign w:val="subscript"/>
              </w:rPr>
              <w:t xml:space="preserve">abs</w:t>
            </w:r>
            <w:r>
              <w:t xml:space="preserve"> </w:t>
            </w:r>
            <w:r>
              <w:t xml:space="preserve">(μ</w:t>
            </w:r>
            <w:r>
              <w:rPr>
                <w:vertAlign w:val="subscript"/>
              </w:rPr>
              <w:t xml:space="preserve">B</w:t>
            </w:r>
            <w:r>
              <w:t xml:space="preserve">)</w:t>
            </w:r>
          </w:p>
        </w:tc>
        <w:tc>
          <w:tcPr/>
          <w:p>
            <w:pPr>
              <w:pStyle w:val="Compact"/>
              <w:jc w:val="left"/>
            </w:pPr>
            <w:r>
              <w:t xml:space="preserve">E</w:t>
            </w:r>
            <w:r>
              <w:rPr>
                <w:vertAlign w:val="subscript"/>
              </w:rPr>
              <w:t xml:space="preserve">F</w:t>
            </w:r>
            <w:r>
              <w:t xml:space="preserve"> </w:t>
            </w:r>
            <w:r>
              <w:t xml:space="preserve">(eV)</w:t>
            </w:r>
          </w:p>
        </w:tc>
        <w:tc>
          <w:tcPr/>
          <w:p>
            <w:pPr>
              <w:pStyle w:val="Compact"/>
              <w:jc w:val="left"/>
            </w:pPr>
            <w:r>
              <w:t xml:space="preserve">F</w:t>
            </w:r>
            <w:r>
              <w:rPr>
                <w:vertAlign w:val="subscript"/>
              </w:rPr>
              <w:t xml:space="preserve">max</w:t>
            </w:r>
            <w:r>
              <w:t xml:space="preserve"> </w:t>
            </w:r>
            <w:r>
              <w:t xml:space="preserve">(Ry/Bohr)</w:t>
            </w:r>
          </w:p>
        </w:tc>
        <w:tc>
          <w:tcPr/>
          <w:p>
            <w:pPr>
              <w:pStyle w:val="Compact"/>
              <w:jc w:val="left"/>
            </w:pPr>
            <w:r>
              <w:t xml:space="preserve">exit status</w:t>
            </w:r>
          </w:p>
        </w:tc>
      </w:tr>
      <w:tr>
        <w:tc>
          <w:tcPr/>
          <w:p>
            <w:pPr>
              <w:pStyle w:val="Compact"/>
              <w:jc w:val="left"/>
            </w:pPr>
            <w:r>
              <w:t xml:space="preserve">1</w:t>
            </w:r>
          </w:p>
        </w:tc>
        <w:tc>
          <w:tcPr/>
          <w:p>
            <w:pPr>
              <w:pStyle w:val="Compact"/>
            </w:pPr>
          </w:p>
        </w:tc>
        <w:tc>
          <w:tcPr/>
          <w:p>
            <w:pPr>
              <w:pStyle w:val="Compact"/>
              <w:jc w:val="left"/>
            </w:pPr>
            <w:r>
              <w:t xml:space="preserve">Pristine_perfect</w:t>
            </w:r>
          </w:p>
        </w:tc>
        <w:tc>
          <w:tcPr/>
          <w:p>
            <w:pPr>
              <w:pStyle w:val="Compact"/>
              <w:jc w:val="left"/>
            </w:pPr>
            <w:r>
              <w:t xml:space="preserve">Ti</w:t>
            </w:r>
            <w:r>
              <w:rPr>
                <w:vertAlign w:val="subscript"/>
              </w:rPr>
              <w:t xml:space="preserve">16</w:t>
            </w:r>
            <w:r>
              <w:t xml:space="preserve">O</w:t>
            </w:r>
            <w:r>
              <w:rPr>
                <w:vertAlign w:val="subscript"/>
              </w:rPr>
              <w:t xml:space="preserve">32</w:t>
            </w:r>
          </w:p>
        </w:tc>
        <w:tc>
          <w:tcPr/>
          <w:p>
            <w:pPr>
              <w:pStyle w:val="Compact"/>
              <w:jc w:val="left"/>
            </w:pPr>
            <w:r>
              <w:t xml:space="preserve">384</w:t>
            </w:r>
          </w:p>
        </w:tc>
        <w:tc>
          <w:tcPr/>
          <w:p>
            <w:pPr>
              <w:pStyle w:val="Compact"/>
              <w:jc w:val="left"/>
            </w:pPr>
            <w:r>
              <w:t xml:space="preserve">0</w:t>
            </w:r>
          </w:p>
        </w:tc>
        <w:tc>
          <w:tcPr/>
          <w:p>
            <w:pPr>
              <w:pStyle w:val="Compact"/>
              <w:jc w:val="left"/>
            </w:pPr>
            <w:r>
              <w:t xml:space="preserve">PBE+U 3.5</w:t>
            </w:r>
          </w:p>
        </w:tc>
        <w:tc>
          <w:tcPr/>
          <w:p>
            <w:pPr>
              <w:pStyle w:val="Compact"/>
              <w:jc w:val="left"/>
            </w:pPr>
            <w:r>
              <w:t xml:space="preserve">Γ</w:t>
            </w:r>
          </w:p>
        </w:tc>
        <w:tc>
          <w:tcPr/>
          <w:p>
            <w:pPr>
              <w:pStyle w:val="Compact"/>
              <w:jc w:val="left"/>
            </w:pPr>
            <w:r>
              <w:t xml:space="preserve">40/320</w:t>
            </w:r>
          </w:p>
        </w:tc>
        <w:tc>
          <w:tcPr/>
          <w:p>
            <w:pPr>
              <w:pStyle w:val="Compact"/>
            </w:pPr>
          </w:p>
        </w:tc>
        <w:tc>
          <w:tcPr/>
          <w:p>
            <w:pPr>
              <w:pStyle w:val="Compact"/>
              <w:jc w:val="left"/>
            </w:pPr>
            <w:r>
              <w:rPr>
                <w:bCs/>
                <w:b/>
              </w:rPr>
              <w:t xml:space="preserve">[AUTHOR ACTION: value from the input; not 0 on every species, Section 2.5]</w:t>
            </w:r>
          </w:p>
        </w:tc>
        <w:tc>
          <w:tcPr/>
          <w:p>
            <w:pPr>
              <w:pStyle w:val="Compact"/>
              <w:jc w:val="left"/>
            </w:pPr>
            <w:r>
              <w:t xml:space="preserve">relax</w:t>
            </w:r>
          </w:p>
        </w:tc>
        <w:tc>
          <w:tcPr/>
          <w:p>
            <w:pPr>
              <w:pStyle w:val="Compact"/>
              <w:jc w:val="left"/>
            </w:pPr>
            <w:r>
              <w:t xml:space="preserve">−4275.01530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7.89</w:t>
            </w:r>
          </w:p>
        </w:tc>
        <w:tc>
          <w:tcPr/>
          <w:p>
            <w:pPr>
              <w:pStyle w:val="Compact"/>
            </w:pP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[AUTHOR ACTION: complete all 24+ rows from the output files; this table is what reviewers will use to trace every number.]</w:t>
      </w:r>
    </w:p>
    <w:bookmarkEnd w:id="35"/>
    <w:bookmarkStart w:id="39" w:name="s11.-force-convergence-trajectories"/>
    <w:p>
      <w:pPr>
        <w:pStyle w:val="Heading3"/>
      </w:pPr>
      <w:r>
        <w:t xml:space="preserve">S11. Force-convergence trajectories</w:t>
      </w:r>
    </w:p>
    <w:p>
      <w:pPr>
        <w:pStyle w:val="FirstParagraph"/>
      </w:pPr>
      <w:r>
        <w:drawing>
          <wp:inline>
            <wp:extent cx="5334000" cy="2072007"/>
            <wp:effectExtent b="0" l="0" r="0" t="0"/>
            <wp:docPr descr="" title="" id="37" name="Picture"/>
            <a:graphic>
              <a:graphicData uri="http://schemas.openxmlformats.org/drawingml/2006/picture">
                <pic:pic>
                  <pic:nvPicPr>
                    <pic:cNvPr descr="../figures/FigS3_force_convergence_patched.png" id="38" name="Picture"/>
                    <pic:cNvPicPr>
                      <a:picLocks noChangeArrowheads="1" noChangeAspect="1"/>
                    </pic:cNvPicPr>
                  </pic:nvPicPr>
                  <pic:blipFill>
                    <a:blip r:embed="rId36"/>
                    <a:stretch>
                      <a:fillRect/>
                    </a:stretch>
                  </pic:blipFill>
                  <pic:spPr bwMode="auto">
                    <a:xfrm>
                      <a:off x="0" y="0"/>
                      <a:ext cx="5334000" cy="2072007"/>
                    </a:xfrm>
                    <a:prstGeom prst="rect">
                      <a:avLst/>
                    </a:prstGeom>
                    <a:noFill/>
                    <a:ln w="9525">
                      <a:noFill/>
                      <a:headEnd/>
                      <a:tailEnd/>
                    </a:ln>
                  </pic:spPr>
                </pic:pic>
              </a:graphicData>
            </a:graphic>
          </wp:inline>
        </w:drawing>
      </w:r>
    </w:p>
    <w:p>
      <w:pPr>
        <w:pStyle w:val="BodyText"/>
      </w:pPr>
      <w:r>
        <w:rPr>
          <w:iCs/>
          <w:i/>
        </w:rPr>
        <w:t xml:space="preserve">Figure S3. Maximum-force trajectories of the (a) Pr_VO (last 14 BFGS steps after restart) and (b) Rb_VO (last 5 steps) relaxations. Dashed green: the 0.005 Ry/Bohr threshold of this work. Final values 0.0042 and 0.0040 Ry/Bohr (0.108 and 0.103 eV/Å).</w:t>
      </w:r>
      <w:r>
        <w:rPr>
          <w:iCs/>
          <w:i/>
        </w:rPr>
        <w:t xml:space="preserve"> </w:t>
      </w:r>
      <w:r>
        <w:rPr>
          <w:bCs/>
          <w:b/>
          <w:iCs/>
          <w:i/>
        </w:rPr>
        <w:t xml:space="preserve">[AUTHOR ACTION: the panel titles and the legend entry of the grey 0.01 Ry/Bohr line (formerly labelled as a literature standard without a source) were patched in the interim artwork; regenerate from the BFGS logs with labels in eV/Å, drop or source the 0.01 Ry/Bohr line, and show the complete trajectories.]</w:t>
      </w:r>
    </w:p>
    <w:bookmarkEnd w:id="39"/>
    <w:bookmarkEnd w:id="40"/>
    <w:bookmarkEnd w:id="4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2026-10-03T02:34:09Z</dcterms:created>
  <dcterms:modified xsi:type="dcterms:W3CDTF">2026-10-03T02:34:09Z</dcterms:modified>
</cp:coreProperties>
</file>

<file path=docProps/custom.xml><?xml version="1.0" encoding="utf-8"?>
<Properties xmlns="http://schemas.openxmlformats.org/officeDocument/2006/custom-properties" xmlns:vt="http://schemas.openxmlformats.org/officeDocument/2006/docPropsVTypes"/>
</file>