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Grey: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and the 2×2×2 formation-energy cycles are given in Table S2b, which start from scratch and therefore include small offsets from the relaxation endpoints (Section 3.7).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b</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a</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The 2×2×2 pristine value uses the single point of the unrelaxed pristine perfect cell (Table S2a), whose relaxation energy at Γ is −9 meV. </w:t>
      </w:r>
      <w:r w:rsidRPr="004E6412">
        <w:rPr>
          <w:rFonts w:asciiTheme="majorBidi" w:hAnsiTheme="majorBidi" w:cstheme="majorBidi"/>
          <w:i/>
          <w:iCs/>
          <w:vertAlign w:val="superscript"/>
        </w:rPr>
        <w:t>b</w:t>
      </w:r>
      <w:r w:rsidRPr="004E6412">
        <w:rPr>
          <w:rFonts w:asciiTheme="majorBidi" w:hAnsiTheme="majorBidi" w:cstheme="majorBidi"/>
          <w:i/>
          <w:iCs/>
        </w:rPr>
        <w:t xml:space="preserve"> Relaxed in this work (Section 2.6); the single point on unrelaxed positions gives +4.74 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(this work; Table 2). Dashed ticks: single-point values at 2×2×2 on the Γ geometries of the doped cells (pristine: +4.95 eV, Table 2). Both substitutions lower the formation energy relative to pristine; the Pr cell stays </w:t>
      </w:r>
      <w:r w:rsidRPr="004E6412">
        <w:rPr>
          <w:rFonts w:asciiTheme="majorBidi" w:hAnsiTheme="majorBidi" w:cstheme="majorBidi"/>
          <w:i/>
          <w:iCs/>
        </w:rPr>
        <w:lastRenderedPageBreak/>
        <w:t>positive and the Rb cell becomes negative. Open diamonds: the lowest-energy spin solutions with narrower smearing (σ → 0 estimate; Section 3.3).</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51066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510667"/>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arXiv:2011.03269 [cond-mat.mtrl-sci], 2020.</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