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C3CB4" w14:textId="77777777" w:rsidR="00BD671F" w:rsidRDefault="00000000">
      <w:pPr>
        <w:spacing w:after="80"/>
      </w:pPr>
      <w:r>
        <w:rPr>
          <w:rFonts w:ascii="Arial" w:hAnsi="Arial"/>
          <w:b/>
          <w:color w:val="2E75B6"/>
          <w:sz w:val="44"/>
        </w:rPr>
        <w:t>Progress Report</w:t>
      </w:r>
    </w:p>
    <w:p w14:paraId="50217BB7" w14:textId="77777777" w:rsidR="00BD671F" w:rsidRDefault="00000000">
      <w:pPr>
        <w:spacing w:after="80"/>
      </w:pPr>
      <w:r>
        <w:rPr>
          <w:rFonts w:ascii="Arial" w:hAnsi="Arial"/>
          <w:b/>
          <w:color w:val="1F4E79"/>
          <w:sz w:val="28"/>
        </w:rPr>
        <w:t>Phase 6: eNTRy Rule Extension — Gram-Negative Permeation Descriptors</w:t>
      </w:r>
    </w:p>
    <w:p w14:paraId="2F93E968" w14:textId="77777777" w:rsidR="00BD671F" w:rsidRDefault="00000000">
      <w:pPr>
        <w:pBdr>
          <w:bottom w:val="single" w:sz="8" w:space="1" w:color="2E75B6"/>
        </w:pBdr>
        <w:spacing w:after="320"/>
      </w:pPr>
      <w:r>
        <w:rPr>
          <w:rFonts w:ascii="Arial" w:hAnsi="Arial"/>
          <w:i/>
          <w:color w:val="595959"/>
        </w:rPr>
        <w:t>Helmholtz Centre for Infection Research (HZI)</w:t>
      </w:r>
    </w:p>
    <w:p w14:paraId="586E1106" w14:textId="77777777" w:rsidR="00BD671F" w:rsidRDefault="00000000">
      <w:pPr>
        <w:pBdr>
          <w:bottom w:val="single" w:sz="6" w:space="1" w:color="2E75B6"/>
        </w:pBdr>
        <w:spacing w:before="280" w:after="80"/>
      </w:pPr>
      <w:r>
        <w:rPr>
          <w:rFonts w:ascii="Arial" w:hAnsi="Arial"/>
          <w:b/>
          <w:color w:val="2E75B6"/>
          <w:sz w:val="28"/>
        </w:rPr>
        <w:t>1. Objective</w:t>
      </w:r>
    </w:p>
    <w:p w14:paraId="118FEFA5" w14:textId="77777777" w:rsidR="00BD671F" w:rsidRDefault="00000000">
      <w:pPr>
        <w:spacing w:after="120"/>
      </w:pPr>
      <w:r>
        <w:rPr>
          <w:rFonts w:ascii="Arial" w:hAnsi="Arial"/>
          <w:sz w:val="21"/>
        </w:rPr>
        <w:t>Phase 5 established a high-performing model achieving AUPRC = 0.646 and P@10 = 0.90 using a 4,480-dimensional feature vector (ECFP4 binary+count, MACCS keys, RDKit 2D descriptors). SHAP analysis identified charge distribution and electronic surface descriptors as the dominant predictive features, consistent with the electrostatic importance of E. coli outer membrane permeability.</w:t>
      </w:r>
    </w:p>
    <w:p w14:paraId="59E945F6" w14:textId="3B87D624" w:rsidR="00BD671F" w:rsidRDefault="00000000">
      <w:pPr>
        <w:spacing w:after="120"/>
      </w:pPr>
      <w:r>
        <w:rPr>
          <w:rFonts w:ascii="Arial" w:hAnsi="Arial"/>
          <w:sz w:val="21"/>
        </w:rPr>
        <w:t>Phase 6 was motivated by the suggestion to incorporate the eNTRy rules (Richter et al., Nature 2017)</w:t>
      </w:r>
      <w:r w:rsidR="008D1454">
        <w:rPr>
          <w:rFonts w:ascii="Arial" w:hAnsi="Arial"/>
          <w:sz w:val="21"/>
        </w:rPr>
        <w:t>,</w:t>
      </w:r>
      <w:r>
        <w:rPr>
          <w:rFonts w:ascii="Arial" w:hAnsi="Arial"/>
          <w:sz w:val="21"/>
        </w:rPr>
        <w:t xml:space="preserve"> a framework by the Hergenrother Laboratory to predict whether a small molecule can accumulate inside Gram-negative bacteria. </w:t>
      </w:r>
      <w:r w:rsidR="008D1454">
        <w:rPr>
          <w:rFonts w:ascii="Arial" w:hAnsi="Arial"/>
          <w:sz w:val="21"/>
        </w:rPr>
        <w:t xml:space="preserve">Was also </w:t>
      </w:r>
      <w:r>
        <w:rPr>
          <w:rFonts w:ascii="Arial" w:hAnsi="Arial"/>
          <w:sz w:val="21"/>
        </w:rPr>
        <w:t>asked for descriptors such as TPSA and logP to evaluate compound uptake propensity. The core question is: of the compounds predicted active by the model, which ones can actually enter E. coli to reach their intracellular target?</w:t>
      </w:r>
    </w:p>
    <w:p w14:paraId="652DD0F9" w14:textId="0D7BC0F4" w:rsidR="00BD671F" w:rsidRDefault="00000000">
      <w:pPr>
        <w:spacing w:after="120"/>
      </w:pPr>
      <w:r>
        <w:rPr>
          <w:rFonts w:ascii="Arial" w:hAnsi="Arial"/>
          <w:sz w:val="21"/>
        </w:rPr>
        <w:t>The acronym eNTRy is formed from three rule letters N, T, R</w:t>
      </w:r>
      <w:r w:rsidR="008D1454">
        <w:rPr>
          <w:rFonts w:ascii="Arial" w:hAnsi="Arial"/>
          <w:sz w:val="21"/>
        </w:rPr>
        <w:t>,</w:t>
      </w:r>
      <w:r>
        <w:rPr>
          <w:rFonts w:ascii="Arial" w:hAnsi="Arial"/>
          <w:sz w:val="21"/>
        </w:rPr>
        <w:t xml:space="preserve"> lowercase 'e' and 'y' are cosmetic additions to spell a recognisable word and do not represent additional conditions. The three rules are:</w:t>
      </w:r>
    </w:p>
    <w:tbl>
      <w:tblPr>
        <w:tblStyle w:val="TableGrid"/>
        <w:tblW w:w="0" w:type="auto"/>
        <w:tblLook w:val="04A0" w:firstRow="1" w:lastRow="0" w:firstColumn="1" w:lastColumn="0" w:noHBand="0" w:noVBand="1"/>
      </w:tblPr>
      <w:tblGrid>
        <w:gridCol w:w="1134"/>
        <w:gridCol w:w="2268"/>
        <w:gridCol w:w="5669"/>
      </w:tblGrid>
      <w:tr w:rsidR="00BD671F" w14:paraId="46E48324" w14:textId="77777777">
        <w:tc>
          <w:tcPr>
            <w:tcW w:w="1134"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29B6BBCC" w14:textId="77777777" w:rsidR="00BD671F" w:rsidRDefault="00000000">
            <w:r>
              <w:rPr>
                <w:rFonts w:ascii="Arial" w:hAnsi="Arial"/>
                <w:b/>
                <w:color w:val="FFFFFF"/>
                <w:sz w:val="20"/>
              </w:rPr>
              <w:t>Letter</w:t>
            </w:r>
          </w:p>
        </w:tc>
        <w:tc>
          <w:tcPr>
            <w:tcW w:w="2268"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624F44B1" w14:textId="77777777" w:rsidR="00BD671F" w:rsidRDefault="00000000">
            <w:r>
              <w:rPr>
                <w:rFonts w:ascii="Arial" w:hAnsi="Arial"/>
                <w:b/>
                <w:color w:val="FFFFFF"/>
                <w:sz w:val="20"/>
              </w:rPr>
              <w:t>Property</w:t>
            </w:r>
          </w:p>
        </w:tc>
        <w:tc>
          <w:tcPr>
            <w:tcW w:w="5669"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160B345D" w14:textId="77777777" w:rsidR="00BD671F" w:rsidRDefault="00000000">
            <w:r>
              <w:rPr>
                <w:rFonts w:ascii="Arial" w:hAnsi="Arial"/>
                <w:b/>
                <w:color w:val="FFFFFF"/>
                <w:sz w:val="20"/>
              </w:rPr>
              <w:t>Condition for Gram-negative accumulation</w:t>
            </w:r>
          </w:p>
        </w:tc>
      </w:tr>
      <w:tr w:rsidR="00BD671F" w14:paraId="58A46C1A" w14:textId="77777777">
        <w:tc>
          <w:tcPr>
            <w:tcW w:w="113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787CE20" w14:textId="77777777" w:rsidR="00BD671F" w:rsidRDefault="00000000">
            <w:r>
              <w:rPr>
                <w:rFonts w:ascii="Arial" w:hAnsi="Arial"/>
                <w:sz w:val="20"/>
              </w:rPr>
              <w:t>N</w:t>
            </w:r>
          </w:p>
        </w:tc>
        <w:tc>
          <w:tcPr>
            <w:tcW w:w="22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FFB777E" w14:textId="77777777" w:rsidR="00BD671F" w:rsidRDefault="00000000">
            <w:r>
              <w:rPr>
                <w:rFonts w:ascii="Arial" w:hAnsi="Arial"/>
                <w:sz w:val="20"/>
              </w:rPr>
              <w:t>Ionizable Nitrogen</w:t>
            </w:r>
          </w:p>
        </w:tc>
        <w:tc>
          <w:tcPr>
            <w:tcW w:w="56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D23FCC2" w14:textId="77777777" w:rsidR="00BD671F" w:rsidRDefault="00000000">
            <w:r>
              <w:rPr>
                <w:rFonts w:ascii="Arial" w:hAnsi="Arial"/>
                <w:sz w:val="20"/>
              </w:rPr>
              <w:t>Primary amine (NH₂ on sp³ carbon, non-sterically hindered)</w:t>
            </w:r>
          </w:p>
        </w:tc>
      </w:tr>
      <w:tr w:rsidR="00BD671F" w14:paraId="3D39FEC2" w14:textId="77777777">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6D4022E" w14:textId="77777777" w:rsidR="00BD671F" w:rsidRDefault="00000000">
            <w:r>
              <w:rPr>
                <w:rFonts w:ascii="Arial" w:hAnsi="Arial"/>
                <w:sz w:val="20"/>
              </w:rPr>
              <w:t>T</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E64654A" w14:textId="77777777" w:rsidR="00BD671F" w:rsidRDefault="00000000">
            <w:r>
              <w:rPr>
                <w:rFonts w:ascii="Arial" w:hAnsi="Arial"/>
                <w:sz w:val="20"/>
              </w:rPr>
              <w:t>Low Three-dimensionality</w:t>
            </w:r>
          </w:p>
        </w:tc>
        <w:tc>
          <w:tcPr>
            <w:tcW w:w="56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C8ECC21" w14:textId="77777777" w:rsidR="00BD671F" w:rsidRDefault="00000000">
            <w:r>
              <w:rPr>
                <w:rFonts w:ascii="Arial" w:hAnsi="Arial"/>
                <w:sz w:val="20"/>
              </w:rPr>
              <w:t>Globularity ≤ 0.25 (flat/rod-like, not spherical)</w:t>
            </w:r>
          </w:p>
        </w:tc>
      </w:tr>
      <w:tr w:rsidR="00BD671F" w14:paraId="1CEE9DE5" w14:textId="77777777">
        <w:tc>
          <w:tcPr>
            <w:tcW w:w="113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74EF1A30" w14:textId="77777777" w:rsidR="00BD671F" w:rsidRDefault="00000000">
            <w:r>
              <w:rPr>
                <w:rFonts w:ascii="Arial" w:hAnsi="Arial"/>
                <w:sz w:val="20"/>
              </w:rPr>
              <w:t>R</w:t>
            </w:r>
          </w:p>
        </w:tc>
        <w:tc>
          <w:tcPr>
            <w:tcW w:w="22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3CC88BE" w14:textId="77777777" w:rsidR="00BD671F" w:rsidRDefault="00000000">
            <w:r>
              <w:rPr>
                <w:rFonts w:ascii="Arial" w:hAnsi="Arial"/>
                <w:sz w:val="20"/>
              </w:rPr>
              <w:t>Rigidity</w:t>
            </w:r>
          </w:p>
        </w:tc>
        <w:tc>
          <w:tcPr>
            <w:tcW w:w="56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8A6AAAE" w14:textId="77777777" w:rsidR="00BD671F" w:rsidRDefault="00000000">
            <w:r>
              <w:rPr>
                <w:rFonts w:ascii="Arial" w:hAnsi="Arial"/>
                <w:sz w:val="20"/>
              </w:rPr>
              <w:t>Rotatable bonds ≤ 5</w:t>
            </w:r>
          </w:p>
        </w:tc>
      </w:tr>
    </w:tbl>
    <w:p w14:paraId="092C1504" w14:textId="77777777" w:rsidR="00BD671F" w:rsidRDefault="00BD671F">
      <w:pPr>
        <w:spacing w:after="80"/>
      </w:pPr>
    </w:p>
    <w:p w14:paraId="7B2EDE1E" w14:textId="77777777" w:rsidR="00BD671F" w:rsidRDefault="00000000">
      <w:pPr>
        <w:spacing w:after="120"/>
      </w:pPr>
      <w:r>
        <w:rPr>
          <w:rFonts w:ascii="Arial" w:hAnsi="Arial"/>
          <w:sz w:val="21"/>
        </w:rPr>
        <w:t>Phase 6 was structured into three sequential steps, each building on the previous:</w:t>
      </w:r>
    </w:p>
    <w:p w14:paraId="500C106B" w14:textId="77777777" w:rsidR="00BD671F" w:rsidRDefault="00000000">
      <w:pPr>
        <w:pStyle w:val="ListBullet"/>
        <w:spacing w:after="60"/>
      </w:pPr>
      <w:r>
        <w:rPr>
          <w:rFonts w:ascii="Arial" w:hAnsi="Arial"/>
          <w:sz w:val="21"/>
        </w:rPr>
        <w:t>Step 1: Compute eNTRy descriptors + TPSA/logP for all 2,334 molecules</w:t>
      </w:r>
    </w:p>
    <w:p w14:paraId="79DECBE2" w14:textId="77777777" w:rsidR="00BD671F" w:rsidRDefault="00000000">
      <w:pPr>
        <w:pStyle w:val="ListBullet"/>
        <w:spacing w:after="60"/>
      </w:pPr>
      <w:r>
        <w:rPr>
          <w:rFonts w:ascii="Arial" w:hAnsi="Arial"/>
          <w:sz w:val="21"/>
        </w:rPr>
        <w:t>Step 2: Add these descriptors to the Phase 5 feature matrix and retrain models — do they improve AUPRC?</w:t>
      </w:r>
    </w:p>
    <w:p w14:paraId="73409655" w14:textId="77777777" w:rsidR="00BD671F" w:rsidRDefault="00000000">
      <w:pPr>
        <w:pStyle w:val="ListBullet"/>
        <w:spacing w:after="60"/>
      </w:pPr>
      <w:r>
        <w:rPr>
          <w:rFonts w:ascii="Arial" w:hAnsi="Arial"/>
          <w:sz w:val="21"/>
        </w:rPr>
        <w:t>Step 3 (ablation): Train on eNTRy descriptors only — how much standalone signal do they carry?</w:t>
      </w:r>
    </w:p>
    <w:p w14:paraId="0FD43730" w14:textId="77777777" w:rsidR="00BD671F" w:rsidRDefault="00000000">
      <w:pPr>
        <w:pStyle w:val="ListBullet"/>
        <w:spacing w:after="60"/>
      </w:pPr>
      <w:r>
        <w:rPr>
          <w:rFonts w:ascii="Arial" w:hAnsi="Arial"/>
          <w:sz w:val="21"/>
        </w:rPr>
        <w:t>Step 4 (filter): Apply eNTRy as a post-prediction filter — which top-ranked compounds can actually enter E. coli?</w:t>
      </w:r>
    </w:p>
    <w:p w14:paraId="5B55ED19" w14:textId="77777777" w:rsidR="00BD671F" w:rsidRDefault="00000000">
      <w:pPr>
        <w:pBdr>
          <w:bottom w:val="single" w:sz="6" w:space="1" w:color="2E75B6"/>
        </w:pBdr>
        <w:spacing w:before="280" w:after="80"/>
      </w:pPr>
      <w:r>
        <w:rPr>
          <w:rFonts w:ascii="Arial" w:hAnsi="Arial"/>
          <w:b/>
          <w:color w:val="2E75B6"/>
          <w:sz w:val="28"/>
        </w:rPr>
        <w:t>2. Input Data</w:t>
      </w:r>
    </w:p>
    <w:tbl>
      <w:tblPr>
        <w:tblStyle w:val="TableGrid"/>
        <w:tblW w:w="0" w:type="auto"/>
        <w:tblLook w:val="04A0" w:firstRow="1" w:lastRow="0" w:firstColumn="1" w:lastColumn="0" w:noHBand="0" w:noVBand="1"/>
      </w:tblPr>
      <w:tblGrid>
        <w:gridCol w:w="3685"/>
        <w:gridCol w:w="5386"/>
      </w:tblGrid>
      <w:tr w:rsidR="00BD671F" w14:paraId="001E8EDD" w14:textId="77777777">
        <w:tc>
          <w:tcPr>
            <w:tcW w:w="3685"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0A75CEEC" w14:textId="77777777" w:rsidR="00BD671F" w:rsidRDefault="00000000">
            <w:r>
              <w:rPr>
                <w:rFonts w:ascii="Arial" w:hAnsi="Arial"/>
                <w:b/>
                <w:color w:val="FFFFFF"/>
                <w:sz w:val="20"/>
              </w:rPr>
              <w:t>File</w:t>
            </w:r>
          </w:p>
        </w:tc>
        <w:tc>
          <w:tcPr>
            <w:tcW w:w="5386"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648FEA5B" w14:textId="77777777" w:rsidR="00BD671F" w:rsidRDefault="00000000">
            <w:r>
              <w:rPr>
                <w:rFonts w:ascii="Arial" w:hAnsi="Arial"/>
                <w:b/>
                <w:color w:val="FFFFFF"/>
                <w:sz w:val="20"/>
              </w:rPr>
              <w:t>Contents</w:t>
            </w:r>
          </w:p>
        </w:tc>
      </w:tr>
      <w:tr w:rsidR="00BD671F" w14:paraId="47FA2FAB" w14:textId="77777777">
        <w:tc>
          <w:tcPr>
            <w:tcW w:w="3685"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F5B53AE" w14:textId="77777777" w:rsidR="00BD671F" w:rsidRDefault="00000000">
            <w:r>
              <w:rPr>
                <w:rFonts w:ascii="Arial" w:hAnsi="Arial"/>
                <w:sz w:val="20"/>
              </w:rPr>
              <w:t>smiles_labels_valid.csv</w:t>
            </w:r>
          </w:p>
        </w:tc>
        <w:tc>
          <w:tcPr>
            <w:tcW w:w="5386"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5DA6182C" w14:textId="77777777" w:rsidR="00BD671F" w:rsidRDefault="00000000">
            <w:r>
              <w:rPr>
                <w:rFonts w:ascii="Arial" w:hAnsi="Arial"/>
                <w:sz w:val="20"/>
              </w:rPr>
              <w:t>2,334 validated SMILES strings with binary activity labels (Phase 2)</w:t>
            </w:r>
          </w:p>
        </w:tc>
      </w:tr>
      <w:tr w:rsidR="00BD671F" w14:paraId="0CE6548A" w14:textId="77777777">
        <w:tc>
          <w:tcPr>
            <w:tcW w:w="3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4038B3C" w14:textId="77777777" w:rsidR="00BD671F" w:rsidRDefault="00000000">
            <w:r>
              <w:rPr>
                <w:rFonts w:ascii="Arial" w:hAnsi="Arial"/>
                <w:sz w:val="20"/>
              </w:rPr>
              <w:lastRenderedPageBreak/>
              <w:t>results_phase5/data/X_features.npy</w:t>
            </w:r>
          </w:p>
        </w:tc>
        <w:tc>
          <w:tcPr>
            <w:tcW w:w="53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7016E03" w14:textId="77777777" w:rsidR="00BD671F" w:rsidRDefault="00000000">
            <w:r>
              <w:rPr>
                <w:rFonts w:ascii="Arial" w:hAnsi="Arial"/>
                <w:sz w:val="20"/>
              </w:rPr>
              <w:t>Phase 5 feature matrix (2,334 × 4,480)</w:t>
            </w:r>
          </w:p>
        </w:tc>
      </w:tr>
      <w:tr w:rsidR="00BD671F" w14:paraId="30BAEDD5" w14:textId="77777777">
        <w:tc>
          <w:tcPr>
            <w:tcW w:w="3685"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7B45F7E3" w14:textId="77777777" w:rsidR="00BD671F" w:rsidRDefault="00000000">
            <w:r>
              <w:rPr>
                <w:rFonts w:ascii="Arial" w:hAnsi="Arial"/>
                <w:sz w:val="20"/>
              </w:rPr>
              <w:t>results_phase5/data/y.npy</w:t>
            </w:r>
          </w:p>
        </w:tc>
        <w:tc>
          <w:tcPr>
            <w:tcW w:w="5386"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643C3CA" w14:textId="77777777" w:rsidR="00BD671F" w:rsidRDefault="00000000">
            <w:r>
              <w:rPr>
                <w:rFonts w:ascii="Arial" w:hAnsi="Arial"/>
                <w:sz w:val="20"/>
              </w:rPr>
              <w:t>Binary label vector (120 actives, 2,214 inactives)</w:t>
            </w:r>
          </w:p>
        </w:tc>
      </w:tr>
      <w:tr w:rsidR="00BD671F" w14:paraId="05C87C02" w14:textId="77777777">
        <w:tc>
          <w:tcPr>
            <w:tcW w:w="36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E42C8DE" w14:textId="77777777" w:rsidR="00BD671F" w:rsidRDefault="00000000">
            <w:r>
              <w:rPr>
                <w:rFonts w:ascii="Arial" w:hAnsi="Arial"/>
                <w:sz w:val="20"/>
              </w:rPr>
              <w:t>results_phase5/data/scaffold_split.npz</w:t>
            </w:r>
          </w:p>
        </w:tc>
        <w:tc>
          <w:tcPr>
            <w:tcW w:w="5386"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320A0E0" w14:textId="77777777" w:rsidR="00BD671F" w:rsidRDefault="00000000">
            <w:r>
              <w:rPr>
                <w:rFonts w:ascii="Arial" w:hAnsi="Arial"/>
                <w:sz w:val="20"/>
              </w:rPr>
              <w:t>Exact train/test indices from Phase 5 stratified scaffold split</w:t>
            </w:r>
          </w:p>
        </w:tc>
      </w:tr>
    </w:tbl>
    <w:p w14:paraId="774A08E7" w14:textId="77777777" w:rsidR="00BD671F" w:rsidRDefault="00BD671F">
      <w:pPr>
        <w:spacing w:after="80"/>
      </w:pPr>
    </w:p>
    <w:p w14:paraId="6E447E40" w14:textId="77777777" w:rsidR="00BD671F" w:rsidRDefault="00000000">
      <w:pPr>
        <w:spacing w:after="120"/>
      </w:pPr>
      <w:r>
        <w:rPr>
          <w:rFonts w:ascii="Arial" w:hAnsi="Arial"/>
          <w:sz w:val="21"/>
        </w:rPr>
        <w:t>The Phase 5 scaffold split was reused without modification across all experiments. This is essential: AUPRC comparisons between phases are only valid when the same molecules appear in the test set.</w:t>
      </w:r>
    </w:p>
    <w:p w14:paraId="54AC52A9" w14:textId="4B0A4AE8" w:rsidR="00BD671F" w:rsidRDefault="00000000">
      <w:pPr>
        <w:pBdr>
          <w:bottom w:val="single" w:sz="6" w:space="1" w:color="2E75B6"/>
        </w:pBdr>
        <w:spacing w:before="280" w:after="80"/>
      </w:pPr>
      <w:r>
        <w:rPr>
          <w:rFonts w:ascii="Arial" w:hAnsi="Arial"/>
          <w:b/>
          <w:color w:val="2E75B6"/>
          <w:sz w:val="28"/>
        </w:rPr>
        <w:t>3. Step 1</w:t>
      </w:r>
      <w:r w:rsidR="008D1454">
        <w:rPr>
          <w:rFonts w:ascii="Arial" w:hAnsi="Arial"/>
          <w:b/>
          <w:color w:val="2E75B6"/>
          <w:sz w:val="28"/>
        </w:rPr>
        <w:t>;</w:t>
      </w:r>
      <w:r>
        <w:rPr>
          <w:rFonts w:ascii="Arial" w:hAnsi="Arial"/>
          <w:b/>
          <w:color w:val="2E75B6"/>
          <w:sz w:val="28"/>
        </w:rPr>
        <w:t xml:space="preserve"> </w:t>
      </w:r>
      <w:proofErr w:type="spellStart"/>
      <w:r>
        <w:rPr>
          <w:rFonts w:ascii="Arial" w:hAnsi="Arial"/>
          <w:b/>
          <w:color w:val="2E75B6"/>
          <w:sz w:val="28"/>
        </w:rPr>
        <w:t>eNTRy</w:t>
      </w:r>
      <w:proofErr w:type="spellEnd"/>
      <w:r>
        <w:rPr>
          <w:rFonts w:ascii="Arial" w:hAnsi="Arial"/>
          <w:b/>
          <w:color w:val="2E75B6"/>
          <w:sz w:val="28"/>
        </w:rPr>
        <w:t xml:space="preserve"> + Physicochemical Descriptor Calculation</w:t>
      </w:r>
    </w:p>
    <w:p w14:paraId="71EC0F82" w14:textId="77777777" w:rsidR="00BD671F" w:rsidRDefault="00000000">
      <w:pPr>
        <w:spacing w:before="200" w:after="60"/>
      </w:pPr>
      <w:r>
        <w:rPr>
          <w:rFonts w:ascii="Arial" w:hAnsi="Arial"/>
          <w:b/>
          <w:color w:val="1F4E79"/>
          <w:sz w:val="24"/>
        </w:rPr>
        <w:t>3.1 Descriptors Computed</w:t>
      </w:r>
    </w:p>
    <w:p w14:paraId="081BE092" w14:textId="77777777" w:rsidR="00BD671F" w:rsidRDefault="00000000">
      <w:pPr>
        <w:spacing w:after="120"/>
      </w:pPr>
      <w:r>
        <w:rPr>
          <w:rFonts w:ascii="Arial" w:hAnsi="Arial"/>
          <w:sz w:val="21"/>
        </w:rPr>
        <w:t>Ten new descriptors were computed for every SMILES string using RDKit and a port of the Hergenrother entry-cli logic. These fall into two groups:</w:t>
      </w:r>
    </w:p>
    <w:tbl>
      <w:tblPr>
        <w:tblStyle w:val="TableGrid"/>
        <w:tblW w:w="0" w:type="auto"/>
        <w:tblLook w:val="04A0" w:firstRow="1" w:lastRow="0" w:firstColumn="1" w:lastColumn="0" w:noHBand="0" w:noVBand="1"/>
      </w:tblPr>
      <w:tblGrid>
        <w:gridCol w:w="1984"/>
        <w:gridCol w:w="1417"/>
        <w:gridCol w:w="5669"/>
      </w:tblGrid>
      <w:tr w:rsidR="00BD671F" w14:paraId="0D2D35A6" w14:textId="77777777">
        <w:tc>
          <w:tcPr>
            <w:tcW w:w="1984"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3082FBB6" w14:textId="77777777" w:rsidR="00BD671F" w:rsidRDefault="00000000">
            <w:r>
              <w:rPr>
                <w:rFonts w:ascii="Arial" w:hAnsi="Arial"/>
                <w:b/>
                <w:color w:val="FFFFFF"/>
                <w:sz w:val="20"/>
              </w:rPr>
              <w:t>Descriptor</w:t>
            </w:r>
          </w:p>
        </w:tc>
        <w:tc>
          <w:tcPr>
            <w:tcW w:w="1417"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2BFF3136" w14:textId="77777777" w:rsidR="00BD671F" w:rsidRDefault="00000000">
            <w:r>
              <w:rPr>
                <w:rFonts w:ascii="Arial" w:hAnsi="Arial"/>
                <w:b/>
                <w:color w:val="FFFFFF"/>
                <w:sz w:val="20"/>
              </w:rPr>
              <w:t>Type</w:t>
            </w:r>
          </w:p>
        </w:tc>
        <w:tc>
          <w:tcPr>
            <w:tcW w:w="5669"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780FB204" w14:textId="77777777" w:rsidR="00BD671F" w:rsidRDefault="00000000">
            <w:r>
              <w:rPr>
                <w:rFonts w:ascii="Arial" w:hAnsi="Arial"/>
                <w:b/>
                <w:color w:val="FFFFFF"/>
                <w:sz w:val="20"/>
              </w:rPr>
              <w:t>Description</w:t>
            </w:r>
          </w:p>
        </w:tc>
      </w:tr>
      <w:tr w:rsidR="00BD671F" w14:paraId="4A03D0DA" w14:textId="77777777">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A6FCDE4" w14:textId="77777777" w:rsidR="00BD671F" w:rsidRDefault="00000000">
            <w:r>
              <w:rPr>
                <w:rFonts w:ascii="Arial" w:hAnsi="Arial"/>
                <w:sz w:val="20"/>
              </w:rPr>
              <w:t>has_primary_amine</w:t>
            </w:r>
          </w:p>
        </w:tc>
        <w:tc>
          <w:tcPr>
            <w:tcW w:w="141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E3A5A3A" w14:textId="77777777" w:rsidR="00BD671F" w:rsidRDefault="00000000">
            <w:r>
              <w:rPr>
                <w:rFonts w:ascii="Arial" w:hAnsi="Arial"/>
                <w:sz w:val="20"/>
              </w:rPr>
              <w:t>2D / binary</w:t>
            </w:r>
          </w:p>
        </w:tc>
        <w:tc>
          <w:tcPr>
            <w:tcW w:w="56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FA437F7" w14:textId="77777777" w:rsidR="00BD671F" w:rsidRDefault="00000000">
            <w:r>
              <w:rPr>
                <w:rFonts w:ascii="Arial" w:hAnsi="Arial"/>
                <w:sz w:val="20"/>
              </w:rPr>
              <w:t>SMARTS match for NH₂/NH₃⁺ on sp³ carbon (Hergenrother definition)</w:t>
            </w:r>
          </w:p>
        </w:tc>
      </w:tr>
      <w:tr w:rsidR="00BD671F" w14:paraId="7A2434E2" w14:textId="77777777">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F701809" w14:textId="77777777" w:rsidR="00BD671F" w:rsidRDefault="00000000">
            <w:r>
              <w:rPr>
                <w:rFonts w:ascii="Arial" w:hAnsi="Arial"/>
                <w:sz w:val="20"/>
              </w:rPr>
              <w:t>rotatable_bonds</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A56C6C4" w14:textId="77777777" w:rsidR="00BD671F" w:rsidRDefault="00000000">
            <w:r>
              <w:rPr>
                <w:rFonts w:ascii="Arial" w:hAnsi="Arial"/>
                <w:sz w:val="20"/>
              </w:rPr>
              <w:t>2D / integer</w:t>
            </w:r>
          </w:p>
        </w:tc>
        <w:tc>
          <w:tcPr>
            <w:tcW w:w="56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E144191" w14:textId="77777777" w:rsidR="00BD671F" w:rsidRDefault="00000000">
            <w:r>
              <w:rPr>
                <w:rFonts w:ascii="Arial" w:hAnsi="Arial"/>
                <w:sz w:val="20"/>
              </w:rPr>
              <w:t>Hergenrother definition: excludes amide N-C, terminal, and ring bonds</w:t>
            </w:r>
          </w:p>
        </w:tc>
      </w:tr>
      <w:tr w:rsidR="00BD671F" w14:paraId="52D91CF5" w14:textId="77777777">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5A0DC0CE" w14:textId="77777777" w:rsidR="00BD671F" w:rsidRDefault="00000000">
            <w:r>
              <w:rPr>
                <w:rFonts w:ascii="Arial" w:hAnsi="Arial"/>
                <w:sz w:val="20"/>
              </w:rPr>
              <w:t>logP</w:t>
            </w:r>
          </w:p>
        </w:tc>
        <w:tc>
          <w:tcPr>
            <w:tcW w:w="141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5CAA7EAB" w14:textId="77777777" w:rsidR="00BD671F" w:rsidRDefault="00000000">
            <w:r>
              <w:rPr>
                <w:rFonts w:ascii="Arial" w:hAnsi="Arial"/>
                <w:sz w:val="20"/>
              </w:rPr>
              <w:t>2D / continuous</w:t>
            </w:r>
          </w:p>
        </w:tc>
        <w:tc>
          <w:tcPr>
            <w:tcW w:w="56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3CA4C2D" w14:textId="77777777" w:rsidR="00BD671F" w:rsidRDefault="00000000">
            <w:r>
              <w:rPr>
                <w:rFonts w:ascii="Arial" w:hAnsi="Arial"/>
                <w:sz w:val="20"/>
              </w:rPr>
              <w:t>Crippen logP — lipophilicity, governs passive membrane diffusion</w:t>
            </w:r>
          </w:p>
        </w:tc>
      </w:tr>
      <w:tr w:rsidR="00BD671F" w14:paraId="3EE54D5E" w14:textId="77777777">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E38CF33" w14:textId="77777777" w:rsidR="00BD671F" w:rsidRDefault="00000000">
            <w:r>
              <w:rPr>
                <w:rFonts w:ascii="Arial" w:hAnsi="Arial"/>
                <w:sz w:val="20"/>
              </w:rPr>
              <w:t>TPSA</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471BC75" w14:textId="77777777" w:rsidR="00BD671F" w:rsidRDefault="00000000">
            <w:r>
              <w:rPr>
                <w:rFonts w:ascii="Arial" w:hAnsi="Arial"/>
                <w:sz w:val="20"/>
              </w:rPr>
              <w:t>2D / continuous</w:t>
            </w:r>
          </w:p>
        </w:tc>
        <w:tc>
          <w:tcPr>
            <w:tcW w:w="56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A57A1C1" w14:textId="77777777" w:rsidR="00BD671F" w:rsidRDefault="00000000">
            <w:r>
              <w:rPr>
                <w:rFonts w:ascii="Arial" w:hAnsi="Arial"/>
                <w:sz w:val="20"/>
              </w:rPr>
              <w:t>Topological Polar Surface Area — correlates with membrane permeability</w:t>
            </w:r>
          </w:p>
        </w:tc>
      </w:tr>
      <w:tr w:rsidR="00BD671F" w14:paraId="09451432" w14:textId="77777777">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7DD5EA55" w14:textId="77777777" w:rsidR="00BD671F" w:rsidRDefault="00000000">
            <w:r>
              <w:rPr>
                <w:rFonts w:ascii="Arial" w:hAnsi="Arial"/>
                <w:sz w:val="20"/>
              </w:rPr>
              <w:t>glob_hergenrother</w:t>
            </w:r>
          </w:p>
        </w:tc>
        <w:tc>
          <w:tcPr>
            <w:tcW w:w="141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28BC142" w14:textId="77777777" w:rsidR="00BD671F" w:rsidRDefault="00000000">
            <w:r>
              <w:rPr>
                <w:rFonts w:ascii="Arial" w:hAnsi="Arial"/>
                <w:sz w:val="20"/>
              </w:rPr>
              <w:t>3D / continuous</w:t>
            </w:r>
          </w:p>
        </w:tc>
        <w:tc>
          <w:tcPr>
            <w:tcW w:w="56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681B68E" w14:textId="77777777" w:rsidR="00BD671F" w:rsidRDefault="00000000">
            <w:r>
              <w:rPr>
                <w:rFonts w:ascii="Arial" w:hAnsi="Arial"/>
                <w:sz w:val="20"/>
              </w:rPr>
              <w:t>Ratio of smallest to largest eigenvalue of atomic coord covariance matrix</w:t>
            </w:r>
          </w:p>
        </w:tc>
      </w:tr>
      <w:tr w:rsidR="00BD671F" w14:paraId="79FC85C6" w14:textId="77777777">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A2474E4" w14:textId="77777777" w:rsidR="00BD671F" w:rsidRDefault="00000000">
            <w:r>
              <w:rPr>
                <w:rFonts w:ascii="Arial" w:hAnsi="Arial"/>
                <w:sz w:val="20"/>
              </w:rPr>
              <w:t>spherocity</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3A5278C" w14:textId="77777777" w:rsidR="00BD671F" w:rsidRDefault="00000000">
            <w:r>
              <w:rPr>
                <w:rFonts w:ascii="Arial" w:hAnsi="Arial"/>
                <w:sz w:val="20"/>
              </w:rPr>
              <w:t>3D / continuous</w:t>
            </w:r>
          </w:p>
        </w:tc>
        <w:tc>
          <w:tcPr>
            <w:tcW w:w="56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1EADBBC" w14:textId="77777777" w:rsidR="00BD671F" w:rsidRDefault="00000000">
            <w:r>
              <w:rPr>
                <w:rFonts w:ascii="Arial" w:hAnsi="Arial"/>
                <w:sz w:val="20"/>
              </w:rPr>
              <w:t>RDKit SpherocityIndex (0 = flat, 1 = spherical) — compared to Hergenrother</w:t>
            </w:r>
          </w:p>
        </w:tc>
      </w:tr>
      <w:tr w:rsidR="00BD671F" w14:paraId="74E51884" w14:textId="77777777">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7A4EBE5" w14:textId="77777777" w:rsidR="00BD671F" w:rsidRDefault="00000000">
            <w:r>
              <w:rPr>
                <w:rFonts w:ascii="Arial" w:hAnsi="Arial"/>
                <w:sz w:val="20"/>
              </w:rPr>
              <w:t>asphericity</w:t>
            </w:r>
          </w:p>
        </w:tc>
        <w:tc>
          <w:tcPr>
            <w:tcW w:w="141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CFAB0D8" w14:textId="77777777" w:rsidR="00BD671F" w:rsidRDefault="00000000">
            <w:r>
              <w:rPr>
                <w:rFonts w:ascii="Arial" w:hAnsi="Arial"/>
                <w:sz w:val="20"/>
              </w:rPr>
              <w:t>3D / continuous</w:t>
            </w:r>
          </w:p>
        </w:tc>
        <w:tc>
          <w:tcPr>
            <w:tcW w:w="56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785F2396" w14:textId="77777777" w:rsidR="00BD671F" w:rsidRDefault="00000000">
            <w:r>
              <w:rPr>
                <w:rFonts w:ascii="Arial" w:hAnsi="Arial"/>
                <w:sz w:val="20"/>
              </w:rPr>
              <w:t>Deviation from perfect sphere</w:t>
            </w:r>
          </w:p>
        </w:tc>
      </w:tr>
      <w:tr w:rsidR="00BD671F" w14:paraId="44288D21" w14:textId="77777777">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3EA76DE" w14:textId="77777777" w:rsidR="00BD671F" w:rsidRDefault="00000000">
            <w:r>
              <w:rPr>
                <w:rFonts w:ascii="Arial" w:hAnsi="Arial"/>
                <w:sz w:val="20"/>
              </w:rPr>
              <w:t>npr1, npr2</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4DEE051" w14:textId="77777777" w:rsidR="00BD671F" w:rsidRDefault="00000000">
            <w:r>
              <w:rPr>
                <w:rFonts w:ascii="Arial" w:hAnsi="Arial"/>
                <w:sz w:val="20"/>
              </w:rPr>
              <w:t>3D / continuous</w:t>
            </w:r>
          </w:p>
        </w:tc>
        <w:tc>
          <w:tcPr>
            <w:tcW w:w="56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55049B6" w14:textId="77777777" w:rsidR="00BD671F" w:rsidRDefault="00000000">
            <w:r>
              <w:rPr>
                <w:rFonts w:ascii="Arial" w:hAnsi="Arial"/>
                <w:sz w:val="20"/>
              </w:rPr>
              <w:t>Normalised principal moment ratios (shape triangle)</w:t>
            </w:r>
          </w:p>
        </w:tc>
      </w:tr>
      <w:tr w:rsidR="00BD671F" w14:paraId="75360660" w14:textId="77777777">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2BB05CD" w14:textId="77777777" w:rsidR="00BD671F" w:rsidRDefault="00000000">
            <w:r>
              <w:rPr>
                <w:rFonts w:ascii="Arial" w:hAnsi="Arial"/>
                <w:sz w:val="20"/>
              </w:rPr>
              <w:t>radius_of_gyration</w:t>
            </w:r>
          </w:p>
        </w:tc>
        <w:tc>
          <w:tcPr>
            <w:tcW w:w="141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BDA6902" w14:textId="77777777" w:rsidR="00BD671F" w:rsidRDefault="00000000">
            <w:r>
              <w:rPr>
                <w:rFonts w:ascii="Arial" w:hAnsi="Arial"/>
                <w:sz w:val="20"/>
              </w:rPr>
              <w:t>3D / continuous</w:t>
            </w:r>
          </w:p>
        </w:tc>
        <w:tc>
          <w:tcPr>
            <w:tcW w:w="56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4FB3BE8" w14:textId="77777777" w:rsidR="00BD671F" w:rsidRDefault="00000000">
            <w:r>
              <w:rPr>
                <w:rFonts w:ascii="Arial" w:hAnsi="Arial"/>
                <w:sz w:val="20"/>
              </w:rPr>
              <w:t>Molecular size in 3D space</w:t>
            </w:r>
          </w:p>
        </w:tc>
      </w:tr>
      <w:tr w:rsidR="00BD671F" w14:paraId="5790C6CC" w14:textId="77777777">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49F7B93" w14:textId="77777777" w:rsidR="00BD671F" w:rsidRDefault="00000000">
            <w:r>
              <w:rPr>
                <w:rFonts w:ascii="Arial" w:hAnsi="Arial"/>
                <w:sz w:val="20"/>
              </w:rPr>
              <w:t>pbf</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554830D" w14:textId="77777777" w:rsidR="00BD671F" w:rsidRDefault="00000000">
            <w:r>
              <w:rPr>
                <w:rFonts w:ascii="Arial" w:hAnsi="Arial"/>
                <w:sz w:val="20"/>
              </w:rPr>
              <w:t>3D / continuous</w:t>
            </w:r>
          </w:p>
        </w:tc>
        <w:tc>
          <w:tcPr>
            <w:tcW w:w="56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63482F4" w14:textId="77777777" w:rsidR="00BD671F" w:rsidRDefault="00000000">
            <w:r>
              <w:rPr>
                <w:rFonts w:ascii="Arial" w:hAnsi="Arial"/>
                <w:sz w:val="20"/>
              </w:rPr>
              <w:t>Plane of Best Fit: avg atom distance to best-fit plane (Å)</w:t>
            </w:r>
          </w:p>
        </w:tc>
      </w:tr>
      <w:tr w:rsidR="00BD671F" w14:paraId="0385B353" w14:textId="77777777">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8275932" w14:textId="77777777" w:rsidR="00BD671F" w:rsidRDefault="00000000">
            <w:r>
              <w:rPr>
                <w:rFonts w:ascii="Arial" w:hAnsi="Arial"/>
                <w:sz w:val="20"/>
              </w:rPr>
              <w:t>passes_eNTRy</w:t>
            </w:r>
          </w:p>
        </w:tc>
        <w:tc>
          <w:tcPr>
            <w:tcW w:w="141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895D23E" w14:textId="77777777" w:rsidR="00BD671F" w:rsidRDefault="00000000">
            <w:r>
              <w:rPr>
                <w:rFonts w:ascii="Arial" w:hAnsi="Arial"/>
                <w:sz w:val="20"/>
              </w:rPr>
              <w:t>Derived / binary</w:t>
            </w:r>
          </w:p>
        </w:tc>
        <w:tc>
          <w:tcPr>
            <w:tcW w:w="56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6AF70C3" w14:textId="77777777" w:rsidR="00BD671F" w:rsidRDefault="00000000">
            <w:r>
              <w:rPr>
                <w:rFonts w:ascii="Arial" w:hAnsi="Arial"/>
                <w:sz w:val="20"/>
              </w:rPr>
              <w:t>1 if has_primary_amine AND rot_bonds ≤ 5 AND glob ≤ 0.25</w:t>
            </w:r>
          </w:p>
        </w:tc>
      </w:tr>
    </w:tbl>
    <w:p w14:paraId="3B3D1965" w14:textId="77777777" w:rsidR="00BD671F" w:rsidRDefault="00BD671F">
      <w:pPr>
        <w:spacing w:after="80"/>
      </w:pPr>
    </w:p>
    <w:p w14:paraId="320411E8" w14:textId="77777777" w:rsidR="00BD671F" w:rsidRDefault="00000000">
      <w:pPr>
        <w:spacing w:before="200" w:after="60"/>
      </w:pPr>
      <w:r>
        <w:rPr>
          <w:rFonts w:ascii="Arial" w:hAnsi="Arial"/>
          <w:b/>
          <w:color w:val="1F4E79"/>
          <w:sz w:val="24"/>
        </w:rPr>
        <w:t>3.2 HPC Computation</w:t>
      </w:r>
    </w:p>
    <w:tbl>
      <w:tblPr>
        <w:tblStyle w:val="TableGrid"/>
        <w:tblW w:w="0" w:type="auto"/>
        <w:tblLook w:val="04A0" w:firstRow="1" w:lastRow="0" w:firstColumn="1" w:lastColumn="0" w:noHBand="0" w:noVBand="1"/>
      </w:tblPr>
      <w:tblGrid>
        <w:gridCol w:w="3402"/>
        <w:gridCol w:w="5669"/>
      </w:tblGrid>
      <w:tr w:rsidR="00BD671F" w14:paraId="61896445" w14:textId="77777777">
        <w:tc>
          <w:tcPr>
            <w:tcW w:w="3402"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612FBF6E" w14:textId="77777777" w:rsidR="00BD671F" w:rsidRDefault="00000000">
            <w:r>
              <w:rPr>
                <w:rFonts w:ascii="Arial" w:hAnsi="Arial"/>
                <w:b/>
                <w:color w:val="FFFFFF"/>
                <w:sz w:val="20"/>
              </w:rPr>
              <w:lastRenderedPageBreak/>
              <w:t>Metric</w:t>
            </w:r>
          </w:p>
        </w:tc>
        <w:tc>
          <w:tcPr>
            <w:tcW w:w="5669"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7FCFCA1B" w14:textId="77777777" w:rsidR="00BD671F" w:rsidRDefault="00000000">
            <w:r>
              <w:rPr>
                <w:rFonts w:ascii="Arial" w:hAnsi="Arial"/>
                <w:b/>
                <w:color w:val="FFFFFF"/>
                <w:sz w:val="20"/>
              </w:rPr>
              <w:t>Value</w:t>
            </w:r>
          </w:p>
        </w:tc>
      </w:tr>
      <w:tr w:rsidR="00BD671F" w14:paraId="2DCD6931" w14:textId="77777777">
        <w:tc>
          <w:tcPr>
            <w:tcW w:w="34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ED88BA5" w14:textId="77777777" w:rsidR="00BD671F" w:rsidRDefault="00000000">
            <w:r>
              <w:rPr>
                <w:rFonts w:ascii="Arial" w:hAnsi="Arial"/>
                <w:sz w:val="20"/>
              </w:rPr>
              <w:t>Total molecules processed</w:t>
            </w:r>
          </w:p>
        </w:tc>
        <w:tc>
          <w:tcPr>
            <w:tcW w:w="56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4723E51" w14:textId="77777777" w:rsidR="00BD671F" w:rsidRDefault="00000000">
            <w:r>
              <w:rPr>
                <w:rFonts w:ascii="Arial" w:hAnsi="Arial"/>
                <w:sz w:val="20"/>
              </w:rPr>
              <w:t>2,334</w:t>
            </w:r>
          </w:p>
        </w:tc>
      </w:tr>
      <w:tr w:rsidR="00BD671F" w14:paraId="2F0CE55E" w14:textId="77777777">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C494662" w14:textId="77777777" w:rsidR="00BD671F" w:rsidRDefault="00000000">
            <w:r>
              <w:rPr>
                <w:rFonts w:ascii="Arial" w:hAnsi="Arial"/>
                <w:sz w:val="20"/>
              </w:rPr>
              <w:t>3D embedding failures</w:t>
            </w:r>
          </w:p>
        </w:tc>
        <w:tc>
          <w:tcPr>
            <w:tcW w:w="56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21DDF50" w14:textId="77777777" w:rsidR="00BD671F" w:rsidRDefault="00000000">
            <w:r>
              <w:rPr>
                <w:rFonts w:ascii="Arial" w:hAnsi="Arial"/>
                <w:sz w:val="20"/>
              </w:rPr>
              <w:t>1 (0.04%) — filled with column medians</w:t>
            </w:r>
          </w:p>
        </w:tc>
      </w:tr>
      <w:tr w:rsidR="00BD671F" w14:paraId="31AAE423" w14:textId="77777777">
        <w:tc>
          <w:tcPr>
            <w:tcW w:w="34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CC810CE" w14:textId="77777777" w:rsidR="00BD671F" w:rsidRDefault="00000000">
            <w:r>
              <w:rPr>
                <w:rFonts w:ascii="Arial" w:hAnsi="Arial"/>
                <w:sz w:val="20"/>
              </w:rPr>
              <w:t>Conformers per molecule</w:t>
            </w:r>
          </w:p>
        </w:tc>
        <w:tc>
          <w:tcPr>
            <w:tcW w:w="56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2397784" w14:textId="77777777" w:rsidR="00BD671F" w:rsidRDefault="00000000">
            <w:r>
              <w:rPr>
                <w:rFonts w:ascii="Arial" w:hAnsi="Arial"/>
                <w:sz w:val="20"/>
              </w:rPr>
              <w:t>10 (MMFF-optimised, ETKDGv3)</w:t>
            </w:r>
          </w:p>
        </w:tc>
      </w:tr>
      <w:tr w:rsidR="00BD671F" w14:paraId="0D89D771" w14:textId="77777777">
        <w:tc>
          <w:tcPr>
            <w:tcW w:w="34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3FEDCBF" w14:textId="77777777" w:rsidR="00BD671F" w:rsidRDefault="00000000">
            <w:r>
              <w:rPr>
                <w:rFonts w:ascii="Arial" w:hAnsi="Arial"/>
                <w:sz w:val="20"/>
              </w:rPr>
              <w:t>Wall-clock time</w:t>
            </w:r>
          </w:p>
        </w:tc>
        <w:tc>
          <w:tcPr>
            <w:tcW w:w="56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367508B" w14:textId="77777777" w:rsidR="00BD671F" w:rsidRDefault="00000000">
            <w:r>
              <w:rPr>
                <w:rFonts w:ascii="Arial" w:hAnsi="Arial"/>
                <w:sz w:val="20"/>
              </w:rPr>
              <w:t>3 min 25 sec (16 cores, HAICORE KIT)</w:t>
            </w:r>
          </w:p>
        </w:tc>
      </w:tr>
      <w:tr w:rsidR="00BD671F" w14:paraId="70501734" w14:textId="77777777">
        <w:tc>
          <w:tcPr>
            <w:tcW w:w="34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7C1AAF96" w14:textId="77777777" w:rsidR="00BD671F" w:rsidRDefault="00000000">
            <w:r>
              <w:rPr>
                <w:rFonts w:ascii="Arial" w:hAnsi="Arial"/>
                <w:sz w:val="20"/>
              </w:rPr>
              <w:t>Output</w:t>
            </w:r>
          </w:p>
        </w:tc>
        <w:tc>
          <w:tcPr>
            <w:tcW w:w="56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6CF0DC5" w14:textId="77777777" w:rsidR="00BD671F" w:rsidRDefault="00000000">
            <w:r>
              <w:rPr>
                <w:rFonts w:ascii="Arial" w:hAnsi="Arial"/>
                <w:sz w:val="20"/>
              </w:rPr>
              <w:t>entry_descriptors.csv (2,334 × 22 columns)</w:t>
            </w:r>
          </w:p>
        </w:tc>
      </w:tr>
    </w:tbl>
    <w:p w14:paraId="4B972186" w14:textId="77777777" w:rsidR="00BD671F" w:rsidRDefault="00BD671F">
      <w:pPr>
        <w:spacing w:after="80"/>
      </w:pPr>
    </w:p>
    <w:p w14:paraId="7FEDE06D" w14:textId="0A2801BB" w:rsidR="00BD671F" w:rsidRDefault="00000000">
      <w:pPr>
        <w:pBdr>
          <w:bottom w:val="single" w:sz="6" w:space="1" w:color="2E75B6"/>
        </w:pBdr>
        <w:spacing w:before="280" w:after="80"/>
      </w:pPr>
      <w:r>
        <w:rPr>
          <w:rFonts w:ascii="Arial" w:hAnsi="Arial"/>
          <w:b/>
          <w:color w:val="2E75B6"/>
          <w:sz w:val="28"/>
        </w:rPr>
        <w:t>4. Biological Validation</w:t>
      </w:r>
      <w:r w:rsidR="008D1454">
        <w:rPr>
          <w:rFonts w:ascii="Arial" w:hAnsi="Arial"/>
          <w:b/>
          <w:color w:val="2E75B6"/>
          <w:sz w:val="28"/>
        </w:rPr>
        <w:t>;</w:t>
      </w:r>
      <w:r>
        <w:rPr>
          <w:rFonts w:ascii="Arial" w:hAnsi="Arial"/>
          <w:b/>
          <w:color w:val="2E75B6"/>
          <w:sz w:val="28"/>
        </w:rPr>
        <w:t xml:space="preserve"> </w:t>
      </w:r>
      <w:proofErr w:type="spellStart"/>
      <w:r>
        <w:rPr>
          <w:rFonts w:ascii="Arial" w:hAnsi="Arial"/>
          <w:b/>
          <w:color w:val="2E75B6"/>
          <w:sz w:val="28"/>
        </w:rPr>
        <w:t>eNTRy</w:t>
      </w:r>
      <w:proofErr w:type="spellEnd"/>
      <w:r>
        <w:rPr>
          <w:rFonts w:ascii="Arial" w:hAnsi="Arial"/>
          <w:b/>
          <w:color w:val="2E75B6"/>
          <w:sz w:val="28"/>
        </w:rPr>
        <w:t xml:space="preserve"> Enrichment and Globularity Comparison</w:t>
      </w:r>
    </w:p>
    <w:p w14:paraId="63C7B220" w14:textId="77777777" w:rsidR="00BD671F" w:rsidRDefault="00000000">
      <w:pPr>
        <w:spacing w:before="200" w:after="60"/>
      </w:pPr>
      <w:r>
        <w:rPr>
          <w:rFonts w:ascii="Arial" w:hAnsi="Arial"/>
          <w:b/>
          <w:color w:val="1F4E79"/>
          <w:sz w:val="24"/>
        </w:rPr>
        <w:t>4.1 eNTRy Pass Rate by Class</w:t>
      </w:r>
    </w:p>
    <w:tbl>
      <w:tblPr>
        <w:tblStyle w:val="TableGrid"/>
        <w:tblW w:w="0" w:type="auto"/>
        <w:tblLook w:val="04A0" w:firstRow="1" w:lastRow="0" w:firstColumn="1" w:lastColumn="0" w:noHBand="0" w:noVBand="1"/>
      </w:tblPr>
      <w:tblGrid>
        <w:gridCol w:w="2551"/>
        <w:gridCol w:w="1701"/>
        <w:gridCol w:w="1984"/>
        <w:gridCol w:w="2268"/>
      </w:tblGrid>
      <w:tr w:rsidR="00BD671F" w14:paraId="1353840C" w14:textId="77777777">
        <w:tc>
          <w:tcPr>
            <w:tcW w:w="2551"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7F0971A1" w14:textId="77777777" w:rsidR="00BD671F" w:rsidRDefault="00000000">
            <w:r>
              <w:rPr>
                <w:rFonts w:ascii="Arial" w:hAnsi="Arial"/>
                <w:b/>
                <w:color w:val="FFFFFF"/>
                <w:sz w:val="20"/>
              </w:rPr>
              <w:t>Class</w:t>
            </w:r>
          </w:p>
        </w:tc>
        <w:tc>
          <w:tcPr>
            <w:tcW w:w="1701"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28591EEE" w14:textId="77777777" w:rsidR="00BD671F" w:rsidRDefault="00000000">
            <w:r>
              <w:rPr>
                <w:rFonts w:ascii="Arial" w:hAnsi="Arial"/>
                <w:b/>
                <w:color w:val="FFFFFF"/>
                <w:sz w:val="20"/>
              </w:rPr>
              <w:t>Total</w:t>
            </w:r>
          </w:p>
        </w:tc>
        <w:tc>
          <w:tcPr>
            <w:tcW w:w="1984"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7E046A99" w14:textId="77777777" w:rsidR="00BD671F" w:rsidRDefault="00000000">
            <w:r>
              <w:rPr>
                <w:rFonts w:ascii="Arial" w:hAnsi="Arial"/>
                <w:b/>
                <w:color w:val="FFFFFF"/>
                <w:sz w:val="20"/>
              </w:rPr>
              <w:t>Passing eNTRy</w:t>
            </w:r>
          </w:p>
        </w:tc>
        <w:tc>
          <w:tcPr>
            <w:tcW w:w="2268"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0A7A5D21" w14:textId="77777777" w:rsidR="00BD671F" w:rsidRDefault="00000000">
            <w:r>
              <w:rPr>
                <w:rFonts w:ascii="Arial" w:hAnsi="Arial"/>
                <w:b/>
                <w:color w:val="FFFFFF"/>
                <w:sz w:val="20"/>
              </w:rPr>
              <w:t>Pass Rate</w:t>
            </w:r>
          </w:p>
        </w:tc>
      </w:tr>
      <w:tr w:rsidR="00BD671F" w14:paraId="45A5E23A" w14:textId="77777777">
        <w:tc>
          <w:tcPr>
            <w:tcW w:w="2551"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5FD77A9" w14:textId="77777777" w:rsidR="00BD671F" w:rsidRDefault="00000000">
            <w:r>
              <w:rPr>
                <w:rFonts w:ascii="Arial" w:hAnsi="Arial"/>
                <w:sz w:val="20"/>
              </w:rPr>
              <w:t>Active (label = 1)</w:t>
            </w:r>
          </w:p>
        </w:tc>
        <w:tc>
          <w:tcPr>
            <w:tcW w:w="1701"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7E443D1" w14:textId="77777777" w:rsidR="00BD671F" w:rsidRDefault="00000000">
            <w:r>
              <w:rPr>
                <w:rFonts w:ascii="Arial" w:hAnsi="Arial"/>
                <w:sz w:val="20"/>
              </w:rPr>
              <w:t>120</w:t>
            </w:r>
          </w:p>
        </w:tc>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B0A9652" w14:textId="77777777" w:rsidR="00BD671F" w:rsidRDefault="00000000">
            <w:r>
              <w:rPr>
                <w:rFonts w:ascii="Arial" w:hAnsi="Arial"/>
                <w:sz w:val="20"/>
              </w:rPr>
              <w:t>7</w:t>
            </w:r>
          </w:p>
        </w:tc>
        <w:tc>
          <w:tcPr>
            <w:tcW w:w="22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035A920" w14:textId="77777777" w:rsidR="00BD671F" w:rsidRDefault="00000000">
            <w:r>
              <w:rPr>
                <w:rFonts w:ascii="Arial" w:hAnsi="Arial"/>
                <w:sz w:val="20"/>
              </w:rPr>
              <w:t>5.8%</w:t>
            </w:r>
          </w:p>
        </w:tc>
      </w:tr>
      <w:tr w:rsidR="00BD671F" w14:paraId="3D259049" w14:textId="77777777">
        <w:tc>
          <w:tcPr>
            <w:tcW w:w="2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7E4AE5B" w14:textId="77777777" w:rsidR="00BD671F" w:rsidRDefault="00000000">
            <w:r>
              <w:rPr>
                <w:rFonts w:ascii="Arial" w:hAnsi="Arial"/>
                <w:sz w:val="20"/>
              </w:rPr>
              <w:t>Inactive (label = 0)</w:t>
            </w:r>
          </w:p>
        </w:tc>
        <w:tc>
          <w:tcPr>
            <w:tcW w:w="17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B018005" w14:textId="77777777" w:rsidR="00BD671F" w:rsidRDefault="00000000">
            <w:r>
              <w:rPr>
                <w:rFonts w:ascii="Arial" w:hAnsi="Arial"/>
                <w:sz w:val="20"/>
              </w:rPr>
              <w:t>2,214</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3992B0A" w14:textId="77777777" w:rsidR="00BD671F" w:rsidRDefault="00000000">
            <w:r>
              <w:rPr>
                <w:rFonts w:ascii="Arial" w:hAnsi="Arial"/>
                <w:sz w:val="20"/>
              </w:rPr>
              <w:t>93</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614F5C7" w14:textId="77777777" w:rsidR="00BD671F" w:rsidRDefault="00000000">
            <w:r>
              <w:rPr>
                <w:rFonts w:ascii="Arial" w:hAnsi="Arial"/>
                <w:sz w:val="20"/>
              </w:rPr>
              <w:t>4.2%</w:t>
            </w:r>
          </w:p>
        </w:tc>
      </w:tr>
      <w:tr w:rsidR="00BD671F" w14:paraId="11B39681" w14:textId="77777777">
        <w:tc>
          <w:tcPr>
            <w:tcW w:w="2551"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51D14D0" w14:textId="77777777" w:rsidR="00BD671F" w:rsidRDefault="00000000">
            <w:r>
              <w:rPr>
                <w:rFonts w:ascii="Arial" w:hAnsi="Arial"/>
                <w:sz w:val="20"/>
              </w:rPr>
              <w:t>Total</w:t>
            </w:r>
          </w:p>
        </w:tc>
        <w:tc>
          <w:tcPr>
            <w:tcW w:w="1701"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7B456AA" w14:textId="77777777" w:rsidR="00BD671F" w:rsidRDefault="00000000">
            <w:r>
              <w:rPr>
                <w:rFonts w:ascii="Arial" w:hAnsi="Arial"/>
                <w:sz w:val="20"/>
              </w:rPr>
              <w:t>2,334</w:t>
            </w:r>
          </w:p>
        </w:tc>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C6D8F33" w14:textId="77777777" w:rsidR="00BD671F" w:rsidRDefault="00000000">
            <w:r>
              <w:rPr>
                <w:rFonts w:ascii="Arial" w:hAnsi="Arial"/>
                <w:sz w:val="20"/>
              </w:rPr>
              <w:t>100</w:t>
            </w:r>
          </w:p>
        </w:tc>
        <w:tc>
          <w:tcPr>
            <w:tcW w:w="22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21B7065" w14:textId="77777777" w:rsidR="00BD671F" w:rsidRDefault="00000000">
            <w:r>
              <w:rPr>
                <w:rFonts w:ascii="Arial" w:hAnsi="Arial"/>
                <w:sz w:val="20"/>
              </w:rPr>
              <w:t>4.3%</w:t>
            </w:r>
          </w:p>
        </w:tc>
      </w:tr>
    </w:tbl>
    <w:p w14:paraId="31A1951A" w14:textId="77777777" w:rsidR="00BD671F" w:rsidRDefault="00BD671F">
      <w:pPr>
        <w:spacing w:after="80"/>
      </w:pPr>
    </w:p>
    <w:p w14:paraId="1EE1CFCD" w14:textId="791C06DF" w:rsidR="00BD671F" w:rsidRDefault="00000000">
      <w:pPr>
        <w:spacing w:after="120"/>
      </w:pPr>
      <w:r>
        <w:rPr>
          <w:rFonts w:ascii="Arial" w:hAnsi="Arial"/>
          <w:sz w:val="21"/>
        </w:rPr>
        <w:t>The enrichment is negligible (5.8% vs 4.2%). This is biologically coherent: the eNTRy rules predict accumulation via a specific passive permeation mechanism, but the Stokes dataset measures growth inhibition of E. coli BW25113</w:t>
      </w:r>
      <w:r w:rsidR="008D1454">
        <w:rPr>
          <w:rFonts w:ascii="Arial" w:hAnsi="Arial"/>
          <w:sz w:val="21"/>
        </w:rPr>
        <w:t>,</w:t>
      </w:r>
      <w:r>
        <w:rPr>
          <w:rFonts w:ascii="Arial" w:hAnsi="Arial"/>
          <w:sz w:val="21"/>
        </w:rPr>
        <w:t xml:space="preserve"> capturing many mechanisms including membrane disruption, efflux pump interactions, and intracellular target binding. Many actives likely operate through routes other than Hergenrother-style accumulation.</w:t>
      </w:r>
    </w:p>
    <w:p w14:paraId="57EDBEA4" w14:textId="77777777" w:rsidR="00BD671F" w:rsidRDefault="00000000">
      <w:pPr>
        <w:spacing w:before="200" w:after="60"/>
      </w:pPr>
      <w:r>
        <w:rPr>
          <w:rFonts w:ascii="Arial" w:hAnsi="Arial"/>
          <w:b/>
          <w:color w:val="1F4E79"/>
          <w:sz w:val="24"/>
        </w:rPr>
        <w:t>4.2 Globularity Definition Comparison</w:t>
      </w:r>
    </w:p>
    <w:p w14:paraId="56B78B3E" w14:textId="77777777" w:rsidR="00BD671F" w:rsidRDefault="00000000">
      <w:pPr>
        <w:spacing w:after="120"/>
      </w:pPr>
      <w:r>
        <w:rPr>
          <w:rFonts w:ascii="Arial" w:hAnsi="Arial"/>
          <w:sz w:val="21"/>
        </w:rPr>
        <w:t>The Pearson correlation between Hergenrother globularity (PCA eigenvalue ratio) and RDKit SpherocityIndex across all 2,333 valid molecules was r = 0.961. The two definitions are effectively interchangeable. Figure 1 shows the scatter plot — actives (orange) and inactives (blue) are interspersed throughout the globularity range with no visible separation at the eNTRy threshold (dashed red).</w:t>
      </w:r>
    </w:p>
    <w:p w14:paraId="5A65B86B" w14:textId="77777777" w:rsidR="00BD671F" w:rsidRDefault="00000000">
      <w:pPr>
        <w:spacing w:before="120" w:after="80"/>
        <w:jc w:val="center"/>
      </w:pPr>
      <w:r>
        <w:rPr>
          <w:noProof/>
        </w:rPr>
        <w:lastRenderedPageBreak/>
        <w:drawing>
          <wp:inline distT="0" distB="0" distL="0" distR="0" wp14:anchorId="35F83BE8" wp14:editId="0F1EFBE4">
            <wp:extent cx="4572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_vs_spherocity.png"/>
                    <pic:cNvPicPr/>
                  </pic:nvPicPr>
                  <pic:blipFill>
                    <a:blip r:embed="rId6"/>
                    <a:stretch>
                      <a:fillRect/>
                    </a:stretch>
                  </pic:blipFill>
                  <pic:spPr>
                    <a:xfrm>
                      <a:off x="0" y="0"/>
                      <a:ext cx="4572000" cy="3810000"/>
                    </a:xfrm>
                    <a:prstGeom prst="rect">
                      <a:avLst/>
                    </a:prstGeom>
                  </pic:spPr>
                </pic:pic>
              </a:graphicData>
            </a:graphic>
          </wp:inline>
        </w:drawing>
      </w:r>
    </w:p>
    <w:p w14:paraId="0B60B41F" w14:textId="77777777" w:rsidR="00BD671F" w:rsidRDefault="00000000">
      <w:pPr>
        <w:jc w:val="center"/>
      </w:pPr>
      <w:r>
        <w:rPr>
          <w:rFonts w:ascii="Arial" w:hAnsi="Arial"/>
          <w:i/>
          <w:color w:val="595959"/>
          <w:sz w:val="19"/>
        </w:rPr>
        <w:t>Figure 1. Hergenrother globularity vs RDKit SpherocityIndex (r = 0.961). Red dashed line = eNTRy globularity threshold of 0.25. Orange = active, blue = inactive.</w:t>
      </w:r>
    </w:p>
    <w:p w14:paraId="17EAB52C" w14:textId="77777777" w:rsidR="00BD671F" w:rsidRDefault="00000000">
      <w:pPr>
        <w:pBdr>
          <w:bottom w:val="single" w:sz="6" w:space="1" w:color="2E75B6"/>
        </w:pBdr>
        <w:spacing w:before="280" w:after="80"/>
      </w:pPr>
      <w:r>
        <w:rPr>
          <w:rFonts w:ascii="Arial" w:hAnsi="Arial"/>
          <w:b/>
          <w:color w:val="2E75B6"/>
          <w:sz w:val="28"/>
        </w:rPr>
        <w:t>5. Step 2 — Model Integration (Extended Features)</w:t>
      </w:r>
    </w:p>
    <w:p w14:paraId="22351D65" w14:textId="77777777" w:rsidR="00BD671F" w:rsidRDefault="00000000">
      <w:pPr>
        <w:spacing w:before="200" w:after="60"/>
      </w:pPr>
      <w:r>
        <w:rPr>
          <w:rFonts w:ascii="Arial" w:hAnsi="Arial"/>
          <w:b/>
          <w:color w:val="1F4E79"/>
          <w:sz w:val="24"/>
        </w:rPr>
        <w:t>5.1 Approach</w:t>
      </w:r>
    </w:p>
    <w:p w14:paraId="6AB57F4F" w14:textId="77777777" w:rsidR="00BD671F" w:rsidRDefault="00000000">
      <w:pPr>
        <w:spacing w:after="120"/>
      </w:pPr>
      <w:r>
        <w:rPr>
          <w:rFonts w:ascii="Arial" w:hAnsi="Arial"/>
          <w:sz w:val="21"/>
        </w:rPr>
        <w:t>The 10 eNTRy/3D descriptors were appended to the Phase 5 feature matrix (4,480-dim) producing an extended matrix of 4,490 dimensions. Phase 5 best hyperparameters were used without re-tuning, so any performance difference is attributable solely to the new features.</w:t>
      </w:r>
    </w:p>
    <w:p w14:paraId="4FE1EED0" w14:textId="77777777" w:rsidR="00BD671F" w:rsidRDefault="00000000">
      <w:pPr>
        <w:spacing w:before="200" w:after="60"/>
      </w:pPr>
      <w:r>
        <w:rPr>
          <w:rFonts w:ascii="Arial" w:hAnsi="Arial"/>
          <w:b/>
          <w:color w:val="1F4E79"/>
          <w:sz w:val="24"/>
        </w:rPr>
        <w:t>5.2 Results</w:t>
      </w:r>
    </w:p>
    <w:tbl>
      <w:tblPr>
        <w:tblStyle w:val="TableGrid"/>
        <w:tblW w:w="0" w:type="auto"/>
        <w:tblLook w:val="04A0" w:firstRow="1" w:lastRow="0" w:firstColumn="1" w:lastColumn="0" w:noHBand="0" w:noVBand="1"/>
      </w:tblPr>
      <w:tblGrid>
        <w:gridCol w:w="2268"/>
        <w:gridCol w:w="1587"/>
        <w:gridCol w:w="1587"/>
        <w:gridCol w:w="1134"/>
        <w:gridCol w:w="1417"/>
        <w:gridCol w:w="1077"/>
      </w:tblGrid>
      <w:tr w:rsidR="00BD671F" w14:paraId="3107FDD0" w14:textId="77777777">
        <w:tc>
          <w:tcPr>
            <w:tcW w:w="2268"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299377BB" w14:textId="77777777" w:rsidR="00BD671F" w:rsidRDefault="00000000">
            <w:r>
              <w:rPr>
                <w:rFonts w:ascii="Arial" w:hAnsi="Arial"/>
                <w:b/>
                <w:color w:val="FFFFFF"/>
                <w:sz w:val="20"/>
              </w:rPr>
              <w:t>Model</w:t>
            </w:r>
          </w:p>
        </w:tc>
        <w:tc>
          <w:tcPr>
            <w:tcW w:w="1587"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1965166E" w14:textId="77777777" w:rsidR="00BD671F" w:rsidRDefault="00000000">
            <w:r>
              <w:rPr>
                <w:rFonts w:ascii="Arial" w:hAnsi="Arial"/>
                <w:b/>
                <w:color w:val="FFFFFF"/>
                <w:sz w:val="20"/>
              </w:rPr>
              <w:t>Phase 5 AUPRC</w:t>
            </w:r>
          </w:p>
        </w:tc>
        <w:tc>
          <w:tcPr>
            <w:tcW w:w="1587"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561A371A" w14:textId="77777777" w:rsidR="00BD671F" w:rsidRDefault="00000000">
            <w:r>
              <w:rPr>
                <w:rFonts w:ascii="Arial" w:hAnsi="Arial"/>
                <w:b/>
                <w:color w:val="FFFFFF"/>
                <w:sz w:val="20"/>
              </w:rPr>
              <w:t>Phase 6 AUPRC</w:t>
            </w:r>
          </w:p>
        </w:tc>
        <w:tc>
          <w:tcPr>
            <w:tcW w:w="1134"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46C0C2AD" w14:textId="77777777" w:rsidR="00BD671F" w:rsidRDefault="00000000">
            <w:r>
              <w:rPr>
                <w:rFonts w:ascii="Arial" w:hAnsi="Arial"/>
                <w:b/>
                <w:color w:val="FFFFFF"/>
                <w:sz w:val="20"/>
              </w:rPr>
              <w:t>Delta</w:t>
            </w:r>
          </w:p>
        </w:tc>
        <w:tc>
          <w:tcPr>
            <w:tcW w:w="1417"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6BF945B4" w14:textId="77777777" w:rsidR="00BD671F" w:rsidRDefault="00000000">
            <w:r>
              <w:rPr>
                <w:rFonts w:ascii="Arial" w:hAnsi="Arial"/>
                <w:b/>
                <w:color w:val="FFFFFF"/>
                <w:sz w:val="20"/>
              </w:rPr>
              <w:t>ROC-AUC</w:t>
            </w:r>
          </w:p>
        </w:tc>
        <w:tc>
          <w:tcPr>
            <w:tcW w:w="1077"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54F408F2" w14:textId="77777777" w:rsidR="00BD671F" w:rsidRDefault="00000000">
            <w:r>
              <w:rPr>
                <w:rFonts w:ascii="Arial" w:hAnsi="Arial"/>
                <w:b/>
                <w:color w:val="FFFFFF"/>
                <w:sz w:val="20"/>
              </w:rPr>
              <w:t>P@10</w:t>
            </w:r>
          </w:p>
        </w:tc>
      </w:tr>
      <w:tr w:rsidR="00BD671F" w14:paraId="7CA80547" w14:textId="77777777">
        <w:tc>
          <w:tcPr>
            <w:tcW w:w="22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AA0DC7F" w14:textId="77777777" w:rsidR="00BD671F" w:rsidRDefault="00000000">
            <w:r>
              <w:rPr>
                <w:rFonts w:ascii="Arial" w:hAnsi="Arial"/>
                <w:sz w:val="20"/>
              </w:rPr>
              <w:t>XGBoost (tuned)</w:t>
            </w:r>
          </w:p>
        </w:tc>
        <w:tc>
          <w:tcPr>
            <w:tcW w:w="158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837B600" w14:textId="77777777" w:rsidR="00BD671F" w:rsidRDefault="00000000">
            <w:r>
              <w:rPr>
                <w:rFonts w:ascii="Arial" w:hAnsi="Arial"/>
                <w:sz w:val="20"/>
              </w:rPr>
              <w:t>0.6415</w:t>
            </w:r>
          </w:p>
        </w:tc>
        <w:tc>
          <w:tcPr>
            <w:tcW w:w="158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7C4DEAE0" w14:textId="77777777" w:rsidR="00BD671F" w:rsidRDefault="00000000">
            <w:r>
              <w:rPr>
                <w:rFonts w:ascii="Arial" w:hAnsi="Arial"/>
                <w:sz w:val="20"/>
              </w:rPr>
              <w:t>0.6204</w:t>
            </w:r>
          </w:p>
        </w:tc>
        <w:tc>
          <w:tcPr>
            <w:tcW w:w="113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54387B26" w14:textId="77777777" w:rsidR="00BD671F" w:rsidRDefault="00000000">
            <w:r>
              <w:rPr>
                <w:rFonts w:ascii="Arial" w:hAnsi="Arial"/>
                <w:sz w:val="20"/>
              </w:rPr>
              <w:t>−0.0211</w:t>
            </w:r>
          </w:p>
        </w:tc>
        <w:tc>
          <w:tcPr>
            <w:tcW w:w="141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5D950AD" w14:textId="77777777" w:rsidR="00BD671F" w:rsidRDefault="00000000">
            <w:r>
              <w:rPr>
                <w:rFonts w:ascii="Arial" w:hAnsi="Arial"/>
                <w:sz w:val="20"/>
              </w:rPr>
              <w:t>0.9089</w:t>
            </w:r>
          </w:p>
        </w:tc>
        <w:tc>
          <w:tcPr>
            <w:tcW w:w="107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CF8B797" w14:textId="77777777" w:rsidR="00BD671F" w:rsidRDefault="00000000">
            <w:r>
              <w:rPr>
                <w:rFonts w:ascii="Arial" w:hAnsi="Arial"/>
                <w:sz w:val="20"/>
              </w:rPr>
              <w:t>0.80</w:t>
            </w:r>
          </w:p>
        </w:tc>
      </w:tr>
      <w:tr w:rsidR="00BD671F" w14:paraId="511248D3" w14:textId="77777777">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4DF646F" w14:textId="77777777" w:rsidR="00BD671F" w:rsidRDefault="00000000">
            <w:r>
              <w:rPr>
                <w:rFonts w:ascii="Arial" w:hAnsi="Arial"/>
                <w:sz w:val="20"/>
              </w:rPr>
              <w:t>LightGBM (tuned)</w:t>
            </w:r>
          </w:p>
        </w:tc>
        <w:tc>
          <w:tcPr>
            <w:tcW w:w="15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91CE90B" w14:textId="77777777" w:rsidR="00BD671F" w:rsidRDefault="00000000">
            <w:r>
              <w:rPr>
                <w:rFonts w:ascii="Arial" w:hAnsi="Arial"/>
                <w:sz w:val="20"/>
              </w:rPr>
              <w:t>0.6522</w:t>
            </w:r>
          </w:p>
        </w:tc>
        <w:tc>
          <w:tcPr>
            <w:tcW w:w="15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52501FF" w14:textId="77777777" w:rsidR="00BD671F" w:rsidRDefault="00000000">
            <w:r>
              <w:rPr>
                <w:rFonts w:ascii="Arial" w:hAnsi="Arial"/>
                <w:sz w:val="20"/>
              </w:rPr>
              <w:t>0.6189</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7CA538C" w14:textId="77777777" w:rsidR="00BD671F" w:rsidRDefault="00000000">
            <w:r>
              <w:rPr>
                <w:rFonts w:ascii="Arial" w:hAnsi="Arial"/>
                <w:sz w:val="20"/>
              </w:rPr>
              <w:t>−0.0333</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7F41FBE" w14:textId="77777777" w:rsidR="00BD671F" w:rsidRDefault="00000000">
            <w:r>
              <w:rPr>
                <w:rFonts w:ascii="Arial" w:hAnsi="Arial"/>
                <w:sz w:val="20"/>
              </w:rPr>
              <w:t>0.9153</w:t>
            </w:r>
          </w:p>
        </w:tc>
        <w:tc>
          <w:tcPr>
            <w:tcW w:w="10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B72757E" w14:textId="77777777" w:rsidR="00BD671F" w:rsidRDefault="00000000">
            <w:r>
              <w:rPr>
                <w:rFonts w:ascii="Arial" w:hAnsi="Arial"/>
                <w:sz w:val="20"/>
              </w:rPr>
              <w:t>0.70</w:t>
            </w:r>
          </w:p>
        </w:tc>
      </w:tr>
      <w:tr w:rsidR="00BD671F" w14:paraId="62F0C3C5" w14:textId="77777777">
        <w:tc>
          <w:tcPr>
            <w:tcW w:w="22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580AFA0" w14:textId="77777777" w:rsidR="00BD671F" w:rsidRDefault="00000000">
            <w:r>
              <w:rPr>
                <w:rFonts w:ascii="Arial" w:hAnsi="Arial"/>
                <w:sz w:val="20"/>
              </w:rPr>
              <w:t>Random Forest</w:t>
            </w:r>
          </w:p>
        </w:tc>
        <w:tc>
          <w:tcPr>
            <w:tcW w:w="158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74DE7952" w14:textId="77777777" w:rsidR="00BD671F" w:rsidRDefault="00000000">
            <w:r>
              <w:rPr>
                <w:rFonts w:ascii="Arial" w:hAnsi="Arial"/>
                <w:sz w:val="20"/>
              </w:rPr>
              <w:t>0.6253</w:t>
            </w:r>
          </w:p>
        </w:tc>
        <w:tc>
          <w:tcPr>
            <w:tcW w:w="158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5E123B8" w14:textId="77777777" w:rsidR="00BD671F" w:rsidRDefault="00000000">
            <w:r>
              <w:rPr>
                <w:rFonts w:ascii="Arial" w:hAnsi="Arial"/>
                <w:sz w:val="20"/>
              </w:rPr>
              <w:t>0.6081</w:t>
            </w:r>
          </w:p>
        </w:tc>
        <w:tc>
          <w:tcPr>
            <w:tcW w:w="113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79241717" w14:textId="77777777" w:rsidR="00BD671F" w:rsidRDefault="00000000">
            <w:r>
              <w:rPr>
                <w:rFonts w:ascii="Arial" w:hAnsi="Arial"/>
                <w:sz w:val="20"/>
              </w:rPr>
              <w:t>−0.0172</w:t>
            </w:r>
          </w:p>
        </w:tc>
        <w:tc>
          <w:tcPr>
            <w:tcW w:w="141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7896D7F8" w14:textId="77777777" w:rsidR="00BD671F" w:rsidRDefault="00000000">
            <w:r>
              <w:rPr>
                <w:rFonts w:ascii="Arial" w:hAnsi="Arial"/>
                <w:sz w:val="20"/>
              </w:rPr>
              <w:t>0.9190</w:t>
            </w:r>
          </w:p>
        </w:tc>
        <w:tc>
          <w:tcPr>
            <w:tcW w:w="107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DE846CB" w14:textId="77777777" w:rsidR="00BD671F" w:rsidRDefault="00000000">
            <w:r>
              <w:rPr>
                <w:rFonts w:ascii="Arial" w:hAnsi="Arial"/>
                <w:sz w:val="20"/>
              </w:rPr>
              <w:t>0.80</w:t>
            </w:r>
          </w:p>
        </w:tc>
      </w:tr>
      <w:tr w:rsidR="00BD671F" w14:paraId="65541A2C" w14:textId="77777777">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993373B" w14:textId="77777777" w:rsidR="00BD671F" w:rsidRDefault="00000000">
            <w:r>
              <w:rPr>
                <w:rFonts w:ascii="Arial" w:hAnsi="Arial"/>
                <w:sz w:val="20"/>
              </w:rPr>
              <w:t>Logistic Regression</w:t>
            </w:r>
          </w:p>
        </w:tc>
        <w:tc>
          <w:tcPr>
            <w:tcW w:w="15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FBAA408" w14:textId="77777777" w:rsidR="00BD671F" w:rsidRDefault="00000000">
            <w:r>
              <w:rPr>
                <w:rFonts w:ascii="Arial" w:hAnsi="Arial"/>
                <w:sz w:val="20"/>
              </w:rPr>
              <w:t>0.4783</w:t>
            </w:r>
          </w:p>
        </w:tc>
        <w:tc>
          <w:tcPr>
            <w:tcW w:w="15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6339954" w14:textId="77777777" w:rsidR="00BD671F" w:rsidRDefault="00000000">
            <w:r>
              <w:rPr>
                <w:rFonts w:ascii="Arial" w:hAnsi="Arial"/>
                <w:sz w:val="20"/>
              </w:rPr>
              <w:t>0.4786</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48DFDDD" w14:textId="77777777" w:rsidR="00BD671F" w:rsidRDefault="00000000">
            <w:r>
              <w:rPr>
                <w:rFonts w:ascii="Arial" w:hAnsi="Arial"/>
                <w:sz w:val="20"/>
              </w:rPr>
              <w:t>+0.0003</w:t>
            </w:r>
          </w:p>
        </w:tc>
        <w:tc>
          <w:tcPr>
            <w:tcW w:w="141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650D2A9" w14:textId="77777777" w:rsidR="00BD671F" w:rsidRDefault="00000000">
            <w:r>
              <w:rPr>
                <w:rFonts w:ascii="Arial" w:hAnsi="Arial"/>
                <w:sz w:val="20"/>
              </w:rPr>
              <w:t>0.8116</w:t>
            </w:r>
          </w:p>
        </w:tc>
        <w:tc>
          <w:tcPr>
            <w:tcW w:w="10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5AE9342" w14:textId="77777777" w:rsidR="00BD671F" w:rsidRDefault="00000000">
            <w:r>
              <w:rPr>
                <w:rFonts w:ascii="Arial" w:hAnsi="Arial"/>
                <w:sz w:val="20"/>
              </w:rPr>
              <w:t>0.70</w:t>
            </w:r>
          </w:p>
        </w:tc>
      </w:tr>
      <w:tr w:rsidR="00BD671F" w14:paraId="6001C678" w14:textId="77777777">
        <w:tc>
          <w:tcPr>
            <w:tcW w:w="22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67D09F6" w14:textId="77777777" w:rsidR="00BD671F" w:rsidRDefault="00000000">
            <w:r>
              <w:rPr>
                <w:rFonts w:ascii="Arial" w:hAnsi="Arial"/>
                <w:sz w:val="20"/>
              </w:rPr>
              <w:t>Ensemble (avg)</w:t>
            </w:r>
          </w:p>
        </w:tc>
        <w:tc>
          <w:tcPr>
            <w:tcW w:w="158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5F4057F" w14:textId="77777777" w:rsidR="00BD671F" w:rsidRDefault="00000000">
            <w:r>
              <w:rPr>
                <w:rFonts w:ascii="Arial" w:hAnsi="Arial"/>
                <w:sz w:val="20"/>
              </w:rPr>
              <w:t>0.6085</w:t>
            </w:r>
          </w:p>
        </w:tc>
        <w:tc>
          <w:tcPr>
            <w:tcW w:w="158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5D83BEE3" w14:textId="77777777" w:rsidR="00BD671F" w:rsidRDefault="00000000">
            <w:r>
              <w:rPr>
                <w:rFonts w:ascii="Arial" w:hAnsi="Arial"/>
                <w:sz w:val="20"/>
              </w:rPr>
              <w:t>0.5938</w:t>
            </w:r>
          </w:p>
        </w:tc>
        <w:tc>
          <w:tcPr>
            <w:tcW w:w="113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23EFDEE" w14:textId="77777777" w:rsidR="00BD671F" w:rsidRDefault="00000000">
            <w:r>
              <w:rPr>
                <w:rFonts w:ascii="Arial" w:hAnsi="Arial"/>
                <w:sz w:val="20"/>
              </w:rPr>
              <w:t>−0.0147</w:t>
            </w:r>
          </w:p>
        </w:tc>
        <w:tc>
          <w:tcPr>
            <w:tcW w:w="141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5A069C7" w14:textId="77777777" w:rsidR="00BD671F" w:rsidRDefault="00000000">
            <w:r>
              <w:rPr>
                <w:rFonts w:ascii="Arial" w:hAnsi="Arial"/>
                <w:sz w:val="20"/>
              </w:rPr>
              <w:t>0.8735</w:t>
            </w:r>
          </w:p>
        </w:tc>
        <w:tc>
          <w:tcPr>
            <w:tcW w:w="107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5606DAB9" w14:textId="77777777" w:rsidR="00BD671F" w:rsidRDefault="00000000">
            <w:r>
              <w:rPr>
                <w:rFonts w:ascii="Arial" w:hAnsi="Arial"/>
                <w:sz w:val="20"/>
              </w:rPr>
              <w:t>0.80</w:t>
            </w:r>
          </w:p>
        </w:tc>
      </w:tr>
    </w:tbl>
    <w:p w14:paraId="3F27CC93" w14:textId="77777777" w:rsidR="00BD671F" w:rsidRDefault="00BD671F">
      <w:pPr>
        <w:spacing w:after="80"/>
      </w:pPr>
    </w:p>
    <w:p w14:paraId="74DFFB37" w14:textId="77777777" w:rsidR="00BD671F" w:rsidRDefault="00000000">
      <w:pPr>
        <w:spacing w:after="120"/>
      </w:pPr>
      <w:r>
        <w:rPr>
          <w:rFonts w:ascii="Arial" w:hAnsi="Arial"/>
          <w:sz w:val="21"/>
        </w:rPr>
        <w:t xml:space="preserve">Adding the 10 eNTRy features caused a small but consistent AUPRC decrease for all tree-based models. This is a known high-dimensional feature dilution effect: weakly informative features </w:t>
      </w:r>
      <w:r>
        <w:rPr>
          <w:rFonts w:ascii="Arial" w:hAnsi="Arial"/>
          <w:sz w:val="21"/>
        </w:rPr>
        <w:lastRenderedPageBreak/>
        <w:t>appended to a large matrix can redirect tree splits away from established informative features. The features are not uninformative in isolation — as the ablation study (Section 6) shows — but they are diluted at a ratio of 10 new features among 4,490 total.</w:t>
      </w:r>
    </w:p>
    <w:p w14:paraId="4FB568B0" w14:textId="77777777" w:rsidR="00BD671F" w:rsidRDefault="00000000">
      <w:pPr>
        <w:spacing w:before="120" w:after="80"/>
        <w:jc w:val="center"/>
      </w:pPr>
      <w:r>
        <w:rPr>
          <w:noProof/>
        </w:rPr>
        <w:drawing>
          <wp:inline distT="0" distB="0" distL="0" distR="0" wp14:anchorId="32B20DAE" wp14:editId="73C39A5C">
            <wp:extent cx="5760720" cy="2215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s_phase6.png"/>
                    <pic:cNvPicPr/>
                  </pic:nvPicPr>
                  <pic:blipFill>
                    <a:blip r:embed="rId7"/>
                    <a:stretch>
                      <a:fillRect/>
                    </a:stretch>
                  </pic:blipFill>
                  <pic:spPr>
                    <a:xfrm>
                      <a:off x="0" y="0"/>
                      <a:ext cx="5760720" cy="2215662"/>
                    </a:xfrm>
                    <a:prstGeom prst="rect">
                      <a:avLst/>
                    </a:prstGeom>
                  </pic:spPr>
                </pic:pic>
              </a:graphicData>
            </a:graphic>
          </wp:inline>
        </w:drawing>
      </w:r>
    </w:p>
    <w:p w14:paraId="7D7DFD94" w14:textId="77777777" w:rsidR="00BD671F" w:rsidRDefault="00000000">
      <w:pPr>
        <w:jc w:val="center"/>
      </w:pPr>
      <w:r>
        <w:rPr>
          <w:rFonts w:ascii="Arial" w:hAnsi="Arial"/>
          <w:i/>
          <w:color w:val="595959"/>
          <w:sz w:val="19"/>
        </w:rPr>
        <w:t>Figure 2. Left: PR curves for all models with extended features. Right: Head-to-head ensemble comparison, Phase 5 vs Phase 6 extended.</w:t>
      </w:r>
    </w:p>
    <w:p w14:paraId="65760835" w14:textId="77777777" w:rsidR="00BD671F" w:rsidRDefault="00000000">
      <w:pPr>
        <w:pBdr>
          <w:bottom w:val="single" w:sz="6" w:space="1" w:color="2E75B6"/>
        </w:pBdr>
        <w:spacing w:before="280" w:after="80"/>
      </w:pPr>
      <w:r>
        <w:rPr>
          <w:rFonts w:ascii="Arial" w:hAnsi="Arial"/>
          <w:b/>
          <w:color w:val="2E75B6"/>
          <w:sz w:val="28"/>
        </w:rPr>
        <w:t>6. Step 3 — eNTRy Descriptors Only (Ablation Study)</w:t>
      </w:r>
    </w:p>
    <w:p w14:paraId="7C25B364" w14:textId="77777777" w:rsidR="00BD671F" w:rsidRDefault="00000000">
      <w:pPr>
        <w:spacing w:before="200" w:after="60"/>
      </w:pPr>
      <w:r>
        <w:rPr>
          <w:rFonts w:ascii="Arial" w:hAnsi="Arial"/>
          <w:b/>
          <w:color w:val="1F4E79"/>
          <w:sz w:val="24"/>
        </w:rPr>
        <w:t>6.1 Motivation and Results</w:t>
      </w:r>
    </w:p>
    <w:p w14:paraId="4D5FF0DF" w14:textId="77777777" w:rsidR="00BD671F" w:rsidRDefault="00000000">
      <w:pPr>
        <w:spacing w:after="120"/>
      </w:pPr>
      <w:r>
        <w:rPr>
          <w:rFonts w:ascii="Arial" w:hAnsi="Arial"/>
          <w:sz w:val="21"/>
        </w:rPr>
        <w:t>To quantify standalone predictive power of the eNTRy framework, models were trained using only the 10 eNTRy/3D descriptors — no fingerprint information. This directly answers: how much does the permeation-based feature set predict antibacterial activity on its own?</w:t>
      </w:r>
    </w:p>
    <w:tbl>
      <w:tblPr>
        <w:tblStyle w:val="TableGrid"/>
        <w:tblW w:w="0" w:type="auto"/>
        <w:tblLook w:val="04A0" w:firstRow="1" w:lastRow="0" w:firstColumn="1" w:lastColumn="0" w:noHBand="0" w:noVBand="1"/>
      </w:tblPr>
      <w:tblGrid>
        <w:gridCol w:w="3515"/>
        <w:gridCol w:w="1304"/>
        <w:gridCol w:w="1134"/>
        <w:gridCol w:w="1247"/>
        <w:gridCol w:w="1304"/>
      </w:tblGrid>
      <w:tr w:rsidR="00BD671F" w14:paraId="54A7ECA6" w14:textId="77777777">
        <w:tc>
          <w:tcPr>
            <w:tcW w:w="3515"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74A88A6D" w14:textId="77777777" w:rsidR="00BD671F" w:rsidRDefault="00000000">
            <w:r>
              <w:rPr>
                <w:rFonts w:ascii="Arial" w:hAnsi="Arial"/>
                <w:b/>
                <w:color w:val="FFFFFF"/>
                <w:sz w:val="20"/>
              </w:rPr>
              <w:t>Experiment</w:t>
            </w:r>
          </w:p>
        </w:tc>
        <w:tc>
          <w:tcPr>
            <w:tcW w:w="1304"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00D37BA0" w14:textId="77777777" w:rsidR="00BD671F" w:rsidRDefault="00000000">
            <w:r>
              <w:rPr>
                <w:rFonts w:ascii="Arial" w:hAnsi="Arial"/>
                <w:b/>
                <w:color w:val="FFFFFF"/>
                <w:sz w:val="20"/>
              </w:rPr>
              <w:t># Features</w:t>
            </w:r>
          </w:p>
        </w:tc>
        <w:tc>
          <w:tcPr>
            <w:tcW w:w="1134"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4C3A5EB3" w14:textId="77777777" w:rsidR="00BD671F" w:rsidRDefault="00000000">
            <w:r>
              <w:rPr>
                <w:rFonts w:ascii="Arial" w:hAnsi="Arial"/>
                <w:b/>
                <w:color w:val="FFFFFF"/>
                <w:sz w:val="20"/>
              </w:rPr>
              <w:t>AUPRC</w:t>
            </w:r>
          </w:p>
        </w:tc>
        <w:tc>
          <w:tcPr>
            <w:tcW w:w="1247"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764FCDFF" w14:textId="77777777" w:rsidR="00BD671F" w:rsidRDefault="00000000">
            <w:r>
              <w:rPr>
                <w:rFonts w:ascii="Arial" w:hAnsi="Arial"/>
                <w:b/>
                <w:color w:val="FFFFFF"/>
                <w:sz w:val="20"/>
              </w:rPr>
              <w:t>ROC-AUC</w:t>
            </w:r>
          </w:p>
        </w:tc>
        <w:tc>
          <w:tcPr>
            <w:tcW w:w="1304"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6E9E9430" w14:textId="77777777" w:rsidR="00BD671F" w:rsidRDefault="00000000">
            <w:r>
              <w:rPr>
                <w:rFonts w:ascii="Arial" w:hAnsi="Arial"/>
                <w:b/>
                <w:color w:val="FFFFFF"/>
                <w:sz w:val="20"/>
              </w:rPr>
              <w:t>P@10</w:t>
            </w:r>
          </w:p>
        </w:tc>
      </w:tr>
      <w:tr w:rsidR="00BD671F" w14:paraId="4CAF75A2" w14:textId="77777777">
        <w:tc>
          <w:tcPr>
            <w:tcW w:w="3515"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92E75D8" w14:textId="77777777" w:rsidR="00BD671F" w:rsidRDefault="00000000">
            <w:r>
              <w:rPr>
                <w:rFonts w:ascii="Arial" w:hAnsi="Arial"/>
                <w:sz w:val="20"/>
              </w:rPr>
              <w:t>Phase 5 best (stacking ensemble)</w:t>
            </w:r>
          </w:p>
        </w:tc>
        <w:tc>
          <w:tcPr>
            <w:tcW w:w="130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66BBBA2" w14:textId="77777777" w:rsidR="00BD671F" w:rsidRDefault="00000000">
            <w:r>
              <w:rPr>
                <w:rFonts w:ascii="Arial" w:hAnsi="Arial"/>
                <w:sz w:val="20"/>
              </w:rPr>
              <w:t>4,480</w:t>
            </w:r>
          </w:p>
        </w:tc>
        <w:tc>
          <w:tcPr>
            <w:tcW w:w="113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E09F95D" w14:textId="77777777" w:rsidR="00BD671F" w:rsidRDefault="00000000">
            <w:r>
              <w:rPr>
                <w:rFonts w:ascii="Arial" w:hAnsi="Arial"/>
                <w:sz w:val="20"/>
              </w:rPr>
              <w:t>0.6460</w:t>
            </w:r>
          </w:p>
        </w:tc>
        <w:tc>
          <w:tcPr>
            <w:tcW w:w="124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FB03184" w14:textId="77777777" w:rsidR="00BD671F" w:rsidRDefault="00000000">
            <w:r>
              <w:rPr>
                <w:rFonts w:ascii="Arial" w:hAnsi="Arial"/>
                <w:sz w:val="20"/>
              </w:rPr>
              <w:t>0.9188</w:t>
            </w:r>
          </w:p>
        </w:tc>
        <w:tc>
          <w:tcPr>
            <w:tcW w:w="130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568486E" w14:textId="77777777" w:rsidR="00BD671F" w:rsidRDefault="00000000">
            <w:r>
              <w:rPr>
                <w:rFonts w:ascii="Arial" w:hAnsi="Arial"/>
                <w:sz w:val="20"/>
              </w:rPr>
              <w:t>0.90</w:t>
            </w:r>
          </w:p>
        </w:tc>
      </w:tr>
      <w:tr w:rsidR="00BD671F" w14:paraId="3F7F2BAD" w14:textId="77777777">
        <w:tc>
          <w:tcPr>
            <w:tcW w:w="35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240A13F" w14:textId="77777777" w:rsidR="00BD671F" w:rsidRDefault="00000000">
            <w:r>
              <w:rPr>
                <w:rFonts w:ascii="Arial" w:hAnsi="Arial"/>
                <w:sz w:val="20"/>
              </w:rPr>
              <w:t>Phase 4 baseline (ECFP only, valid split)</w:t>
            </w:r>
          </w:p>
        </w:tc>
        <w:tc>
          <w:tcPr>
            <w:tcW w:w="13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47695C1" w14:textId="77777777" w:rsidR="00BD671F" w:rsidRDefault="00000000">
            <w:r>
              <w:rPr>
                <w:rFonts w:ascii="Arial" w:hAnsi="Arial"/>
                <w:sz w:val="20"/>
              </w:rPr>
              <w:t>2,048</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45BB281" w14:textId="77777777" w:rsidR="00BD671F" w:rsidRDefault="00000000">
            <w:r>
              <w:rPr>
                <w:rFonts w:ascii="Arial" w:hAnsi="Arial"/>
                <w:sz w:val="20"/>
              </w:rPr>
              <w:t>0.6125</w:t>
            </w:r>
          </w:p>
        </w:tc>
        <w:tc>
          <w:tcPr>
            <w:tcW w:w="12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CDBE1D5" w14:textId="77777777" w:rsidR="00BD671F" w:rsidRDefault="00000000">
            <w:r>
              <w:rPr>
                <w:rFonts w:ascii="Arial" w:hAnsi="Arial"/>
                <w:sz w:val="20"/>
              </w:rPr>
              <w:t>0.9198</w:t>
            </w:r>
          </w:p>
        </w:tc>
        <w:tc>
          <w:tcPr>
            <w:tcW w:w="13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A739745" w14:textId="77777777" w:rsidR="00BD671F" w:rsidRDefault="00000000">
            <w:r>
              <w:rPr>
                <w:rFonts w:ascii="Arial" w:hAnsi="Arial"/>
                <w:sz w:val="20"/>
              </w:rPr>
              <w:t>0.80</w:t>
            </w:r>
          </w:p>
        </w:tc>
      </w:tr>
      <w:tr w:rsidR="00BD671F" w14:paraId="4B34364C" w14:textId="77777777">
        <w:tc>
          <w:tcPr>
            <w:tcW w:w="3515"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CBB5E33" w14:textId="77777777" w:rsidR="00BD671F" w:rsidRDefault="00000000">
            <w:r>
              <w:rPr>
                <w:rFonts w:ascii="Arial" w:hAnsi="Arial"/>
                <w:sz w:val="20"/>
              </w:rPr>
              <w:t>Phase 6 extended (+eNTRy, ensemble)</w:t>
            </w:r>
          </w:p>
        </w:tc>
        <w:tc>
          <w:tcPr>
            <w:tcW w:w="130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B196F8C" w14:textId="77777777" w:rsidR="00BD671F" w:rsidRDefault="00000000">
            <w:r>
              <w:rPr>
                <w:rFonts w:ascii="Arial" w:hAnsi="Arial"/>
                <w:sz w:val="20"/>
              </w:rPr>
              <w:t>4,490</w:t>
            </w:r>
          </w:p>
        </w:tc>
        <w:tc>
          <w:tcPr>
            <w:tcW w:w="113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9D8F6FE" w14:textId="77777777" w:rsidR="00BD671F" w:rsidRDefault="00000000">
            <w:r>
              <w:rPr>
                <w:rFonts w:ascii="Arial" w:hAnsi="Arial"/>
                <w:sz w:val="20"/>
              </w:rPr>
              <w:t>0.5938</w:t>
            </w:r>
          </w:p>
        </w:tc>
        <w:tc>
          <w:tcPr>
            <w:tcW w:w="124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38863C3" w14:textId="77777777" w:rsidR="00BD671F" w:rsidRDefault="00000000">
            <w:r>
              <w:rPr>
                <w:rFonts w:ascii="Arial" w:hAnsi="Arial"/>
                <w:sz w:val="20"/>
              </w:rPr>
              <w:t>0.8735</w:t>
            </w:r>
          </w:p>
        </w:tc>
        <w:tc>
          <w:tcPr>
            <w:tcW w:w="130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268027C" w14:textId="77777777" w:rsidR="00BD671F" w:rsidRDefault="00000000">
            <w:r>
              <w:rPr>
                <w:rFonts w:ascii="Arial" w:hAnsi="Arial"/>
                <w:sz w:val="20"/>
              </w:rPr>
              <w:t>0.80</w:t>
            </w:r>
          </w:p>
        </w:tc>
      </w:tr>
      <w:tr w:rsidR="00BD671F" w14:paraId="04DB3C1B" w14:textId="77777777">
        <w:tc>
          <w:tcPr>
            <w:tcW w:w="35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D13E6FD" w14:textId="77777777" w:rsidR="00BD671F" w:rsidRDefault="00000000">
            <w:r>
              <w:rPr>
                <w:rFonts w:ascii="Arial" w:hAnsi="Arial"/>
                <w:sz w:val="20"/>
              </w:rPr>
              <w:t>eNTRy only — XGBoost</w:t>
            </w:r>
          </w:p>
        </w:tc>
        <w:tc>
          <w:tcPr>
            <w:tcW w:w="13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F914888" w14:textId="77777777" w:rsidR="00BD671F" w:rsidRDefault="00000000">
            <w:r>
              <w:rPr>
                <w:rFonts w:ascii="Arial" w:hAnsi="Arial"/>
                <w:sz w:val="20"/>
              </w:rPr>
              <w:t>10</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3987454" w14:textId="77777777" w:rsidR="00BD671F" w:rsidRDefault="00000000">
            <w:r>
              <w:rPr>
                <w:rFonts w:ascii="Arial" w:hAnsi="Arial"/>
                <w:sz w:val="20"/>
              </w:rPr>
              <w:t>0.2456</w:t>
            </w:r>
          </w:p>
        </w:tc>
        <w:tc>
          <w:tcPr>
            <w:tcW w:w="12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AB39C25" w14:textId="77777777" w:rsidR="00BD671F" w:rsidRDefault="00000000">
            <w:r>
              <w:rPr>
                <w:rFonts w:ascii="Arial" w:hAnsi="Arial"/>
                <w:sz w:val="20"/>
              </w:rPr>
              <w:t>0.6666</w:t>
            </w:r>
          </w:p>
        </w:tc>
        <w:tc>
          <w:tcPr>
            <w:tcW w:w="13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77A2B48" w14:textId="77777777" w:rsidR="00BD671F" w:rsidRDefault="00000000">
            <w:r>
              <w:rPr>
                <w:rFonts w:ascii="Arial" w:hAnsi="Arial"/>
                <w:sz w:val="20"/>
              </w:rPr>
              <w:t>0.40</w:t>
            </w:r>
          </w:p>
        </w:tc>
      </w:tr>
      <w:tr w:rsidR="00BD671F" w14:paraId="12B1B4F1" w14:textId="77777777">
        <w:tc>
          <w:tcPr>
            <w:tcW w:w="3515"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99D8E34" w14:textId="77777777" w:rsidR="00BD671F" w:rsidRDefault="00000000">
            <w:r>
              <w:rPr>
                <w:rFonts w:ascii="Arial" w:hAnsi="Arial"/>
                <w:sz w:val="20"/>
              </w:rPr>
              <w:t>eNTRy only — Random Forest</w:t>
            </w:r>
          </w:p>
        </w:tc>
        <w:tc>
          <w:tcPr>
            <w:tcW w:w="130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5C655C25" w14:textId="77777777" w:rsidR="00BD671F" w:rsidRDefault="00000000">
            <w:r>
              <w:rPr>
                <w:rFonts w:ascii="Arial" w:hAnsi="Arial"/>
                <w:sz w:val="20"/>
              </w:rPr>
              <w:t>10</w:t>
            </w:r>
          </w:p>
        </w:tc>
        <w:tc>
          <w:tcPr>
            <w:tcW w:w="113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78CEFED" w14:textId="77777777" w:rsidR="00BD671F" w:rsidRDefault="00000000">
            <w:r>
              <w:rPr>
                <w:rFonts w:ascii="Arial" w:hAnsi="Arial"/>
                <w:sz w:val="20"/>
              </w:rPr>
              <w:t>0.2279</w:t>
            </w:r>
          </w:p>
        </w:tc>
        <w:tc>
          <w:tcPr>
            <w:tcW w:w="124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4DD33EF" w14:textId="77777777" w:rsidR="00BD671F" w:rsidRDefault="00000000">
            <w:r>
              <w:rPr>
                <w:rFonts w:ascii="Arial" w:hAnsi="Arial"/>
                <w:sz w:val="20"/>
              </w:rPr>
              <w:t>0.6456</w:t>
            </w:r>
          </w:p>
        </w:tc>
        <w:tc>
          <w:tcPr>
            <w:tcW w:w="130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51E33B0" w14:textId="77777777" w:rsidR="00BD671F" w:rsidRDefault="00000000">
            <w:r>
              <w:rPr>
                <w:rFonts w:ascii="Arial" w:hAnsi="Arial"/>
                <w:sz w:val="20"/>
              </w:rPr>
              <w:t>0.40</w:t>
            </w:r>
          </w:p>
        </w:tc>
      </w:tr>
      <w:tr w:rsidR="00BD671F" w14:paraId="3064F347" w14:textId="77777777">
        <w:tc>
          <w:tcPr>
            <w:tcW w:w="35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6773866" w14:textId="77777777" w:rsidR="00BD671F" w:rsidRDefault="00000000">
            <w:r>
              <w:rPr>
                <w:rFonts w:ascii="Arial" w:hAnsi="Arial"/>
                <w:sz w:val="20"/>
              </w:rPr>
              <w:t>eNTRy only — Logistic Regression</w:t>
            </w:r>
          </w:p>
        </w:tc>
        <w:tc>
          <w:tcPr>
            <w:tcW w:w="13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6BB7965" w14:textId="77777777" w:rsidR="00BD671F" w:rsidRDefault="00000000">
            <w:r>
              <w:rPr>
                <w:rFonts w:ascii="Arial" w:hAnsi="Arial"/>
                <w:sz w:val="20"/>
              </w:rPr>
              <w:t>10</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12CF773" w14:textId="77777777" w:rsidR="00BD671F" w:rsidRDefault="00000000">
            <w:r>
              <w:rPr>
                <w:rFonts w:ascii="Arial" w:hAnsi="Arial"/>
                <w:sz w:val="20"/>
              </w:rPr>
              <w:t>0.1600</w:t>
            </w:r>
          </w:p>
        </w:tc>
        <w:tc>
          <w:tcPr>
            <w:tcW w:w="12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51DD5DC" w14:textId="77777777" w:rsidR="00BD671F" w:rsidRDefault="00000000">
            <w:r>
              <w:rPr>
                <w:rFonts w:ascii="Arial" w:hAnsi="Arial"/>
                <w:sz w:val="20"/>
              </w:rPr>
              <w:t>0.7180</w:t>
            </w:r>
          </w:p>
        </w:tc>
        <w:tc>
          <w:tcPr>
            <w:tcW w:w="13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4A24605" w14:textId="77777777" w:rsidR="00BD671F" w:rsidRDefault="00000000">
            <w:r>
              <w:rPr>
                <w:rFonts w:ascii="Arial" w:hAnsi="Arial"/>
                <w:sz w:val="20"/>
              </w:rPr>
              <w:t>0.10</w:t>
            </w:r>
          </w:p>
        </w:tc>
      </w:tr>
      <w:tr w:rsidR="00BD671F" w14:paraId="10251DA5" w14:textId="77777777">
        <w:tc>
          <w:tcPr>
            <w:tcW w:w="3515"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BD5ACE2" w14:textId="77777777" w:rsidR="00BD671F" w:rsidRDefault="00000000">
            <w:r>
              <w:rPr>
                <w:rFonts w:ascii="Arial" w:hAnsi="Arial"/>
                <w:sz w:val="20"/>
              </w:rPr>
              <w:t>Literature benchmark (Lin et al. 2025)</w:t>
            </w:r>
          </w:p>
        </w:tc>
        <w:tc>
          <w:tcPr>
            <w:tcW w:w="130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F561585" w14:textId="77777777" w:rsidR="00BD671F" w:rsidRDefault="00000000">
            <w:r>
              <w:rPr>
                <w:rFonts w:ascii="Arial" w:hAnsi="Arial"/>
                <w:sz w:val="20"/>
              </w:rPr>
              <w:t>—</w:t>
            </w:r>
          </w:p>
        </w:tc>
        <w:tc>
          <w:tcPr>
            <w:tcW w:w="113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4846ABA" w14:textId="77777777" w:rsidR="00BD671F" w:rsidRDefault="00000000">
            <w:r>
              <w:rPr>
                <w:rFonts w:ascii="Arial" w:hAnsi="Arial"/>
                <w:sz w:val="20"/>
              </w:rPr>
              <w:t>0.4500</w:t>
            </w:r>
          </w:p>
        </w:tc>
        <w:tc>
          <w:tcPr>
            <w:tcW w:w="1247"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6FF527D" w14:textId="77777777" w:rsidR="00BD671F" w:rsidRDefault="00000000">
            <w:r>
              <w:rPr>
                <w:rFonts w:ascii="Arial" w:hAnsi="Arial"/>
                <w:sz w:val="20"/>
              </w:rPr>
              <w:t>—</w:t>
            </w:r>
          </w:p>
        </w:tc>
        <w:tc>
          <w:tcPr>
            <w:tcW w:w="130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C0C54FC" w14:textId="77777777" w:rsidR="00BD671F" w:rsidRDefault="00000000">
            <w:r>
              <w:rPr>
                <w:rFonts w:ascii="Arial" w:hAnsi="Arial"/>
                <w:sz w:val="20"/>
              </w:rPr>
              <w:t>—</w:t>
            </w:r>
          </w:p>
        </w:tc>
      </w:tr>
      <w:tr w:rsidR="00BD671F" w14:paraId="20418365" w14:textId="77777777">
        <w:tc>
          <w:tcPr>
            <w:tcW w:w="3515"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AEEEB1A" w14:textId="77777777" w:rsidR="00BD671F" w:rsidRDefault="00000000">
            <w:r>
              <w:rPr>
                <w:rFonts w:ascii="Arial" w:hAnsi="Arial"/>
                <w:sz w:val="20"/>
              </w:rPr>
              <w:t>Random baseline</w:t>
            </w:r>
          </w:p>
        </w:tc>
        <w:tc>
          <w:tcPr>
            <w:tcW w:w="13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ABE2C12" w14:textId="77777777" w:rsidR="00BD671F" w:rsidRDefault="00000000">
            <w:r>
              <w:rPr>
                <w:rFonts w:ascii="Arial" w:hAnsi="Arial"/>
                <w:sz w:val="20"/>
              </w:rPr>
              <w:t>—</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CAD9079" w14:textId="77777777" w:rsidR="00BD671F" w:rsidRDefault="00000000">
            <w:r>
              <w:rPr>
                <w:rFonts w:ascii="Arial" w:hAnsi="Arial"/>
                <w:sz w:val="20"/>
              </w:rPr>
              <w:t>0.0427</w:t>
            </w:r>
          </w:p>
        </w:tc>
        <w:tc>
          <w:tcPr>
            <w:tcW w:w="1247"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98C34F2" w14:textId="77777777" w:rsidR="00BD671F" w:rsidRDefault="00000000">
            <w:r>
              <w:rPr>
                <w:rFonts w:ascii="Arial" w:hAnsi="Arial"/>
                <w:sz w:val="20"/>
              </w:rPr>
              <w:t>—</w:t>
            </w:r>
          </w:p>
        </w:tc>
        <w:tc>
          <w:tcPr>
            <w:tcW w:w="130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2D7EA3A" w14:textId="77777777" w:rsidR="00BD671F" w:rsidRDefault="00000000">
            <w:r>
              <w:rPr>
                <w:rFonts w:ascii="Arial" w:hAnsi="Arial"/>
                <w:sz w:val="20"/>
              </w:rPr>
              <w:t>—</w:t>
            </w:r>
          </w:p>
        </w:tc>
      </w:tr>
    </w:tbl>
    <w:p w14:paraId="0C5A88BF" w14:textId="77777777" w:rsidR="00BD671F" w:rsidRDefault="00BD671F">
      <w:pPr>
        <w:spacing w:after="80"/>
      </w:pPr>
    </w:p>
    <w:p w14:paraId="083CACB4" w14:textId="77777777" w:rsidR="00BD671F" w:rsidRDefault="00000000">
      <w:pPr>
        <w:spacing w:after="120"/>
      </w:pPr>
      <w:r>
        <w:rPr>
          <w:rFonts w:ascii="Arial" w:hAnsi="Arial"/>
          <w:sz w:val="21"/>
        </w:rPr>
        <w:t xml:space="preserve">The eNTRy descriptors carry genuine but limited standalone signal: AUPRC = 0.25 vs a random baseline of 0.04 (approximately 6× above chance with just 10 features). However, fingerprint-based models outperform eNTRy-only models by 2.5× in AUPRC (0.61 vs 0.25), reflecting the fundamental </w:t>
      </w:r>
      <w:r>
        <w:rPr>
          <w:rFonts w:ascii="Arial" w:hAnsi="Arial"/>
          <w:sz w:val="21"/>
        </w:rPr>
        <w:lastRenderedPageBreak/>
        <w:t>difference in information content: fingerprints encode target-binding potential while eNTRy encodes membrane permeation propensity.</w:t>
      </w:r>
    </w:p>
    <w:p w14:paraId="1ABA3A67" w14:textId="77777777" w:rsidR="00BD671F" w:rsidRDefault="00000000">
      <w:pPr>
        <w:spacing w:before="120" w:after="80"/>
        <w:jc w:val="center"/>
      </w:pPr>
      <w:r>
        <w:rPr>
          <w:noProof/>
        </w:rPr>
        <w:drawing>
          <wp:inline distT="0" distB="0" distL="0" distR="0" wp14:anchorId="3205A692" wp14:editId="1DD3FF4A">
            <wp:extent cx="4572000" cy="3265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curves_entry_only.png"/>
                    <pic:cNvPicPr/>
                  </pic:nvPicPr>
                  <pic:blipFill>
                    <a:blip r:embed="rId8"/>
                    <a:stretch>
                      <a:fillRect/>
                    </a:stretch>
                  </pic:blipFill>
                  <pic:spPr>
                    <a:xfrm>
                      <a:off x="0" y="0"/>
                      <a:ext cx="4572000" cy="3265714"/>
                    </a:xfrm>
                    <a:prstGeom prst="rect">
                      <a:avLst/>
                    </a:prstGeom>
                  </pic:spPr>
                </pic:pic>
              </a:graphicData>
            </a:graphic>
          </wp:inline>
        </w:drawing>
      </w:r>
    </w:p>
    <w:p w14:paraId="755F400E" w14:textId="77777777" w:rsidR="00BD671F" w:rsidRDefault="00000000">
      <w:pPr>
        <w:jc w:val="center"/>
      </w:pPr>
      <w:r>
        <w:rPr>
          <w:rFonts w:ascii="Arial" w:hAnsi="Arial"/>
          <w:i/>
          <w:color w:val="595959"/>
          <w:sz w:val="19"/>
        </w:rPr>
        <w:t>Figure 3. PR curves for models trained on eNTRy descriptors only (10 features). AUPRC = 0.25 for XGBoost vs 0.04 random baseline — 6× above chance.</w:t>
      </w:r>
    </w:p>
    <w:p w14:paraId="62295398" w14:textId="77777777" w:rsidR="00BD671F" w:rsidRDefault="00000000">
      <w:pPr>
        <w:pBdr>
          <w:bottom w:val="single" w:sz="6" w:space="1" w:color="2E75B6"/>
        </w:pBdr>
        <w:spacing w:before="280" w:after="80"/>
      </w:pPr>
      <w:r>
        <w:rPr>
          <w:rFonts w:ascii="Arial" w:hAnsi="Arial"/>
          <w:b/>
          <w:color w:val="2E75B6"/>
          <w:sz w:val="28"/>
        </w:rPr>
        <w:t>7. SHAP Feature Importance</w:t>
      </w:r>
    </w:p>
    <w:p w14:paraId="6678C775" w14:textId="77777777" w:rsidR="00BD671F" w:rsidRDefault="00000000">
      <w:pPr>
        <w:spacing w:after="120"/>
      </w:pPr>
      <w:r>
        <w:rPr>
          <w:rFonts w:ascii="Arial" w:hAnsi="Arial"/>
          <w:sz w:val="21"/>
        </w:rPr>
        <w:t>SHAP analysis on the tuned XGBoost model (extended 4,490-dim features) shows where the eNTRy descriptors rank among all features. None of the eNTRy features appear in the top 30 — the dominant features are all Phase 5 physicochemical descriptors (feat_4XXX = RDKit 2D block). The eNTRy features rank as follows:</w:t>
      </w:r>
    </w:p>
    <w:tbl>
      <w:tblPr>
        <w:tblStyle w:val="TableGrid"/>
        <w:tblW w:w="0" w:type="auto"/>
        <w:tblLook w:val="04A0" w:firstRow="1" w:lastRow="0" w:firstColumn="1" w:lastColumn="0" w:noHBand="0" w:noVBand="1"/>
      </w:tblPr>
      <w:tblGrid>
        <w:gridCol w:w="2551"/>
        <w:gridCol w:w="1984"/>
        <w:gridCol w:w="4535"/>
      </w:tblGrid>
      <w:tr w:rsidR="00BD671F" w14:paraId="1DC6F0FF" w14:textId="77777777">
        <w:tc>
          <w:tcPr>
            <w:tcW w:w="2551"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4288BA28" w14:textId="77777777" w:rsidR="00BD671F" w:rsidRDefault="00000000">
            <w:r>
              <w:rPr>
                <w:rFonts w:ascii="Arial" w:hAnsi="Arial"/>
                <w:b/>
                <w:color w:val="FFFFFF"/>
                <w:sz w:val="20"/>
              </w:rPr>
              <w:t>eNTRy Feature</w:t>
            </w:r>
          </w:p>
        </w:tc>
        <w:tc>
          <w:tcPr>
            <w:tcW w:w="1984"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125A6487" w14:textId="77777777" w:rsidR="00BD671F" w:rsidRDefault="00000000">
            <w:r>
              <w:rPr>
                <w:rFonts w:ascii="Arial" w:hAnsi="Arial"/>
                <w:b/>
                <w:color w:val="FFFFFF"/>
                <w:sz w:val="20"/>
              </w:rPr>
              <w:t>SHAP Rank (of 4,490)</w:t>
            </w:r>
          </w:p>
        </w:tc>
        <w:tc>
          <w:tcPr>
            <w:tcW w:w="4535"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30CF5A46" w14:textId="77777777" w:rsidR="00BD671F" w:rsidRDefault="00000000">
            <w:r>
              <w:rPr>
                <w:rFonts w:ascii="Arial" w:hAnsi="Arial"/>
                <w:b/>
                <w:color w:val="FFFFFF"/>
                <w:sz w:val="20"/>
              </w:rPr>
              <w:t>Interpretation</w:t>
            </w:r>
          </w:p>
        </w:tc>
      </w:tr>
      <w:tr w:rsidR="00BD671F" w14:paraId="641FEF58" w14:textId="77777777">
        <w:tc>
          <w:tcPr>
            <w:tcW w:w="2551"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741817A3" w14:textId="77777777" w:rsidR="00BD671F" w:rsidRDefault="00000000">
            <w:r>
              <w:rPr>
                <w:rFonts w:ascii="Arial" w:hAnsi="Arial"/>
                <w:sz w:val="20"/>
              </w:rPr>
              <w:t>radius_of_gyration</w:t>
            </w:r>
          </w:p>
        </w:tc>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5B4FC079" w14:textId="77777777" w:rsidR="00BD671F" w:rsidRDefault="00000000">
            <w:r>
              <w:rPr>
                <w:rFonts w:ascii="Arial" w:hAnsi="Arial"/>
                <w:sz w:val="20"/>
              </w:rPr>
              <w:t>36</w:t>
            </w:r>
          </w:p>
        </w:tc>
        <w:tc>
          <w:tcPr>
            <w:tcW w:w="4535"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D97D054" w14:textId="77777777" w:rsidR="00BD671F" w:rsidRDefault="00000000">
            <w:r>
              <w:rPr>
                <w:rFonts w:ascii="Arial" w:hAnsi="Arial"/>
                <w:sz w:val="20"/>
              </w:rPr>
              <w:t>Highest-ranked; 3D molecular size is predictive</w:t>
            </w:r>
          </w:p>
        </w:tc>
      </w:tr>
      <w:tr w:rsidR="00BD671F" w14:paraId="1EDA3D3B" w14:textId="77777777">
        <w:tc>
          <w:tcPr>
            <w:tcW w:w="2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82DF217" w14:textId="77777777" w:rsidR="00BD671F" w:rsidRDefault="00000000">
            <w:r>
              <w:rPr>
                <w:rFonts w:ascii="Arial" w:hAnsi="Arial"/>
                <w:sz w:val="20"/>
              </w:rPr>
              <w:t>pbf</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5AD1E24" w14:textId="77777777" w:rsidR="00BD671F" w:rsidRDefault="00000000">
            <w:r>
              <w:rPr>
                <w:rFonts w:ascii="Arial" w:hAnsi="Arial"/>
                <w:sz w:val="20"/>
              </w:rPr>
              <w:t>55</w:t>
            </w:r>
          </w:p>
        </w:tc>
        <w:tc>
          <w:tcPr>
            <w:tcW w:w="45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D6A3759" w14:textId="77777777" w:rsidR="00BD671F" w:rsidRDefault="00000000">
            <w:r>
              <w:rPr>
                <w:rFonts w:ascii="Arial" w:hAnsi="Arial"/>
                <w:sz w:val="20"/>
              </w:rPr>
              <w:t>High; molecular flatness carries signal</w:t>
            </w:r>
          </w:p>
        </w:tc>
      </w:tr>
      <w:tr w:rsidR="00BD671F" w14:paraId="70BB018C" w14:textId="77777777">
        <w:tc>
          <w:tcPr>
            <w:tcW w:w="2551"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56BC97D" w14:textId="77777777" w:rsidR="00BD671F" w:rsidRDefault="00000000">
            <w:r>
              <w:rPr>
                <w:rFonts w:ascii="Arial" w:hAnsi="Arial"/>
                <w:sz w:val="20"/>
              </w:rPr>
              <w:t>npr2</w:t>
            </w:r>
          </w:p>
        </w:tc>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31D9E13" w14:textId="77777777" w:rsidR="00BD671F" w:rsidRDefault="00000000">
            <w:r>
              <w:rPr>
                <w:rFonts w:ascii="Arial" w:hAnsi="Arial"/>
                <w:sz w:val="20"/>
              </w:rPr>
              <w:t>74</w:t>
            </w:r>
          </w:p>
        </w:tc>
        <w:tc>
          <w:tcPr>
            <w:tcW w:w="4535"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245F454" w14:textId="77777777" w:rsidR="00BD671F" w:rsidRDefault="00000000">
            <w:r>
              <w:rPr>
                <w:rFonts w:ascii="Arial" w:hAnsi="Arial"/>
                <w:sz w:val="20"/>
              </w:rPr>
              <w:t>Moderate; principal moment shape descriptor</w:t>
            </w:r>
          </w:p>
        </w:tc>
      </w:tr>
      <w:tr w:rsidR="00BD671F" w14:paraId="007E6268" w14:textId="77777777">
        <w:tc>
          <w:tcPr>
            <w:tcW w:w="2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1375032" w14:textId="77777777" w:rsidR="00BD671F" w:rsidRDefault="00000000">
            <w:r>
              <w:rPr>
                <w:rFonts w:ascii="Arial" w:hAnsi="Arial"/>
                <w:sz w:val="20"/>
              </w:rPr>
              <w:t>npr1</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20C5D36" w14:textId="77777777" w:rsidR="00BD671F" w:rsidRDefault="00000000">
            <w:r>
              <w:rPr>
                <w:rFonts w:ascii="Arial" w:hAnsi="Arial"/>
                <w:sz w:val="20"/>
              </w:rPr>
              <w:t>80</w:t>
            </w:r>
          </w:p>
        </w:tc>
        <w:tc>
          <w:tcPr>
            <w:tcW w:w="45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F60D2A9" w14:textId="77777777" w:rsidR="00BD671F" w:rsidRDefault="00000000">
            <w:r>
              <w:rPr>
                <w:rFonts w:ascii="Arial" w:hAnsi="Arial"/>
                <w:sz w:val="20"/>
              </w:rPr>
              <w:t>Moderate</w:t>
            </w:r>
          </w:p>
        </w:tc>
      </w:tr>
      <w:tr w:rsidR="00BD671F" w14:paraId="5E1C2649" w14:textId="77777777">
        <w:tc>
          <w:tcPr>
            <w:tcW w:w="2551"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B91EE6D" w14:textId="77777777" w:rsidR="00BD671F" w:rsidRDefault="00000000">
            <w:r>
              <w:rPr>
                <w:rFonts w:ascii="Arial" w:hAnsi="Arial"/>
                <w:sz w:val="20"/>
              </w:rPr>
              <w:t>asphericity</w:t>
            </w:r>
          </w:p>
        </w:tc>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78747960" w14:textId="77777777" w:rsidR="00BD671F" w:rsidRDefault="00000000">
            <w:r>
              <w:rPr>
                <w:rFonts w:ascii="Arial" w:hAnsi="Arial"/>
                <w:sz w:val="20"/>
              </w:rPr>
              <w:t>82</w:t>
            </w:r>
          </w:p>
        </w:tc>
        <w:tc>
          <w:tcPr>
            <w:tcW w:w="4535"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76162E8" w14:textId="77777777" w:rsidR="00BD671F" w:rsidRDefault="00000000">
            <w:r>
              <w:rPr>
                <w:rFonts w:ascii="Arial" w:hAnsi="Arial"/>
                <w:sz w:val="20"/>
              </w:rPr>
              <w:t>Moderate; deviation from spherical shape</w:t>
            </w:r>
          </w:p>
        </w:tc>
      </w:tr>
      <w:tr w:rsidR="00BD671F" w14:paraId="21CD3F0F" w14:textId="77777777">
        <w:tc>
          <w:tcPr>
            <w:tcW w:w="2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8F5ADB6" w14:textId="77777777" w:rsidR="00BD671F" w:rsidRDefault="00000000">
            <w:r>
              <w:rPr>
                <w:rFonts w:ascii="Arial" w:hAnsi="Arial"/>
                <w:sz w:val="20"/>
              </w:rPr>
              <w:t>spherocity</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4160E3D" w14:textId="77777777" w:rsidR="00BD671F" w:rsidRDefault="00000000">
            <w:r>
              <w:rPr>
                <w:rFonts w:ascii="Arial" w:hAnsi="Arial"/>
                <w:sz w:val="20"/>
              </w:rPr>
              <w:t>86</w:t>
            </w:r>
          </w:p>
        </w:tc>
        <w:tc>
          <w:tcPr>
            <w:tcW w:w="45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D2CFC05" w14:textId="77777777" w:rsidR="00BD671F" w:rsidRDefault="00000000">
            <w:r>
              <w:rPr>
                <w:rFonts w:ascii="Arial" w:hAnsi="Arial"/>
                <w:sz w:val="20"/>
              </w:rPr>
              <w:t>Moderate; RDKit shape measure</w:t>
            </w:r>
          </w:p>
        </w:tc>
      </w:tr>
      <w:tr w:rsidR="00BD671F" w14:paraId="52F3D6F1" w14:textId="77777777">
        <w:tc>
          <w:tcPr>
            <w:tcW w:w="2551"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59F8E3DC" w14:textId="77777777" w:rsidR="00BD671F" w:rsidRDefault="00000000">
            <w:r>
              <w:rPr>
                <w:rFonts w:ascii="Arial" w:hAnsi="Arial"/>
                <w:sz w:val="20"/>
              </w:rPr>
              <w:t>glob_hergenrother</w:t>
            </w:r>
          </w:p>
        </w:tc>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C4A5EB7" w14:textId="77777777" w:rsidR="00BD671F" w:rsidRDefault="00000000">
            <w:r>
              <w:rPr>
                <w:rFonts w:ascii="Arial" w:hAnsi="Arial"/>
                <w:sz w:val="20"/>
              </w:rPr>
              <w:t>97</w:t>
            </w:r>
          </w:p>
        </w:tc>
        <w:tc>
          <w:tcPr>
            <w:tcW w:w="4535"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C206C9F" w14:textId="77777777" w:rsidR="00BD671F" w:rsidRDefault="00000000">
            <w:r>
              <w:rPr>
                <w:rFonts w:ascii="Arial" w:hAnsi="Arial"/>
                <w:sz w:val="20"/>
              </w:rPr>
              <w:t>Moderate; Hergenrother globularity</w:t>
            </w:r>
          </w:p>
        </w:tc>
      </w:tr>
      <w:tr w:rsidR="00BD671F" w14:paraId="7A41808B" w14:textId="77777777">
        <w:tc>
          <w:tcPr>
            <w:tcW w:w="2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F89CAD1" w14:textId="77777777" w:rsidR="00BD671F" w:rsidRDefault="00000000">
            <w:r>
              <w:rPr>
                <w:rFonts w:ascii="Arial" w:hAnsi="Arial"/>
                <w:sz w:val="20"/>
              </w:rPr>
              <w:t>rotatable_bonds</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436AA04" w14:textId="77777777" w:rsidR="00BD671F" w:rsidRDefault="00000000">
            <w:r>
              <w:rPr>
                <w:rFonts w:ascii="Arial" w:hAnsi="Arial"/>
                <w:sz w:val="20"/>
              </w:rPr>
              <w:t>175</w:t>
            </w:r>
          </w:p>
        </w:tc>
        <w:tc>
          <w:tcPr>
            <w:tcW w:w="45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025191F" w14:textId="77777777" w:rsidR="00BD671F" w:rsidRDefault="00000000">
            <w:r>
              <w:rPr>
                <w:rFonts w:ascii="Arial" w:hAnsi="Arial"/>
                <w:sz w:val="20"/>
              </w:rPr>
              <w:t>Low; molecular flexibility</w:t>
            </w:r>
          </w:p>
        </w:tc>
      </w:tr>
      <w:tr w:rsidR="00BD671F" w14:paraId="7EFF8481" w14:textId="77777777">
        <w:tc>
          <w:tcPr>
            <w:tcW w:w="2551"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DED3CDF" w14:textId="77777777" w:rsidR="00BD671F" w:rsidRDefault="00000000">
            <w:r>
              <w:rPr>
                <w:rFonts w:ascii="Arial" w:hAnsi="Arial"/>
                <w:sz w:val="20"/>
              </w:rPr>
              <w:t>has_primary_amine</w:t>
            </w:r>
          </w:p>
        </w:tc>
        <w:tc>
          <w:tcPr>
            <w:tcW w:w="1984"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514511E6" w14:textId="77777777" w:rsidR="00BD671F" w:rsidRDefault="00000000">
            <w:r>
              <w:rPr>
                <w:rFonts w:ascii="Arial" w:hAnsi="Arial"/>
                <w:sz w:val="20"/>
              </w:rPr>
              <w:t>322</w:t>
            </w:r>
          </w:p>
        </w:tc>
        <w:tc>
          <w:tcPr>
            <w:tcW w:w="4535"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1CC8B0E" w14:textId="77777777" w:rsidR="00BD671F" w:rsidRDefault="00000000">
            <w:r>
              <w:rPr>
                <w:rFonts w:ascii="Arial" w:hAnsi="Arial"/>
                <w:sz w:val="20"/>
              </w:rPr>
              <w:t>Very low; consistent with weak class enrichment</w:t>
            </w:r>
          </w:p>
        </w:tc>
      </w:tr>
      <w:tr w:rsidR="00BD671F" w14:paraId="4A34237A" w14:textId="77777777">
        <w:tc>
          <w:tcPr>
            <w:tcW w:w="2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B8B42B3" w14:textId="77777777" w:rsidR="00BD671F" w:rsidRDefault="00000000">
            <w:r>
              <w:rPr>
                <w:rFonts w:ascii="Arial" w:hAnsi="Arial"/>
                <w:sz w:val="20"/>
              </w:rPr>
              <w:lastRenderedPageBreak/>
              <w:t>passes_eNTRy</w:t>
            </w:r>
          </w:p>
        </w:tc>
        <w:tc>
          <w:tcPr>
            <w:tcW w:w="19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88A8DFE" w14:textId="77777777" w:rsidR="00BD671F" w:rsidRDefault="00000000">
            <w:r>
              <w:rPr>
                <w:rFonts w:ascii="Arial" w:hAnsi="Arial"/>
                <w:sz w:val="20"/>
              </w:rPr>
              <w:t>390</w:t>
            </w:r>
          </w:p>
        </w:tc>
        <w:tc>
          <w:tcPr>
            <w:tcW w:w="45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6760F42" w14:textId="77777777" w:rsidR="00BD671F" w:rsidRDefault="00000000">
            <w:r>
              <w:rPr>
                <w:rFonts w:ascii="Arial" w:hAnsi="Arial"/>
                <w:sz w:val="20"/>
              </w:rPr>
              <w:t>Near-noise; binary flag adds little over its components</w:t>
            </w:r>
          </w:p>
        </w:tc>
      </w:tr>
    </w:tbl>
    <w:p w14:paraId="4D41EA9E" w14:textId="77777777" w:rsidR="00BD671F" w:rsidRDefault="00BD671F">
      <w:pPr>
        <w:spacing w:after="80"/>
      </w:pPr>
    </w:p>
    <w:p w14:paraId="74D28D6E" w14:textId="77777777" w:rsidR="00BD671F" w:rsidRDefault="00000000">
      <w:pPr>
        <w:spacing w:after="120"/>
      </w:pPr>
      <w:r>
        <w:rPr>
          <w:rFonts w:ascii="Arial" w:hAnsi="Arial"/>
          <w:sz w:val="21"/>
        </w:rPr>
        <w:t>3D shape descriptors (radius of gyration, PBF, NPR1/2) consistently outrank the amine flag and the binary eNTRy pass indicator. Continuous molecular shape information is more informative than the discrete rule-based classification for this task.</w:t>
      </w:r>
    </w:p>
    <w:p w14:paraId="4C88B397" w14:textId="77777777" w:rsidR="00BD671F" w:rsidRDefault="00000000">
      <w:pPr>
        <w:spacing w:before="120" w:after="80"/>
        <w:jc w:val="center"/>
      </w:pPr>
      <w:r>
        <w:rPr>
          <w:noProof/>
        </w:rPr>
        <w:drawing>
          <wp:inline distT="0" distB="0" distL="0" distR="0" wp14:anchorId="68F581F6" wp14:editId="2D87B088">
            <wp:extent cx="4572000" cy="5143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phase6.png"/>
                    <pic:cNvPicPr/>
                  </pic:nvPicPr>
                  <pic:blipFill>
                    <a:blip r:embed="rId9"/>
                    <a:stretch>
                      <a:fillRect/>
                    </a:stretch>
                  </pic:blipFill>
                  <pic:spPr>
                    <a:xfrm>
                      <a:off x="0" y="0"/>
                      <a:ext cx="4572000" cy="5143500"/>
                    </a:xfrm>
                    <a:prstGeom prst="rect">
                      <a:avLst/>
                    </a:prstGeom>
                  </pic:spPr>
                </pic:pic>
              </a:graphicData>
            </a:graphic>
          </wp:inline>
        </w:drawing>
      </w:r>
    </w:p>
    <w:p w14:paraId="335E80CC" w14:textId="77777777" w:rsidR="00BD671F" w:rsidRDefault="00000000">
      <w:pPr>
        <w:jc w:val="center"/>
      </w:pPr>
      <w:r>
        <w:rPr>
          <w:rFonts w:ascii="Arial" w:hAnsi="Arial"/>
          <w:i/>
          <w:color w:val="595959"/>
          <w:sz w:val="19"/>
        </w:rPr>
        <w:t>Figure 4. SHAP feature importance for the extended XGBoost model (top 30 features). All top 30 are Phase 5 features (blue); no eNTRy/3D descriptor (orange) appears in the top 30.</w:t>
      </w:r>
    </w:p>
    <w:p w14:paraId="4B7FDCE3" w14:textId="77777777" w:rsidR="00BD671F" w:rsidRDefault="00000000">
      <w:pPr>
        <w:pBdr>
          <w:bottom w:val="single" w:sz="6" w:space="1" w:color="2E75B6"/>
        </w:pBdr>
        <w:spacing w:before="280" w:after="80"/>
      </w:pPr>
      <w:r>
        <w:rPr>
          <w:rFonts w:ascii="Arial" w:hAnsi="Arial"/>
          <w:b/>
          <w:color w:val="2E75B6"/>
          <w:sz w:val="28"/>
        </w:rPr>
        <w:t>8. Step 4 — eNTRy as a Post-Prediction Filter</w:t>
      </w:r>
    </w:p>
    <w:p w14:paraId="0349D4F3" w14:textId="77777777" w:rsidR="00BD671F" w:rsidRDefault="00000000">
      <w:pPr>
        <w:spacing w:before="200" w:after="60"/>
      </w:pPr>
      <w:r>
        <w:rPr>
          <w:rFonts w:ascii="Arial" w:hAnsi="Arial"/>
          <w:b/>
          <w:color w:val="1F4E79"/>
          <w:sz w:val="24"/>
        </w:rPr>
        <w:t>8.1 Motivation</w:t>
      </w:r>
    </w:p>
    <w:p w14:paraId="427B11A5" w14:textId="2BBCE0C1" w:rsidR="00BD671F" w:rsidRDefault="00000000">
      <w:pPr>
        <w:spacing w:after="120"/>
      </w:pPr>
      <w:r>
        <w:rPr>
          <w:rFonts w:ascii="Arial" w:hAnsi="Arial"/>
          <w:sz w:val="21"/>
        </w:rPr>
        <w:t xml:space="preserve">This step addresses the core question directly: of the compounds the model ranks highest as predicted actives, which ones are also likely to accumulate inside E. coli? A compound that is both predicted active and passes the eNTRy rules is a higher-confidence candidate for wet-lab testing, as </w:t>
      </w:r>
      <w:r>
        <w:rPr>
          <w:rFonts w:ascii="Arial" w:hAnsi="Arial"/>
          <w:sz w:val="21"/>
        </w:rPr>
        <w:lastRenderedPageBreak/>
        <w:t>it must satisfy both: (1) structural features associated with antibacterial activity, and (2) physicochemical properties enabling Gram-negative cell entry.</w:t>
      </w:r>
    </w:p>
    <w:p w14:paraId="0660B699" w14:textId="77777777" w:rsidR="00BD671F" w:rsidRDefault="00000000">
      <w:pPr>
        <w:spacing w:before="200" w:after="60"/>
      </w:pPr>
      <w:r>
        <w:rPr>
          <w:rFonts w:ascii="Arial" w:hAnsi="Arial"/>
          <w:b/>
          <w:color w:val="1F4E79"/>
          <w:sz w:val="24"/>
        </w:rPr>
        <w:t>8.2 Filter Results — Top 50 Predictions</w:t>
      </w:r>
    </w:p>
    <w:tbl>
      <w:tblPr>
        <w:tblStyle w:val="TableGrid"/>
        <w:tblW w:w="0" w:type="auto"/>
        <w:tblLook w:val="04A0" w:firstRow="1" w:lastRow="0" w:firstColumn="1" w:lastColumn="0" w:noHBand="0" w:noVBand="1"/>
      </w:tblPr>
      <w:tblGrid>
        <w:gridCol w:w="2551"/>
        <w:gridCol w:w="2268"/>
        <w:gridCol w:w="4252"/>
      </w:tblGrid>
      <w:tr w:rsidR="00BD671F" w14:paraId="6EF3EE1E" w14:textId="77777777">
        <w:tc>
          <w:tcPr>
            <w:tcW w:w="2551"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4749B2EB" w14:textId="77777777" w:rsidR="00BD671F" w:rsidRDefault="00000000">
            <w:r>
              <w:rPr>
                <w:rFonts w:ascii="Arial" w:hAnsi="Arial"/>
                <w:b/>
                <w:color w:val="FFFFFF"/>
                <w:sz w:val="20"/>
              </w:rPr>
              <w:t>Metric</w:t>
            </w:r>
          </w:p>
        </w:tc>
        <w:tc>
          <w:tcPr>
            <w:tcW w:w="2268"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7161C912" w14:textId="77777777" w:rsidR="00BD671F" w:rsidRDefault="00000000">
            <w:r>
              <w:rPr>
                <w:rFonts w:ascii="Arial" w:hAnsi="Arial"/>
                <w:b/>
                <w:color w:val="FFFFFF"/>
                <w:sz w:val="20"/>
              </w:rPr>
              <w:t>Value</w:t>
            </w:r>
          </w:p>
        </w:tc>
        <w:tc>
          <w:tcPr>
            <w:tcW w:w="4252"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4F6BA05D" w14:textId="77777777" w:rsidR="00BD671F" w:rsidRDefault="00000000">
            <w:r>
              <w:rPr>
                <w:rFonts w:ascii="Arial" w:hAnsi="Arial"/>
                <w:b/>
                <w:color w:val="FFFFFF"/>
                <w:sz w:val="20"/>
              </w:rPr>
              <w:t>Interpretation</w:t>
            </w:r>
          </w:p>
        </w:tc>
      </w:tr>
      <w:tr w:rsidR="00BD671F" w14:paraId="46B4B83E" w14:textId="77777777">
        <w:tc>
          <w:tcPr>
            <w:tcW w:w="2551"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F02E90A" w14:textId="77777777" w:rsidR="00BD671F" w:rsidRDefault="00000000">
            <w:r>
              <w:rPr>
                <w:rFonts w:ascii="Arial" w:hAnsi="Arial"/>
                <w:sz w:val="20"/>
              </w:rPr>
              <w:t>True actives in top 50</w:t>
            </w:r>
          </w:p>
        </w:tc>
        <w:tc>
          <w:tcPr>
            <w:tcW w:w="22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DB2ED17" w14:textId="77777777" w:rsidR="00BD671F" w:rsidRDefault="00000000">
            <w:r>
              <w:rPr>
                <w:rFonts w:ascii="Arial" w:hAnsi="Arial"/>
                <w:sz w:val="20"/>
              </w:rPr>
              <w:t>15 / 50 (30%)</w:t>
            </w:r>
          </w:p>
        </w:tc>
        <w:tc>
          <w:tcPr>
            <w:tcW w:w="425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43E57A1" w14:textId="77777777" w:rsidR="00BD671F" w:rsidRDefault="00000000">
            <w:r>
              <w:rPr>
                <w:rFonts w:ascii="Arial" w:hAnsi="Arial"/>
                <w:sz w:val="20"/>
              </w:rPr>
              <w:t>7× above random (4.3% baseline) — model is highly enriched</w:t>
            </w:r>
          </w:p>
        </w:tc>
      </w:tr>
      <w:tr w:rsidR="00BD671F" w14:paraId="471F0E61" w14:textId="77777777">
        <w:tc>
          <w:tcPr>
            <w:tcW w:w="2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E0D0CED" w14:textId="77777777" w:rsidR="00BD671F" w:rsidRDefault="00000000">
            <w:r>
              <w:rPr>
                <w:rFonts w:ascii="Arial" w:hAnsi="Arial"/>
                <w:sz w:val="20"/>
              </w:rPr>
              <w:t>Passing eNTRy rules</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5B590DF" w14:textId="77777777" w:rsidR="00BD671F" w:rsidRDefault="00000000">
            <w:r>
              <w:rPr>
                <w:rFonts w:ascii="Arial" w:hAnsi="Arial"/>
                <w:sz w:val="20"/>
              </w:rPr>
              <w:t>2 / 50 (4%)</w:t>
            </w:r>
          </w:p>
        </w:tc>
        <w:tc>
          <w:tcPr>
            <w:tcW w:w="42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183C4BB" w14:textId="77777777" w:rsidR="00BD671F" w:rsidRDefault="00000000">
            <w:r>
              <w:rPr>
                <w:rFonts w:ascii="Arial" w:hAnsi="Arial"/>
                <w:sz w:val="20"/>
              </w:rPr>
              <w:t>Very few top predictions pass strict eNTRy criteria</w:t>
            </w:r>
          </w:p>
        </w:tc>
      </w:tr>
      <w:tr w:rsidR="00BD671F" w14:paraId="402B8AC7" w14:textId="77777777">
        <w:tc>
          <w:tcPr>
            <w:tcW w:w="2551"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D776DEB" w14:textId="77777777" w:rsidR="00BD671F" w:rsidRDefault="00000000">
            <w:r>
              <w:rPr>
                <w:rFonts w:ascii="Arial" w:hAnsi="Arial"/>
                <w:sz w:val="20"/>
              </w:rPr>
              <w:t>Priority candidates</w:t>
            </w:r>
          </w:p>
        </w:tc>
        <w:tc>
          <w:tcPr>
            <w:tcW w:w="22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9C07935" w14:textId="77777777" w:rsidR="00BD671F" w:rsidRDefault="00000000">
            <w:r>
              <w:rPr>
                <w:rFonts w:ascii="Arial" w:hAnsi="Arial"/>
                <w:sz w:val="20"/>
              </w:rPr>
              <w:t>2 / 50</w:t>
            </w:r>
          </w:p>
        </w:tc>
        <w:tc>
          <w:tcPr>
            <w:tcW w:w="425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7F6BFDF" w14:textId="77777777" w:rsidR="00BD671F" w:rsidRDefault="00000000">
            <w:r>
              <w:rPr>
                <w:rFonts w:ascii="Arial" w:hAnsi="Arial"/>
                <w:sz w:val="20"/>
              </w:rPr>
              <w:t>Predicted active AND passes eNTRy (both are true negatives)</w:t>
            </w:r>
          </w:p>
        </w:tc>
      </w:tr>
      <w:tr w:rsidR="00BD671F" w14:paraId="60FAA281" w14:textId="77777777">
        <w:tc>
          <w:tcPr>
            <w:tcW w:w="2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177DA0B" w14:textId="77777777" w:rsidR="00BD671F" w:rsidRDefault="00000000">
            <w:r>
              <w:rPr>
                <w:rFonts w:ascii="Arial" w:hAnsi="Arial"/>
                <w:sz w:val="20"/>
              </w:rPr>
              <w:t>TPSA ≤ 140 Å²</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DF4CB76" w14:textId="77777777" w:rsidR="00BD671F" w:rsidRDefault="00000000">
            <w:r>
              <w:rPr>
                <w:rFonts w:ascii="Arial" w:hAnsi="Arial"/>
                <w:sz w:val="20"/>
              </w:rPr>
              <w:t>21 / 50 (42%)</w:t>
            </w:r>
          </w:p>
        </w:tc>
        <w:tc>
          <w:tcPr>
            <w:tcW w:w="42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32E442F" w14:textId="77777777" w:rsidR="00BD671F" w:rsidRDefault="00000000">
            <w:r>
              <w:rPr>
                <w:rFonts w:ascii="Arial" w:hAnsi="Arial"/>
                <w:sz w:val="20"/>
              </w:rPr>
              <w:t>Less than half have membrane-permeable TPSA</w:t>
            </w:r>
          </w:p>
        </w:tc>
      </w:tr>
      <w:tr w:rsidR="00BD671F" w14:paraId="731CFAF7" w14:textId="77777777">
        <w:tc>
          <w:tcPr>
            <w:tcW w:w="2551"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A390A21" w14:textId="77777777" w:rsidR="00BD671F" w:rsidRDefault="00000000">
            <w:r>
              <w:rPr>
                <w:rFonts w:ascii="Arial" w:hAnsi="Arial"/>
                <w:sz w:val="20"/>
              </w:rPr>
              <w:t>logP in [−2, 6]</w:t>
            </w:r>
          </w:p>
        </w:tc>
        <w:tc>
          <w:tcPr>
            <w:tcW w:w="226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946509B" w14:textId="77777777" w:rsidR="00BD671F" w:rsidRDefault="00000000">
            <w:r>
              <w:rPr>
                <w:rFonts w:ascii="Arial" w:hAnsi="Arial"/>
                <w:sz w:val="20"/>
              </w:rPr>
              <w:t>31 / 50 (62%)</w:t>
            </w:r>
          </w:p>
        </w:tc>
        <w:tc>
          <w:tcPr>
            <w:tcW w:w="425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98F2220" w14:textId="77777777" w:rsidR="00BD671F" w:rsidRDefault="00000000">
            <w:r>
              <w:rPr>
                <w:rFonts w:ascii="Arial" w:hAnsi="Arial"/>
                <w:sz w:val="20"/>
              </w:rPr>
              <w:t>Most have acceptable lipophilicity range</w:t>
            </w:r>
          </w:p>
        </w:tc>
      </w:tr>
      <w:tr w:rsidR="00BD671F" w14:paraId="6704197D" w14:textId="77777777">
        <w:tc>
          <w:tcPr>
            <w:tcW w:w="25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9D4D1AA" w14:textId="77777777" w:rsidR="00BD671F" w:rsidRDefault="00000000">
            <w:r>
              <w:rPr>
                <w:rFonts w:ascii="Arial" w:hAnsi="Arial"/>
                <w:sz w:val="20"/>
              </w:rPr>
              <w:t>eNTRy pass rate: top 50 vs rest</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47C2B05" w14:textId="77777777" w:rsidR="00BD671F" w:rsidRDefault="00000000">
            <w:r>
              <w:rPr>
                <w:rFonts w:ascii="Arial" w:hAnsi="Arial"/>
                <w:sz w:val="20"/>
              </w:rPr>
              <w:t>4.0% vs 1.0%</w:t>
            </w:r>
          </w:p>
        </w:tc>
        <w:tc>
          <w:tcPr>
            <w:tcW w:w="4252"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A8B2481" w14:textId="77777777" w:rsidR="00BD671F" w:rsidRDefault="00000000">
            <w:r>
              <w:rPr>
                <w:rFonts w:ascii="Arial" w:hAnsi="Arial"/>
                <w:sz w:val="20"/>
              </w:rPr>
              <w:t>4× enrichment — model does push eNTRy-compatible compounds higher</w:t>
            </w:r>
          </w:p>
        </w:tc>
      </w:tr>
    </w:tbl>
    <w:p w14:paraId="2352CC32" w14:textId="77777777" w:rsidR="00BD671F" w:rsidRDefault="00BD671F">
      <w:pPr>
        <w:spacing w:after="80"/>
      </w:pPr>
    </w:p>
    <w:p w14:paraId="3A705056" w14:textId="77777777" w:rsidR="00BD671F" w:rsidRDefault="00000000">
      <w:pPr>
        <w:spacing w:after="120"/>
      </w:pPr>
      <w:r>
        <w:rPr>
          <w:rFonts w:ascii="Arial" w:hAnsi="Arial"/>
          <w:sz w:val="21"/>
        </w:rPr>
        <w:t>Critically, neither of the two priority candidates (rank 27 and 32) are true actives — both are false positives. Furthermore, none of the 15 confirmed actives in the top 50 pass the strict eNTRy rules. This is the most important finding of the extension: the compounds the model identifies as active operate through mechanisms other than Hergenrother-style passive accumulation.</w:t>
      </w:r>
    </w:p>
    <w:p w14:paraId="01C6D999" w14:textId="77777777" w:rsidR="00BD671F" w:rsidRDefault="00000000">
      <w:pPr>
        <w:spacing w:after="120"/>
      </w:pPr>
      <w:r>
        <w:rPr>
          <w:rFonts w:ascii="Arial" w:hAnsi="Arial"/>
          <w:sz w:val="21"/>
        </w:rPr>
        <w:t>The two priority candidates are anthracycline-like structures (TPSA ~185-206 Å², logP ~0.4-1.5, globularity ~0.08) that pass eNTRy shape-wise but have high TPSA values raising an additional permeability concern.</w:t>
      </w:r>
    </w:p>
    <w:p w14:paraId="44967AB4" w14:textId="77777777" w:rsidR="00BD671F" w:rsidRDefault="00000000">
      <w:pPr>
        <w:spacing w:before="120" w:after="80"/>
        <w:jc w:val="center"/>
      </w:pPr>
      <w:r>
        <w:rPr>
          <w:noProof/>
        </w:rPr>
        <w:drawing>
          <wp:inline distT="0" distB="0" distL="0" distR="0" wp14:anchorId="498C160A" wp14:editId="1E366629">
            <wp:extent cx="5760720" cy="22156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y_filter_top50.png"/>
                    <pic:cNvPicPr/>
                  </pic:nvPicPr>
                  <pic:blipFill>
                    <a:blip r:embed="rId10"/>
                    <a:stretch>
                      <a:fillRect/>
                    </a:stretch>
                  </pic:blipFill>
                  <pic:spPr>
                    <a:xfrm>
                      <a:off x="0" y="0"/>
                      <a:ext cx="5760720" cy="2215662"/>
                    </a:xfrm>
                    <a:prstGeom prst="rect">
                      <a:avLst/>
                    </a:prstGeom>
                  </pic:spPr>
                </pic:pic>
              </a:graphicData>
            </a:graphic>
          </wp:inline>
        </w:drawing>
      </w:r>
    </w:p>
    <w:p w14:paraId="5BEE271B" w14:textId="77777777" w:rsidR="00BD671F" w:rsidRDefault="00000000">
      <w:pPr>
        <w:jc w:val="center"/>
      </w:pPr>
      <w:r>
        <w:rPr>
          <w:rFonts w:ascii="Arial" w:hAnsi="Arial"/>
          <w:i/>
          <w:color w:val="595959"/>
          <w:sz w:val="19"/>
        </w:rPr>
        <w:t>Figure 5. Left: Score distribution coloured by eNTRy status — compounds passing eNTRy (orange) are rare across all score ranges. Right: logP vs TPSA for top-50 predictions (★ = true active, red = passes eNTRy). True actives span a wide physicochemical space with no clustering in the eNTRy-favourable region.</w:t>
      </w:r>
    </w:p>
    <w:p w14:paraId="5A5F0DE0" w14:textId="77777777" w:rsidR="00BD671F" w:rsidRDefault="00000000">
      <w:pPr>
        <w:spacing w:before="120" w:after="80"/>
        <w:jc w:val="center"/>
      </w:pPr>
      <w:r>
        <w:rPr>
          <w:noProof/>
        </w:rPr>
        <w:lastRenderedPageBreak/>
        <w:drawing>
          <wp:inline distT="0" distB="0" distL="0" distR="0" wp14:anchorId="27F9F548" wp14:editId="3B43A273">
            <wp:extent cx="50292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ulative_precision_entry.png"/>
                    <pic:cNvPicPr/>
                  </pic:nvPicPr>
                  <pic:blipFill>
                    <a:blip r:embed="rId11"/>
                    <a:stretch>
                      <a:fillRect/>
                    </a:stretch>
                  </pic:blipFill>
                  <pic:spPr>
                    <a:xfrm>
                      <a:off x="0" y="0"/>
                      <a:ext cx="5029200" cy="3143250"/>
                    </a:xfrm>
                    <a:prstGeom prst="rect">
                      <a:avLst/>
                    </a:prstGeom>
                  </pic:spPr>
                </pic:pic>
              </a:graphicData>
            </a:graphic>
          </wp:inline>
        </w:drawing>
      </w:r>
    </w:p>
    <w:p w14:paraId="0BA426C4" w14:textId="77777777" w:rsidR="00BD671F" w:rsidRDefault="00000000">
      <w:pPr>
        <w:jc w:val="center"/>
      </w:pPr>
      <w:r>
        <w:rPr>
          <w:rFonts w:ascii="Arial" w:hAnsi="Arial"/>
          <w:i/>
          <w:color w:val="595959"/>
          <w:sz w:val="19"/>
        </w:rPr>
        <w:t>Figure 6. Cumulative precision (red) declines from 1.0 at rank 1 to 0.30 at rank 50, still far above the 4.3% dataset baseline. Cumulative eNTRy pass rate (blue dashed) remains near zero throughout, confirming that the model's top predictions are driven by structural, not permeation-based, features.</w:t>
      </w:r>
    </w:p>
    <w:p>
      <w:pPr>
        <w:spacing w:before="280" w:after="80"/>
        <w:pBdr>
          <w:bottom w:val="single" w:sz="6" w:space="1" w:color="2E75B6"/>
        </w:pBdr>
      </w:pPr>
      <w:r>
        <w:rPr>
          <w:rFonts w:ascii="Arial" w:hAnsi="Arial"/>
          <w:b/>
          <w:i w:val="0"/>
          <w:color w:val="2E75B6"/>
          <w:sz w:val="28"/>
        </w:rPr>
        <w:t>9. Step 5 (6D) — Structural Novelty Analysis</w:t>
      </w:r>
    </w:p>
    <w:p>
      <w:pPr>
        <w:spacing w:before="200" w:after="60"/>
      </w:pPr>
      <w:r>
        <w:rPr>
          <w:rFonts w:ascii="Arial" w:hAnsi="Arial"/>
          <w:b/>
          <w:i w:val="0"/>
          <w:color w:val="1F4E79"/>
          <w:sz w:val="24"/>
        </w:rPr>
        <w:t>9.1 Approach</w:t>
      </w:r>
    </w:p>
    <w:p>
      <w:pPr>
        <w:spacing w:after="120"/>
      </w:pPr>
      <w:r>
        <w:rPr>
          <w:rFonts w:ascii="Arial" w:hAnsi="Arial"/>
          <w:b w:val="0"/>
          <w:i w:val="0"/>
          <w:sz w:val="21"/>
        </w:rPr>
        <w:t>Tanimoto similarity (Morgan fingerprints, radius=2, 2048 bits) was computed between each of the top 50 model predictions and a reference panel of 19 known antibiotics covering all major classes: beta-lactams (Ampicillin, Amoxicillin, Piperacillin, Meropenem), fluoroquinolones (Ciprofloxacin, Levofloxacin, Norfloxacin), macrolides (Erythromycin, Azithromycin), aminoglycosides (Gentamicin, Streptomycin), glycopeptides (Vancomycin), sulfonamides (Trimethoprim, Sulfamethoxazole), polymyxins (Colistin), and others (Chloramphenicol, Rifampicin, Linezolid, Halicin). Tetracycline and Doxycycline were excluded due to SMILES parsing failures from complex stereochemistry.</w:t>
      </w:r>
    </w:p>
    <w:p>
      <w:pPr>
        <w:spacing w:after="120"/>
      </w:pPr>
      <w:r>
        <w:rPr>
          <w:rFonts w:ascii="Arial" w:hAnsi="Arial"/>
          <w:b w:val="0"/>
          <w:i w:val="0"/>
          <w:sz w:val="21"/>
        </w:rPr>
        <w:t>Each compound was classified based on its maximum Tanimoto similarity to any reference antibiotic:</w:t>
      </w:r>
    </w:p>
    <w:tbl>
      <w:tblPr>
        <w:tblStyle w:val="TableGrid"/>
        <w:tblW w:type="auto" w:w="0"/>
        <w:jc w:val="left"/>
        <w:tblLook w:firstColumn="1" w:firstRow="1" w:lastColumn="0" w:lastRow="0" w:noHBand="0" w:noVBand="1" w:val="04A0"/>
      </w:tblPr>
      <w:tblGrid>
        <w:gridCol w:w="3120"/>
        <w:gridCol w:w="3120"/>
        <w:gridCol w:w="3120"/>
      </w:tblGrid>
      <w:tr>
        <w:tc>
          <w:tcPr>
            <w:tcW w:type="dxa" w:w="2268"/>
            <w:shd w:val="clear" w:color="auto" w:fill="2E75B6"/>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i w:val="0"/>
                <w:color w:val="FFFFFF"/>
                <w:sz w:val="20"/>
              </w:rPr>
              <w:t>Category</w:t>
            </w:r>
          </w:p>
        </w:tc>
        <w:tc>
          <w:tcPr>
            <w:tcW w:type="dxa" w:w="2551"/>
            <w:shd w:val="clear" w:color="auto" w:fill="2E75B6"/>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i w:val="0"/>
                <w:color w:val="FFFFFF"/>
                <w:sz w:val="20"/>
              </w:rPr>
              <w:t>Threshold</w:t>
            </w:r>
          </w:p>
        </w:tc>
        <w:tc>
          <w:tcPr>
            <w:tcW w:type="dxa" w:w="4252"/>
            <w:shd w:val="clear" w:color="auto" w:fill="2E75B6"/>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i w:val="0"/>
                <w:color w:val="FFFFFF"/>
                <w:sz w:val="20"/>
              </w:rPr>
              <w:t>Meaning</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Structurally novel</w:t>
            </w:r>
          </w:p>
        </w:tc>
        <w:tc>
          <w:tcPr>
            <w:tcW w:type="dxa" w:w="2551"/>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Max Tanimoto &lt; 0.40</w:t>
            </w:r>
          </w:p>
        </w:tc>
        <w:tc>
          <w:tcPr>
            <w:tcW w:type="dxa" w:w="4252"/>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Distinct scaffold from all known antibiotics</w:t>
            </w:r>
          </w:p>
        </w:tc>
      </w:tr>
      <w:tr>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Related scaffold</w:t>
            </w:r>
          </w:p>
        </w:tc>
        <w:tc>
          <w:tcPr>
            <w:tcW w:type="dxa" w:w="2551"/>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0.40 ≤ Tanimoto &lt; 0.70</w:t>
            </w:r>
          </w:p>
        </w:tc>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Same chemical class territory, not identical</w:t>
            </w:r>
          </w:p>
        </w:tc>
      </w:tr>
      <w:tr>
        <w:tc>
          <w:tcPr>
            <w:tcW w:type="dxa" w:w="2268"/>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Likely rediscovery</w:t>
            </w:r>
          </w:p>
        </w:tc>
        <w:tc>
          <w:tcPr>
            <w:tcW w:type="dxa" w:w="2551"/>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Max Tanimoto ≥ 0.70</w:t>
            </w:r>
          </w:p>
        </w:tc>
        <w:tc>
          <w:tcPr>
            <w:tcW w:type="dxa" w:w="4252"/>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High similarity — likely a known antibiotic</w:t>
            </w:r>
          </w:p>
        </w:tc>
      </w:tr>
    </w:tbl>
    <w:p>
      <w:pPr>
        <w:spacing w:after="80"/>
      </w:pPr>
    </w:p>
    <w:p>
      <w:pPr>
        <w:spacing w:before="200" w:after="60"/>
      </w:pPr>
      <w:r>
        <w:rPr>
          <w:rFonts w:ascii="Arial" w:hAnsi="Arial"/>
          <w:b/>
          <w:i w:val="0"/>
          <w:color w:val="1F4E79"/>
          <w:sz w:val="24"/>
        </w:rPr>
        <w:t>9.2 Results</w:t>
      </w:r>
    </w:p>
    <w:tbl>
      <w:tblPr>
        <w:tblStyle w:val="TableGrid"/>
        <w:tblW w:type="auto" w:w="0"/>
        <w:jc w:val="left"/>
        <w:tblLook w:firstColumn="1" w:firstRow="1" w:lastColumn="0" w:lastRow="0" w:noHBand="0" w:noVBand="1" w:val="04A0"/>
      </w:tblPr>
      <w:tblGrid>
        <w:gridCol w:w="3120"/>
        <w:gridCol w:w="3120"/>
        <w:gridCol w:w="3120"/>
      </w:tblGrid>
      <w:tr>
        <w:tc>
          <w:tcPr>
            <w:tcW w:type="dxa" w:w="2835"/>
            <w:shd w:val="clear" w:color="auto" w:fill="2E75B6"/>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i w:val="0"/>
                <w:color w:val="FFFFFF"/>
                <w:sz w:val="20"/>
              </w:rPr>
              <w:t>Category</w:t>
            </w:r>
          </w:p>
        </w:tc>
        <w:tc>
          <w:tcPr>
            <w:tcW w:type="dxa" w:w="2268"/>
            <w:shd w:val="clear" w:color="auto" w:fill="2E75B6"/>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i w:val="0"/>
                <w:color w:val="FFFFFF"/>
                <w:sz w:val="20"/>
              </w:rPr>
              <w:t>Count (of top 50)</w:t>
            </w:r>
          </w:p>
        </w:tc>
        <w:tc>
          <w:tcPr>
            <w:tcW w:type="dxa" w:w="3969"/>
            <w:shd w:val="clear" w:color="auto" w:fill="2E75B6"/>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i w:val="0"/>
                <w:color w:val="FFFFFF"/>
                <w:sz w:val="20"/>
              </w:rPr>
              <w:t>True Actives in Category</w:t>
            </w:r>
          </w:p>
        </w:tc>
      </w:tr>
      <w:tr>
        <w:tc>
          <w:tcPr>
            <w:tcW w:type="dxa" w:w="2835"/>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Structurally novel</w:t>
            </w:r>
          </w:p>
        </w:tc>
        <w:tc>
          <w:tcPr>
            <w:tcW w:type="dxa" w:w="2268"/>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43 (86%)</w:t>
            </w:r>
          </w:p>
        </w:tc>
        <w:tc>
          <w:tcPr>
            <w:tcW w:type="dxa" w:w="3969"/>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11</w:t>
            </w:r>
          </w:p>
        </w:tc>
      </w:tr>
      <w:tr>
        <w:tc>
          <w:tcPr>
            <w:tcW w:type="dxa" w:w="2835"/>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Related scaffold</w:t>
            </w:r>
          </w:p>
        </w:tc>
        <w:tc>
          <w:tcPr>
            <w:tcW w:type="dxa" w:w="2268"/>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7 (14%)</w:t>
            </w:r>
          </w:p>
        </w:tc>
        <w:tc>
          <w:tcPr>
            <w:tcW w:type="dxa" w:w="3969"/>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4</w:t>
            </w:r>
          </w:p>
        </w:tc>
      </w:tr>
      <w:tr>
        <w:tc>
          <w:tcPr>
            <w:tcW w:type="dxa" w:w="2835"/>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Likely rediscovery</w:t>
            </w:r>
          </w:p>
        </w:tc>
        <w:tc>
          <w:tcPr>
            <w:tcW w:type="dxa" w:w="2268"/>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 (0%)</w:t>
            </w:r>
          </w:p>
        </w:tc>
        <w:tc>
          <w:tcPr>
            <w:tcW w:type="dxa" w:w="3969"/>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w:t>
            </w:r>
          </w:p>
        </w:tc>
      </w:tr>
    </w:tbl>
    <w:p>
      <w:pPr>
        <w:spacing w:after="80"/>
      </w:pPr>
    </w:p>
    <w:p>
      <w:pPr>
        <w:spacing w:after="120"/>
      </w:pPr>
      <w:r>
        <w:rPr>
          <w:rFonts w:ascii="Arial" w:hAnsi="Arial"/>
          <w:b w:val="0"/>
          <w:i w:val="0"/>
          <w:sz w:val="21"/>
        </w:rPr>
        <w:t>No predicted compound shows Tanimoto similarity ≥ 0.70 to any known antibiotic — zero likely rediscoveries across the top 50. 86% are structurally novel by the scaffold-level threshold. 11 of the 15 confirmed actives in the top 50 are structurally novel, with maximum Tanimoto similarities ranging from 0.13 to 0.29.</w:t>
      </w:r>
    </w:p>
    <w:p>
      <w:pPr>
        <w:spacing w:before="200" w:after="60"/>
      </w:pPr>
      <w:r>
        <w:rPr>
          <w:rFonts w:ascii="Arial" w:hAnsi="Arial"/>
          <w:b/>
          <w:i w:val="0"/>
          <w:color w:val="1F4E79"/>
          <w:sz w:val="24"/>
        </w:rPr>
        <w:t>9.3 Structurally Novel True Actives</w:t>
      </w:r>
    </w:p>
    <w:p>
      <w:pPr>
        <w:spacing w:after="120"/>
      </w:pPr>
      <w:r>
        <w:rPr>
          <w:rFonts w:ascii="Arial" w:hAnsi="Arial"/>
          <w:b w:val="0"/>
          <w:i w:val="0"/>
          <w:sz w:val="21"/>
        </w:rPr>
        <w:t>11 confirmed active compounds are structurally distinct from all 19 reference antibiotics: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680"/>
            <w:shd w:val="clear" w:color="auto" w:fill="2E75B6"/>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i w:val="0"/>
                <w:color w:val="FFFFFF"/>
                <w:sz w:val="20"/>
              </w:rPr>
              <w:t>Rank</w:t>
            </w:r>
          </w:p>
        </w:tc>
        <w:tc>
          <w:tcPr>
            <w:tcW w:type="dxa" w:w="1304"/>
            <w:shd w:val="clear" w:color="auto" w:fill="2E75B6"/>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i w:val="0"/>
                <w:color w:val="FFFFFF"/>
                <w:sz w:val="20"/>
              </w:rPr>
              <w:t>Pred. Prob</w:t>
            </w:r>
          </w:p>
        </w:tc>
        <w:tc>
          <w:tcPr>
            <w:tcW w:type="dxa" w:w="1304"/>
            <w:shd w:val="clear" w:color="auto" w:fill="2E75B6"/>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i w:val="0"/>
                <w:color w:val="FFFFFF"/>
                <w:sz w:val="20"/>
              </w:rPr>
              <w:t>Max Sim</w:t>
            </w:r>
          </w:p>
        </w:tc>
        <w:tc>
          <w:tcPr>
            <w:tcW w:type="dxa" w:w="1984"/>
            <w:shd w:val="clear" w:color="auto" w:fill="2E75B6"/>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i w:val="0"/>
                <w:color w:val="FFFFFF"/>
                <w:sz w:val="20"/>
              </w:rPr>
              <w:t>Most Similar To</w:t>
            </w:r>
          </w:p>
        </w:tc>
        <w:tc>
          <w:tcPr>
            <w:tcW w:type="dxa" w:w="3798"/>
            <w:shd w:val="clear" w:color="auto" w:fill="2E75B6"/>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i w:val="0"/>
                <w:color w:val="FFFFFF"/>
                <w:sz w:val="20"/>
              </w:rPr>
              <w:t>Note</w:t>
            </w:r>
          </w:p>
        </w:tc>
      </w:tr>
      <w:tr>
        <w:tc>
          <w:tcPr>
            <w:tcW w:type="dxa" w:w="680"/>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1</w:t>
            </w:r>
          </w:p>
        </w:tc>
        <w:tc>
          <w:tcPr>
            <w:tcW w:type="dxa" w:w="130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0.999</w:t>
            </w:r>
          </w:p>
        </w:tc>
        <w:tc>
          <w:tcPr>
            <w:tcW w:type="dxa" w:w="130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0.196</w:t>
            </w:r>
          </w:p>
        </w:tc>
        <w:tc>
          <w:tcPr>
            <w:tcW w:type="dxa" w:w="198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Ampicillin</w:t>
            </w:r>
          </w:p>
        </w:tc>
        <w:tc>
          <w:tcPr>
            <w:tcW w:type="dxa" w:w="3798"/>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Cephem core with novel aminothiazole sidechain</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3</w:t>
            </w:r>
          </w:p>
        </w:tc>
        <w:tc>
          <w:tcPr>
            <w:tcW w:type="dxa" w:w="130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0.998</w:t>
            </w:r>
          </w:p>
        </w:tc>
        <w:tc>
          <w:tcPr>
            <w:tcW w:type="dxa" w:w="130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0.159</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Ampicillin</w:t>
            </w:r>
          </w:p>
        </w:tc>
        <w:tc>
          <w:tcPr>
            <w:tcW w:type="dxa" w:w="3798"/>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Lowest similarity in top 10 — most structurally novel</w:t>
            </w:r>
          </w:p>
        </w:tc>
      </w:tr>
      <w:tr>
        <w:tc>
          <w:tcPr>
            <w:tcW w:type="dxa" w:w="680"/>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4</w:t>
            </w:r>
          </w:p>
        </w:tc>
        <w:tc>
          <w:tcPr>
            <w:tcW w:type="dxa" w:w="130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0.986</w:t>
            </w:r>
          </w:p>
        </w:tc>
        <w:tc>
          <w:tcPr>
            <w:tcW w:type="dxa" w:w="130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0.173</w:t>
            </w:r>
          </w:p>
        </w:tc>
        <w:tc>
          <w:tcPr>
            <w:tcW w:type="dxa" w:w="198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Amoxicillin</w:t>
            </w:r>
          </w:p>
        </w:tc>
        <w:tc>
          <w:tcPr>
            <w:tcW w:type="dxa" w:w="3798"/>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Pivaloyloxymethyl ester prodrug motif; novel cephalosporin</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6</w:t>
            </w:r>
          </w:p>
        </w:tc>
        <w:tc>
          <w:tcPr>
            <w:tcW w:type="dxa" w:w="130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0.985</w:t>
            </w:r>
          </w:p>
        </w:tc>
        <w:tc>
          <w:tcPr>
            <w:tcW w:type="dxa" w:w="130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0.291</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Ampicillin</w:t>
            </w:r>
          </w:p>
        </w:tc>
        <w:tc>
          <w:tcPr>
            <w:tcW w:type="dxa" w:w="3798"/>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Tetrazolethio-cephem sodium salt</w:t>
            </w:r>
          </w:p>
        </w:tc>
      </w:tr>
      <w:tr>
        <w:tc>
          <w:tcPr>
            <w:tcW w:type="dxa" w:w="680"/>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8</w:t>
            </w:r>
          </w:p>
        </w:tc>
        <w:tc>
          <w:tcPr>
            <w:tcW w:type="dxa" w:w="130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0.958</w:t>
            </w:r>
          </w:p>
        </w:tc>
        <w:tc>
          <w:tcPr>
            <w:tcW w:type="dxa" w:w="130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0.270</w:t>
            </w:r>
          </w:p>
        </w:tc>
        <w:tc>
          <w:tcPr>
            <w:tcW w:type="dxa" w:w="198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Amoxicillin</w:t>
            </w:r>
          </w:p>
        </w:tc>
        <w:tc>
          <w:tcPr>
            <w:tcW w:type="dxa" w:w="3798"/>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Phenolic acyl sidechain; structurally unusual beta-lactam</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9</w:t>
            </w:r>
          </w:p>
        </w:tc>
        <w:tc>
          <w:tcPr>
            <w:tcW w:type="dxa" w:w="130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0.950</w:t>
            </w:r>
          </w:p>
        </w:tc>
        <w:tc>
          <w:tcPr>
            <w:tcW w:type="dxa" w:w="130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0.126</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Ampicillin</w:t>
            </w:r>
          </w:p>
        </w:tc>
        <w:tc>
          <w:tcPr>
            <w:tcW w:type="dxa" w:w="3798"/>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Lowest similarity in the entire top 50</w:t>
            </w:r>
          </w:p>
        </w:tc>
      </w:tr>
      <w:tr>
        <w:tc>
          <w:tcPr>
            <w:tcW w:type="dxa" w:w="680"/>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11</w:t>
            </w:r>
          </w:p>
        </w:tc>
        <w:tc>
          <w:tcPr>
            <w:tcW w:type="dxa" w:w="130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0.905</w:t>
            </w:r>
          </w:p>
        </w:tc>
        <w:tc>
          <w:tcPr>
            <w:tcW w:type="dxa" w:w="130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0.261</w:t>
            </w:r>
          </w:p>
        </w:tc>
        <w:tc>
          <w:tcPr>
            <w:tcW w:type="dxa" w:w="198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Ampicillin</w:t>
            </w:r>
          </w:p>
        </w:tc>
        <w:tc>
          <w:tcPr>
            <w:tcW w:type="dxa" w:w="3798"/>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Sulfonylmethyl-tetrazole cephem</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15</w:t>
            </w:r>
          </w:p>
        </w:tc>
        <w:tc>
          <w:tcPr>
            <w:tcW w:type="dxa" w:w="130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0.834</w:t>
            </w:r>
          </w:p>
        </w:tc>
        <w:tc>
          <w:tcPr>
            <w:tcW w:type="dxa" w:w="130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0.214</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Ampicillin</w:t>
            </w:r>
          </w:p>
        </w:tc>
        <w:tc>
          <w:tcPr>
            <w:tcW w:type="dxa" w:w="3798"/>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Aminothiazole vinyl cephem; unsaturated side chain</w:t>
            </w:r>
          </w:p>
        </w:tc>
      </w:tr>
      <w:tr>
        <w:tc>
          <w:tcPr>
            <w:tcW w:type="dxa" w:w="680"/>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18</w:t>
            </w:r>
          </w:p>
        </w:tc>
        <w:tc>
          <w:tcPr>
            <w:tcW w:type="dxa" w:w="130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0.584</w:t>
            </w:r>
          </w:p>
        </w:tc>
        <w:tc>
          <w:tcPr>
            <w:tcW w:type="dxa" w:w="130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0.220</w:t>
            </w:r>
          </w:p>
        </w:tc>
        <w:tc>
          <w:tcPr>
            <w:tcW w:type="dxa" w:w="198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Ampicillin</w:t>
            </w:r>
          </w:p>
        </w:tc>
        <w:tc>
          <w:tcPr>
            <w:tcW w:type="dxa" w:w="3798"/>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Benzylamine-derived cephem</w:t>
            </w:r>
          </w:p>
        </w:tc>
      </w:tr>
      <w:tr>
        <w:tc>
          <w:tcPr>
            <w:tcW w:type="dxa" w:w="680"/>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29</w:t>
            </w:r>
          </w:p>
        </w:tc>
        <w:tc>
          <w:tcPr>
            <w:tcW w:type="dxa" w:w="130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0.170</w:t>
            </w:r>
          </w:p>
        </w:tc>
        <w:tc>
          <w:tcPr>
            <w:tcW w:type="dxa" w:w="130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0.227</w:t>
            </w:r>
          </w:p>
        </w:tc>
        <w:tc>
          <w:tcPr>
            <w:tcW w:type="dxa" w:w="1984"/>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Rifampicin</w:t>
            </w:r>
          </w:p>
        </w:tc>
        <w:tc>
          <w:tcPr>
            <w:tcW w:type="dxa" w:w="3798"/>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Rifamycin-adjacent but structurally distinct</w:t>
            </w:r>
          </w:p>
        </w:tc>
      </w:tr>
      <w:tr>
        <w:tc>
          <w:tcPr>
            <w:tcW w:type="dxa" w:w="680"/>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36</w:t>
            </w:r>
          </w:p>
        </w:tc>
        <w:tc>
          <w:tcPr>
            <w:tcW w:type="dxa" w:w="130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0.075</w:t>
            </w:r>
          </w:p>
        </w:tc>
        <w:tc>
          <w:tcPr>
            <w:tcW w:type="dxa" w:w="130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0.281</w:t>
            </w:r>
          </w:p>
        </w:tc>
        <w:tc>
          <w:tcPr>
            <w:tcW w:type="dxa" w:w="1984"/>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Erythromycin</w:t>
            </w:r>
          </w:p>
        </w:tc>
        <w:tc>
          <w:tcPr>
            <w:tcW w:type="dxa" w:w="3798"/>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Macrolide-adjacent; lower confidence prediction</w:t>
            </w:r>
          </w:p>
        </w:tc>
      </w:tr>
    </w:tbl>
    <w:p>
      <w:pPr>
        <w:spacing w:after="80"/>
      </w:pPr>
    </w:p>
    <w:p>
      <w:pPr>
        <w:spacing w:after="120"/>
      </w:pPr>
      <w:r>
        <w:rPr>
          <w:rFonts w:ascii="Arial" w:hAnsi="Arial"/>
          <w:b w:val="0"/>
          <w:i w:val="0"/>
          <w:sz w:val="21"/>
        </w:rPr>
        <w:t>Most novel actives share a beta-lactam/cephem core with highly unusual side chains (tetrazoles, oxadiazoles, aminothiazoles, sulfonylmethyl groups). Tanimoto similarities to known beta-lactams range from 0.13 to 0.29, placing them firmly in the structurally novel category by drug discovery standards. Rank 9 (sim = 0.126) and Rank 3 (sim = 0.159) are the most structurally distant from any known antibiotic while remaining confirmed active compounds.</w:t>
      </w:r>
    </w:p>
    <w:p>
      <w:pPr>
        <w:spacing w:before="120" w:after="80"/>
        <w:jc w:val="center"/>
      </w:pPr>
      <w:r>
        <w:drawing>
          <wp:inline xmlns:a="http://schemas.openxmlformats.org/drawingml/2006/main" xmlns:pic="http://schemas.openxmlformats.org/drawingml/2006/picture">
            <wp:extent cx="5760720" cy="2215662"/>
            <wp:docPr id="7" name="Picture 7"/>
            <wp:cNvGraphicFramePr>
              <a:graphicFrameLocks noChangeAspect="1"/>
            </wp:cNvGraphicFramePr>
            <a:graphic>
              <a:graphicData uri="http://schemas.openxmlformats.org/drawingml/2006/picture">
                <pic:pic>
                  <pic:nvPicPr>
                    <pic:cNvPr id="0" name="tanimoto_novelty_top50.png"/>
                    <pic:cNvPicPr/>
                  </pic:nvPicPr>
                  <pic:blipFill>
                    <a:blip r:embed="rId14"/>
                    <a:stretch>
                      <a:fillRect/>
                    </a:stretch>
                  </pic:blipFill>
                  <pic:spPr>
                    <a:xfrm>
                      <a:off x="0" y="0"/>
                      <a:ext cx="5760720" cy="2215662"/>
                    </a:xfrm>
                    <a:prstGeom prst="rect"/>
                  </pic:spPr>
                </pic:pic>
              </a:graphicData>
            </a:graphic>
          </wp:inline>
        </w:drawing>
      </w:r>
    </w:p>
    <w:p>
      <w:pPr>
        <w:spacing w:after="200"/>
        <w:jc w:val="center"/>
      </w:pPr>
      <w:r>
        <w:rPr>
          <w:rFonts w:ascii="Arial" w:hAnsi="Arial"/>
          <w:b w:val="0"/>
          <w:i/>
          <w:color w:val="595959"/>
          <w:sz w:val="19"/>
        </w:rPr>
        <w:t>Figure 7. Left: Distribution of maximum Tanimoto similarity for top-50 predictions (green = structurally novel, orange = related scaffold). Most cluster well below 0.40. Right: Tanimoto vs rank (★ = true active). Novel true actives concentrate in the highest-ranked positions.</w:t>
      </w:r>
    </w:p>
    <w:p>
      <w:pPr>
        <w:spacing w:before="120" w:after="80"/>
        <w:jc w:val="center"/>
      </w:pPr>
      <w:r>
        <w:drawing>
          <wp:inline xmlns:a="http://schemas.openxmlformats.org/drawingml/2006/main" xmlns:pic="http://schemas.openxmlformats.org/drawingml/2006/picture">
            <wp:extent cx="5760720" cy="3087913"/>
            <wp:docPr id="8" name="Picture 8"/>
            <wp:cNvGraphicFramePr>
              <a:graphicFrameLocks noChangeAspect="1"/>
            </wp:cNvGraphicFramePr>
            <a:graphic>
              <a:graphicData uri="http://schemas.openxmlformats.org/drawingml/2006/picture">
                <pic:pic>
                  <pic:nvPicPr>
                    <pic:cNvPr id="0" name="tanimoto_heatmap_top20.png"/>
                    <pic:cNvPicPr/>
                  </pic:nvPicPr>
                  <pic:blipFill>
                    <a:blip r:embed="rId15"/>
                    <a:stretch>
                      <a:fillRect/>
                    </a:stretch>
                  </pic:blipFill>
                  <pic:spPr>
                    <a:xfrm>
                      <a:off x="0" y="0"/>
                      <a:ext cx="5760720" cy="3087913"/>
                    </a:xfrm>
                    <a:prstGeom prst="rect"/>
                  </pic:spPr>
                </pic:pic>
              </a:graphicData>
            </a:graphic>
          </wp:inline>
        </w:drawing>
      </w:r>
    </w:p>
    <w:p>
      <w:pPr>
        <w:spacing w:after="200"/>
        <w:jc w:val="center"/>
      </w:pPr>
      <w:r>
        <w:rPr>
          <w:rFonts w:ascii="Arial" w:hAnsi="Arial"/>
          <w:b w:val="0"/>
          <w:i/>
          <w:color w:val="595959"/>
          <w:sz w:val="19"/>
        </w:rPr>
        <w:t>Figure 8. Tanimoto similarity heatmap: top 20 predictions vs 19 reference antibiotics. Green left strip = structurally novel, orange = related scaffold. Most cells are pale yellow (low similarity), confirming broad structural novelty across the top predictions.</w:t>
      </w:r>
    </w:p>
    <w:p>
      <w:pPr>
        <w:spacing w:after="80"/>
      </w:pPr>
    </w:p>
    <w:p w14:paraId="336FDF42" w14:textId="77777777" w:rsidR="00BD671F" w:rsidRDefault="00000000">
      <w:pPr>
        <w:pBdr>
          <w:bottom w:val="single" w:sz="6" w:space="1" w:color="2E75B6"/>
        </w:pBdr>
        <w:spacing w:before="280" w:after="80"/>
      </w:pPr>
      <w:r>
        <w:rPr>
          <w:rFonts w:ascii="Arial" w:hAnsi="Arial"/>
          <w:b/>
          <w:color w:val="2E75B6"/>
          <w:sz w:val="28"/>
        </w:rPr>
        <w:t>10. Summary of All Findings</w:t>
      </w:r>
    </w:p>
    <w:tbl>
      <w:tblPr>
        <w:tblStyle w:val="TableGrid"/>
        <w:tblW w:w="0" w:type="auto"/>
        <w:tblLook w:val="04A0" w:firstRow="1" w:lastRow="0" w:firstColumn="1" w:lastColumn="0" w:noHBand="0" w:noVBand="1"/>
      </w:tblPr>
      <w:tblGrid>
        <w:gridCol w:w="3118"/>
        <w:gridCol w:w="5953"/>
      </w:tblGrid>
      <w:tr w:rsidR="00BD671F" w14:paraId="57A49B25" w14:textId="77777777">
        <w:tc>
          <w:tcPr>
            <w:tcW w:w="3118"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65D4A757" w14:textId="77777777" w:rsidR="00BD671F" w:rsidRDefault="00000000">
            <w:r>
              <w:rPr>
                <w:rFonts w:ascii="Arial" w:hAnsi="Arial"/>
                <w:b/>
                <w:color w:val="FFFFFF"/>
                <w:sz w:val="20"/>
              </w:rPr>
              <w:t>Research Question</w:t>
            </w:r>
          </w:p>
        </w:tc>
        <w:tc>
          <w:tcPr>
            <w:tcW w:w="5953"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2A248F92" w14:textId="77777777" w:rsidR="00BD671F" w:rsidRDefault="00000000">
            <w:r>
              <w:rPr>
                <w:rFonts w:ascii="Arial" w:hAnsi="Arial"/>
                <w:b/>
                <w:color w:val="FFFFFF"/>
                <w:sz w:val="20"/>
              </w:rPr>
              <w:t>Finding</w:t>
            </w:r>
          </w:p>
        </w:tc>
      </w:tr>
      <w:tr w:rsidR="00BD671F" w14:paraId="5829164D" w14:textId="77777777">
        <w:tc>
          <w:tcPr>
            <w:tcW w:w="311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0E0C2BD" w14:textId="77777777" w:rsidR="00BD671F" w:rsidRDefault="00000000">
            <w:r>
              <w:rPr>
                <w:rFonts w:ascii="Arial" w:hAnsi="Arial"/>
                <w:sz w:val="20"/>
              </w:rPr>
              <w:t>Do 3D shape descriptors improve AUPRC?</w:t>
            </w:r>
          </w:p>
        </w:tc>
        <w:tc>
          <w:tcPr>
            <w:tcW w:w="5953"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99BC6DF" w14:textId="77777777" w:rsidR="00BD671F" w:rsidRDefault="00000000">
            <w:r>
              <w:rPr>
                <w:rFonts w:ascii="Arial" w:hAnsi="Arial"/>
                <w:sz w:val="20"/>
              </w:rPr>
              <w:t>No improvement when added to Phase 5 matrix — small consistent decrease due to feature dilution. But they carry real standalone signal (6× above chance with 10 features alone).</w:t>
            </w:r>
          </w:p>
        </w:tc>
      </w:tr>
      <w:tr w:rsidR="00BD671F" w14:paraId="77D02C9A" w14:textId="77777777">
        <w:tc>
          <w:tcPr>
            <w:tcW w:w="31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B497824" w14:textId="77777777" w:rsidR="00BD671F" w:rsidRDefault="00000000">
            <w:r>
              <w:rPr>
                <w:rFonts w:ascii="Arial" w:hAnsi="Arial"/>
                <w:sz w:val="20"/>
              </w:rPr>
              <w:t>How much do eNTRy descriptors predict alone?</w:t>
            </w:r>
          </w:p>
        </w:tc>
        <w:tc>
          <w:tcPr>
            <w:tcW w:w="5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C92D3B3" w14:textId="77777777" w:rsidR="00BD671F" w:rsidRDefault="00000000">
            <w:r>
              <w:rPr>
                <w:rFonts w:ascii="Arial" w:hAnsi="Arial"/>
                <w:sz w:val="20"/>
              </w:rPr>
              <w:t>AUPRC = 0.25 (XGBoost, 10 features) vs 0.04 random. Meaningful but 2.5× below fingerprint models.</w:t>
            </w:r>
          </w:p>
        </w:tc>
      </w:tr>
      <w:tr w:rsidR="00BD671F" w14:paraId="368FE46E" w14:textId="77777777">
        <w:tc>
          <w:tcPr>
            <w:tcW w:w="311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84C0117" w14:textId="77777777" w:rsidR="00BD671F" w:rsidRDefault="00000000">
            <w:r>
              <w:rPr>
                <w:rFonts w:ascii="Arial" w:hAnsi="Arial"/>
                <w:sz w:val="20"/>
              </w:rPr>
              <w:t>Do Hergenrother glob and RDKit spherocity agree?</w:t>
            </w:r>
          </w:p>
        </w:tc>
        <w:tc>
          <w:tcPr>
            <w:tcW w:w="5953"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6D28D9E" w14:textId="77777777" w:rsidR="00BD671F" w:rsidRDefault="00000000">
            <w:r>
              <w:rPr>
                <w:rFonts w:ascii="Arial" w:hAnsi="Arial"/>
                <w:sz w:val="20"/>
              </w:rPr>
              <w:t>Yes — Pearson r = 0.961. Effectively interchangeable on this dataset.</w:t>
            </w:r>
          </w:p>
        </w:tc>
      </w:tr>
      <w:tr w:rsidR="00BD671F" w14:paraId="3C6DF6BA" w14:textId="77777777">
        <w:tc>
          <w:tcPr>
            <w:tcW w:w="31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93B175E" w14:textId="77777777" w:rsidR="00BD671F" w:rsidRDefault="00000000">
            <w:r>
              <w:rPr>
                <w:rFonts w:ascii="Arial" w:hAnsi="Arial"/>
                <w:sz w:val="20"/>
              </w:rPr>
              <w:t>Do actives pass eNTRy at a higher rate?</w:t>
            </w:r>
          </w:p>
        </w:tc>
        <w:tc>
          <w:tcPr>
            <w:tcW w:w="5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AFC4EF5" w14:textId="77777777" w:rsidR="00BD671F" w:rsidRDefault="00000000">
            <w:r>
              <w:rPr>
                <w:rFonts w:ascii="Arial" w:hAnsi="Arial"/>
                <w:sz w:val="20"/>
              </w:rPr>
              <w:t>Negligible enrichment: 5.8% actives vs 4.2% inactives. Dataset captures diverse mechanisms.</w:t>
            </w:r>
          </w:p>
        </w:tc>
      </w:tr>
      <w:tr w:rsidR="00BD671F" w14:paraId="6E2C52B2" w14:textId="77777777">
        <w:tc>
          <w:tcPr>
            <w:tcW w:w="3118"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19F22CC" w14:textId="77777777" w:rsidR="00BD671F" w:rsidRDefault="00000000">
            <w:r>
              <w:rPr>
                <w:rFonts w:ascii="Arial" w:hAnsi="Arial"/>
                <w:sz w:val="20"/>
              </w:rPr>
              <w:t>Which top predictions can enter E. coli?</w:t>
            </w:r>
          </w:p>
        </w:tc>
        <w:tc>
          <w:tcPr>
            <w:tcW w:w="5953"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106D529" w14:textId="77777777" w:rsidR="00BD671F" w:rsidRDefault="00000000">
            <w:r>
              <w:rPr>
                <w:rFonts w:ascii="Arial" w:hAnsi="Arial"/>
                <w:sz w:val="20"/>
              </w:rPr>
              <w:t>Only 2/50 top predictions pass eNTRy — and neither is a true active. The model's confirmed actives operate through mechanisms other than Hergenrother-style passive accumulation.</w:t>
            </w:r>
          </w:p>
        </w:tc>
      </w:tr>
      <w:tr w:rsidR="00BD671F" w14:paraId="21EB76FE" w14:textId="77777777">
        <w:tc>
          <w:tcPr>
            <w:tcW w:w="31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56D5779" w14:textId="77777777" w:rsidR="00BD671F" w:rsidRDefault="00000000">
            <w:r>
              <w:rPr>
                <w:rFonts w:ascii="Arial" w:hAnsi="Arial"/>
                <w:sz w:val="20"/>
              </w:rPr>
              <w:t>What is the best SHAP-ranked eNTRy feature?</w:t>
            </w:r>
          </w:p>
        </w:tc>
        <w:tc>
          <w:tcPr>
            <w:tcW w:w="59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EC18A82" w14:textId="77777777" w:rsidR="00BD671F" w:rsidRDefault="00000000">
            <w:r>
              <w:rPr>
                <w:rFonts w:ascii="Arial" w:hAnsi="Arial"/>
                <w:sz w:val="20"/>
              </w:rPr>
              <w:t>radius_of_gyration (rank 36/4,490) — 3D molecular size carries the most permeation-relevant signal.</w:t>
            </w:r>
          </w:p>
        </w:tc>
      </w:tr>
    </w:tbl>
    <w:p w14:paraId="6140B8FA" w14:textId="77777777" w:rsidR="00BD671F" w:rsidRDefault="00BD671F">
      <w:pPr>
        <w:spacing w:after="80"/>
      </w:pPr>
    </w:p>
    <w:p w14:paraId="0B052C56" w14:textId="77777777" w:rsidR="00BD671F" w:rsidRDefault="00000000">
      <w:pPr>
        <w:pBdr>
          <w:bottom w:val="single" w:sz="6" w:space="1" w:color="2E75B6"/>
        </w:pBdr>
        <w:spacing w:before="280" w:after="80"/>
      </w:pPr>
      <w:r>
        <w:rPr>
          <w:rFonts w:ascii="Arial" w:hAnsi="Arial"/>
          <w:b/>
          <w:color w:val="2E75B6"/>
          <w:sz w:val="28"/>
        </w:rPr>
        <w:t>11. Outputs</w:t>
      </w:r>
    </w:p>
    <w:tbl>
      <w:tblPr>
        <w:tblStyle w:val="TableGrid"/>
        <w:tblW w:w="0" w:type="auto"/>
        <w:tblLook w:val="04A0" w:firstRow="1" w:lastRow="0" w:firstColumn="1" w:lastColumn="0" w:noHBand="0" w:noVBand="1"/>
      </w:tblPr>
      <w:tblGrid>
        <w:gridCol w:w="5041"/>
        <w:gridCol w:w="4479"/>
      </w:tblGrid>
      <w:tr w:rsidR="00BD671F" w14:paraId="25F168D7" w14:textId="77777777">
        <w:tc>
          <w:tcPr>
            <w:tcW w:w="3969"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608286BA" w14:textId="77777777" w:rsidR="00BD671F" w:rsidRDefault="00000000">
            <w:r>
              <w:rPr>
                <w:rFonts w:ascii="Arial" w:hAnsi="Arial"/>
                <w:b/>
                <w:color w:val="FFFFFF"/>
                <w:sz w:val="20"/>
              </w:rPr>
              <w:t>File</w:t>
            </w:r>
          </w:p>
        </w:tc>
        <w:tc>
          <w:tcPr>
            <w:tcW w:w="5102" w:type="dxa"/>
            <w:tcBorders>
              <w:top w:val="single" w:sz="4" w:space="0" w:color="AAAAAA"/>
              <w:left w:val="single" w:sz="4" w:space="0" w:color="AAAAAA"/>
              <w:bottom w:val="single" w:sz="4" w:space="0" w:color="AAAAAA"/>
              <w:right w:val="single" w:sz="4" w:space="0" w:color="AAAAAA"/>
            </w:tcBorders>
            <w:shd w:val="clear" w:color="auto" w:fill="2E75B6"/>
            <w:tcMar>
              <w:top w:w="80" w:type="dxa"/>
              <w:left w:w="80" w:type="dxa"/>
              <w:bottom w:w="80" w:type="dxa"/>
              <w:right w:w="80" w:type="dxa"/>
            </w:tcMar>
          </w:tcPr>
          <w:p w14:paraId="0A778336" w14:textId="77777777" w:rsidR="00BD671F" w:rsidRDefault="00000000">
            <w:r>
              <w:rPr>
                <w:rFonts w:ascii="Arial" w:hAnsi="Arial"/>
                <w:b/>
                <w:color w:val="FFFFFF"/>
                <w:sz w:val="20"/>
              </w:rPr>
              <w:t>Contents</w:t>
            </w:r>
          </w:p>
        </w:tc>
      </w:tr>
      <w:tr w:rsidR="00BD671F" w14:paraId="4B231851" w14:textId="77777777">
        <w:tc>
          <w:tcPr>
            <w:tcW w:w="39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94FB8C1" w14:textId="77777777" w:rsidR="00BD671F" w:rsidRDefault="00000000">
            <w:r>
              <w:rPr>
                <w:rFonts w:ascii="Arial" w:hAnsi="Arial"/>
                <w:sz w:val="20"/>
              </w:rPr>
              <w:lastRenderedPageBreak/>
              <w:t>entry_descriptors.csv</w:t>
            </w:r>
          </w:p>
        </w:tc>
        <w:tc>
          <w:tcPr>
            <w:tcW w:w="51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426F83E1" w14:textId="77777777" w:rsidR="00BD671F" w:rsidRDefault="00000000">
            <w:r>
              <w:rPr>
                <w:rFonts w:ascii="Arial" w:hAnsi="Arial"/>
                <w:sz w:val="20"/>
              </w:rPr>
              <w:t>2,334 × 22: all eNTRy and 3D shape descriptors per molecule</w:t>
            </w:r>
          </w:p>
        </w:tc>
      </w:tr>
      <w:tr w:rsidR="00BD671F" w14:paraId="5BDCAA7D" w14:textId="77777777">
        <w:tc>
          <w:tcPr>
            <w:tcW w:w="39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C68C381" w14:textId="77777777" w:rsidR="00BD671F" w:rsidRDefault="00000000">
            <w:r>
              <w:rPr>
                <w:rFonts w:ascii="Arial" w:hAnsi="Arial"/>
                <w:sz w:val="20"/>
              </w:rPr>
              <w:t>results_phase6/X_extended.npy</w:t>
            </w:r>
          </w:p>
        </w:tc>
        <w:tc>
          <w:tcPr>
            <w:tcW w:w="51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A20EACD" w14:textId="77777777" w:rsidR="00BD671F" w:rsidRDefault="00000000">
            <w:r>
              <w:rPr>
                <w:rFonts w:ascii="Arial" w:hAnsi="Arial"/>
                <w:sz w:val="20"/>
              </w:rPr>
              <w:t>Extended feature matrix (2,334 × 4,490)</w:t>
            </w:r>
          </w:p>
        </w:tc>
      </w:tr>
      <w:tr w:rsidR="00BD671F" w14:paraId="31CDC713" w14:textId="77777777">
        <w:tc>
          <w:tcPr>
            <w:tcW w:w="39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B856C88" w14:textId="77777777" w:rsidR="00BD671F" w:rsidRDefault="00000000">
            <w:r>
              <w:rPr>
                <w:rFonts w:ascii="Arial" w:hAnsi="Arial"/>
                <w:sz w:val="20"/>
              </w:rPr>
              <w:t>results_phase6/ranked_predictions.csv</w:t>
            </w:r>
          </w:p>
        </w:tc>
        <w:tc>
          <w:tcPr>
            <w:tcW w:w="51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8A15F32" w14:textId="77777777" w:rsidR="00BD671F" w:rsidRDefault="00000000">
            <w:r>
              <w:rPr>
                <w:rFonts w:ascii="Arial" w:hAnsi="Arial"/>
                <w:sz w:val="20"/>
              </w:rPr>
              <w:t>All 468 test compounds ranked by predicted probability with eNTRy descriptors</w:t>
            </w:r>
          </w:p>
        </w:tc>
      </w:tr>
      <w:tr w:rsidR="00BD671F" w14:paraId="42D2F4AF" w14:textId="77777777">
        <w:tc>
          <w:tcPr>
            <w:tcW w:w="39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3E5AE970" w14:textId="77777777" w:rsidR="00BD671F" w:rsidRDefault="00000000">
            <w:r>
              <w:rPr>
                <w:rFonts w:ascii="Arial" w:hAnsi="Arial"/>
                <w:sz w:val="20"/>
              </w:rPr>
              <w:t>results_phase6/priority_candidates.csv</w:t>
            </w:r>
          </w:p>
        </w:tc>
        <w:tc>
          <w:tcPr>
            <w:tcW w:w="51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0BA36BE" w14:textId="77777777" w:rsidR="00BD671F" w:rsidRDefault="00000000">
            <w:r>
              <w:rPr>
                <w:rFonts w:ascii="Arial" w:hAnsi="Arial"/>
                <w:sz w:val="20"/>
              </w:rPr>
              <w:t>2 compounds: predicted active AND passing eNTRy rules</w:t>
            </w:r>
          </w:p>
        </w:tc>
      </w:tr>
      <w:tr w:rsidR="00BD671F" w14:paraId="7AD39241" w14:textId="77777777">
        <w:tc>
          <w:tcPr>
            <w:tcW w:w="39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3201B95D" w14:textId="77777777" w:rsidR="00BD671F" w:rsidRDefault="00000000">
            <w:r>
              <w:rPr>
                <w:rFonts w:ascii="Arial" w:hAnsi="Arial"/>
                <w:sz w:val="20"/>
              </w:rPr>
              <w:t>results_phase6/results_phase6.json</w:t>
            </w:r>
          </w:p>
        </w:tc>
        <w:tc>
          <w:tcPr>
            <w:tcW w:w="51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730EBD2" w14:textId="77777777" w:rsidR="00BD671F" w:rsidRDefault="00000000">
            <w:r>
              <w:rPr>
                <w:rFonts w:ascii="Arial" w:hAnsi="Arial"/>
                <w:sz w:val="20"/>
              </w:rPr>
              <w:t>Model integration metrics and SHAP ranks</w:t>
            </w:r>
          </w:p>
        </w:tc>
      </w:tr>
      <w:tr w:rsidR="00BD671F" w14:paraId="5A192572" w14:textId="77777777">
        <w:tc>
          <w:tcPr>
            <w:tcW w:w="39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219EC5F2" w14:textId="77777777" w:rsidR="00BD671F" w:rsidRDefault="00000000">
            <w:r>
              <w:rPr>
                <w:rFonts w:ascii="Arial" w:hAnsi="Arial"/>
                <w:sz w:val="20"/>
              </w:rPr>
              <w:t>results_phase6/results_phase6b.json</w:t>
            </w:r>
          </w:p>
        </w:tc>
        <w:tc>
          <w:tcPr>
            <w:tcW w:w="51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631C91FB" w14:textId="77777777" w:rsidR="00BD671F" w:rsidRDefault="00000000">
            <w:r>
              <w:rPr>
                <w:rFonts w:ascii="Arial" w:hAnsi="Arial"/>
                <w:sz w:val="20"/>
              </w:rPr>
              <w:t>eNTRy-only ablation metrics</w:t>
            </w:r>
          </w:p>
        </w:tc>
      </w:tr>
      <w:tr w:rsidR="00BD671F" w14:paraId="746B9391" w14:textId="77777777">
        <w:tc>
          <w:tcPr>
            <w:tcW w:w="39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1BE6966" w14:textId="77777777" w:rsidR="00BD671F" w:rsidRDefault="00000000">
            <w:r>
              <w:rPr>
                <w:rFonts w:ascii="Arial" w:hAnsi="Arial"/>
                <w:sz w:val="20"/>
              </w:rPr>
              <w:t>results_phase6/results_phase6c.json</w:t>
            </w:r>
          </w:p>
        </w:tc>
        <w:tc>
          <w:tcPr>
            <w:tcW w:w="51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50DE1F82" w14:textId="77777777" w:rsidR="00BD671F" w:rsidRDefault="00000000">
            <w:r>
              <w:rPr>
                <w:rFonts w:ascii="Arial" w:hAnsi="Arial"/>
                <w:sz w:val="20"/>
              </w:rPr>
              <w:t>eNTRy filter analysis on top-50 predictions</w:t>
            </w:r>
          </w:p>
        </w:tc>
      </w:tr>
      <w:tr w:rsidR="00BD671F" w14:paraId="073A6F83" w14:textId="77777777">
        <w:tc>
          <w:tcPr>
            <w:tcW w:w="39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E091D9B" w14:textId="77777777" w:rsidR="00BD671F" w:rsidRDefault="00000000">
            <w:r>
              <w:rPr>
                <w:rFonts w:ascii="Arial" w:hAnsi="Arial"/>
                <w:sz w:val="20"/>
              </w:rPr>
              <w:t>results_phase6/figures/glob_vs_spherocity.png</w:t>
            </w:r>
          </w:p>
        </w:tc>
        <w:tc>
          <w:tcPr>
            <w:tcW w:w="51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EC1ADEF" w14:textId="77777777" w:rsidR="00BD671F" w:rsidRDefault="00000000">
            <w:r>
              <w:rPr>
                <w:rFonts w:ascii="Arial" w:hAnsi="Arial"/>
                <w:sz w:val="20"/>
              </w:rPr>
              <w:t>Globularity vs Spherocity scatter (r = 0.961)</w:t>
            </w:r>
          </w:p>
        </w:tc>
      </w:tr>
      <w:tr w:rsidR="00BD671F" w14:paraId="371C5761" w14:textId="77777777">
        <w:tc>
          <w:tcPr>
            <w:tcW w:w="39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7D4A537" w14:textId="77777777" w:rsidR="00BD671F" w:rsidRDefault="00000000">
            <w:r>
              <w:rPr>
                <w:rFonts w:ascii="Arial" w:hAnsi="Arial"/>
                <w:sz w:val="20"/>
              </w:rPr>
              <w:t>results_phase6/figures/pr_curves_phase6.png</w:t>
            </w:r>
          </w:p>
        </w:tc>
        <w:tc>
          <w:tcPr>
            <w:tcW w:w="51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63D32AC3" w14:textId="77777777" w:rsidR="00BD671F" w:rsidRDefault="00000000">
            <w:r>
              <w:rPr>
                <w:rFonts w:ascii="Arial" w:hAnsi="Arial"/>
                <w:sz w:val="20"/>
              </w:rPr>
              <w:t>PR curves: Phase 5 vs Phase 6 extended features</w:t>
            </w:r>
          </w:p>
        </w:tc>
      </w:tr>
      <w:tr w:rsidR="00BD671F" w14:paraId="76081A4C" w14:textId="77777777">
        <w:tc>
          <w:tcPr>
            <w:tcW w:w="39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5550E43A" w14:textId="77777777" w:rsidR="00BD671F" w:rsidRDefault="00000000">
            <w:r>
              <w:rPr>
                <w:rFonts w:ascii="Arial" w:hAnsi="Arial"/>
                <w:sz w:val="20"/>
              </w:rPr>
              <w:t>results_phase6/figures/pr_curves_entry_only.png</w:t>
            </w:r>
          </w:p>
        </w:tc>
        <w:tc>
          <w:tcPr>
            <w:tcW w:w="51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B50638F" w14:textId="77777777" w:rsidR="00BD671F" w:rsidRDefault="00000000">
            <w:r>
              <w:rPr>
                <w:rFonts w:ascii="Arial" w:hAnsi="Arial"/>
                <w:sz w:val="20"/>
              </w:rPr>
              <w:t>PR curves: eNTRy descriptors only</w:t>
            </w:r>
          </w:p>
        </w:tc>
      </w:tr>
      <w:tr w:rsidR="00BD671F" w14:paraId="07B892AC" w14:textId="77777777">
        <w:tc>
          <w:tcPr>
            <w:tcW w:w="39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2FE5BC0A" w14:textId="77777777" w:rsidR="00BD671F" w:rsidRDefault="00000000">
            <w:r>
              <w:rPr>
                <w:rFonts w:ascii="Arial" w:hAnsi="Arial"/>
                <w:sz w:val="20"/>
              </w:rPr>
              <w:t>results_phase6/figures/shap_phase6.png</w:t>
            </w:r>
          </w:p>
        </w:tc>
        <w:tc>
          <w:tcPr>
            <w:tcW w:w="51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1B6B8ACD" w14:textId="77777777" w:rsidR="00BD671F" w:rsidRDefault="00000000">
            <w:r>
              <w:rPr>
                <w:rFonts w:ascii="Arial" w:hAnsi="Arial"/>
                <w:sz w:val="20"/>
              </w:rPr>
              <w:t>SHAP importance: top 30 features</w:t>
            </w:r>
          </w:p>
        </w:tc>
      </w:tr>
      <w:tr w:rsidR="00BD671F" w14:paraId="5EBE961E" w14:textId="77777777">
        <w:tc>
          <w:tcPr>
            <w:tcW w:w="3969"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EDF8CCD" w14:textId="77777777" w:rsidR="00BD671F" w:rsidRDefault="00000000">
            <w:r>
              <w:rPr>
                <w:rFonts w:ascii="Arial" w:hAnsi="Arial"/>
                <w:sz w:val="20"/>
              </w:rPr>
              <w:t>results_phase6/figures/entry_filter_top50.png</w:t>
            </w:r>
          </w:p>
        </w:tc>
        <w:tc>
          <w:tcPr>
            <w:tcW w:w="5102"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712976C7" w14:textId="77777777" w:rsidR="00BD671F" w:rsidRDefault="00000000">
            <w:r>
              <w:rPr>
                <w:rFonts w:ascii="Arial" w:hAnsi="Arial"/>
                <w:sz w:val="20"/>
              </w:rPr>
              <w:t>Score distribution and logP/TPSA scatter for top-50 predictions</w:t>
            </w:r>
          </w:p>
        </w:tc>
      </w:tr>
      <w:tr w:rsidR="00BD671F" w14:paraId="7BCF0898" w14:textId="77777777">
        <w:tc>
          <w:tcPr>
            <w:tcW w:w="3969"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5091F768" w14:textId="77777777" w:rsidR="00BD671F" w:rsidRDefault="00000000">
            <w:r>
              <w:rPr>
                <w:rFonts w:ascii="Arial" w:hAnsi="Arial"/>
                <w:sz w:val="20"/>
              </w:rPr>
              <w:t>results_phase6/figures/cumulative_precision_entry.png</w:t>
            </w:r>
          </w:p>
        </w:tc>
        <w:tc>
          <w:tcPr>
            <w:tcW w:w="5102" w:type="dxa"/>
            <w:tcBorders>
              <w:top w:val="single" w:sz="4" w:space="0" w:color="AAAAAA"/>
              <w:left w:val="single" w:sz="4" w:space="0" w:color="AAAAAA"/>
              <w:bottom w:val="single" w:sz="4" w:space="0" w:color="AAAAAA"/>
              <w:right w:val="single" w:sz="4" w:space="0" w:color="AAAAAA"/>
            </w:tcBorders>
            <w:shd w:val="clear" w:color="auto" w:fill="D6E4F0"/>
            <w:tcMar>
              <w:top w:w="80" w:type="dxa"/>
              <w:left w:w="80" w:type="dxa"/>
              <w:bottom w:w="80" w:type="dxa"/>
              <w:right w:w="80" w:type="dxa"/>
            </w:tcMar>
          </w:tcPr>
          <w:p w14:paraId="0ACD29F3" w14:textId="77777777" w:rsidR="00BD671F" w:rsidRDefault="00000000">
            <w:r>
              <w:rPr>
                <w:rFonts w:ascii="Arial" w:hAnsi="Arial"/>
                <w:sz w:val="20"/>
              </w:rPr>
              <w:t>Cumulative precision and eNTRy pass rate vs rank</w:t>
            </w:r>
          </w:p>
        </w:tc>
      </w:tr>
      <w:tr>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results_phase6/results_phase6d.json</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Structural novelty summary (top-50 predictions vs 19 reference antibiotics)</w:t>
            </w:r>
          </w:p>
        </w:tc>
      </w:tr>
      <w:tr>
        <w:tc>
          <w:tcPr>
            <w:tcW w:type="dxa" w:w="4252"/>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results_phase6/novel_candidates.csv</w:t>
            </w:r>
          </w:p>
        </w:tc>
        <w:tc>
          <w:tcPr>
            <w:tcW w:type="dxa" w:w="4819"/>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43 structurally novel top-50 predictions with Tanimoto scores</w:t>
            </w:r>
          </w:p>
        </w:tc>
      </w:tr>
      <w:tr>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results_phase6/novelty_analysis_top50.csv</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Full novelty table: all 50 predictions with most-similar antibiotic named</w:t>
            </w:r>
          </w:p>
        </w:tc>
      </w:tr>
      <w:tr>
        <w:tc>
          <w:tcPr>
            <w:tcW w:type="dxa" w:w="4252"/>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results_phase6/figures/tanimoto_novelty_top50.png</w:t>
            </w:r>
          </w:p>
        </w:tc>
        <w:tc>
          <w:tcPr>
            <w:tcW w:type="dxa" w:w="4819"/>
            <w:shd w:val="clear" w:color="auto" w:fill="D6E4F0"/>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Structural novelty distribution and rank scatter plot</w:t>
            </w:r>
          </w:p>
        </w:tc>
      </w:tr>
      <w:tr>
        <w:tc>
          <w:tcPr>
            <w:tcW w:type="dxa" w:w="4252"/>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results_phase6/figures/tanimoto_heatmap_top20.png</w:t>
            </w:r>
          </w:p>
        </w:tc>
        <w:tc>
          <w:tcPr>
            <w:tcW w:type="dxa" w:w="4819"/>
            <w:shd w:val="clear" w:color="auto" w:fill="FFFFFF"/>
            <w:tcBorders>
              <w:top w:val="single" w:sz="4" w:space="0" w:color="AAAAAA"/>
              <w:left w:val="single" w:sz="4" w:space="0" w:color="AAAAAA"/>
              <w:bottom w:val="single" w:sz="4" w:space="0" w:color="AAAAAA"/>
              <w:right w:val="single" w:sz="4" w:space="0" w:color="AAAAAA"/>
            </w:tcBorders>
            <w:tcMar>
              <w:top w:w="80" w:type="dxa"/>
              <w:left w:w="80" w:type="dxa"/>
              <w:bottom w:w="80" w:type="dxa"/>
              <w:right w:w="80" w:type="dxa"/>
            </w:tcMar>
          </w:tcPr>
          <w:p>
            <w:r>
              <w:rPr>
                <w:rFonts w:ascii="Arial" w:hAnsi="Arial"/>
                <w:b w:val="0"/>
                <w:i w:val="0"/>
                <w:sz w:val="20"/>
              </w:rPr>
              <w:t>Tanimoto heatmap: top 20 predictions vs 19 reference antibiotics</w:t>
            </w:r>
          </w:p>
        </w:tc>
      </w:tr>
    </w:tbl>
    <w:p w14:paraId="5089ADB2" w14:textId="77777777" w:rsidR="00BD671F" w:rsidRDefault="00BD671F">
      <w:pPr>
        <w:spacing w:after="80"/>
      </w:pPr>
    </w:p>
    <w:p w14:paraId="4CD976E1" w14:textId="77777777" w:rsidR="00BD671F" w:rsidRDefault="00000000">
      <w:pPr>
        <w:pBdr>
          <w:bottom w:val="single" w:sz="6" w:space="1" w:color="2E75B6"/>
        </w:pBdr>
        <w:spacing w:before="280" w:after="80"/>
      </w:pPr>
      <w:r>
        <w:rPr>
          <w:rFonts w:ascii="Arial" w:hAnsi="Arial"/>
          <w:b/>
          <w:color w:val="2E75B6"/>
          <w:sz w:val="28"/>
        </w:rPr>
        <w:t>12. Conclusion</w:t>
      </w:r>
    </w:p>
    <w:p w14:paraId="4DB2812F" w14:textId="77777777" w:rsidR="00BD671F" w:rsidRDefault="00000000">
      <w:pPr>
        <w:spacing w:after="120"/>
      </w:pPr>
      <w:r>
        <w:rPr>
          <w:rFonts w:ascii="Arial" w:hAnsi="Arial"/>
          <w:sz w:val="21"/>
        </w:rPr>
        <w:t>Phase 6 systematically applied the Hergenrother eNTRy rules to the antibiotic activity prediction pipeline in three complementary ways: as additional ML features, as standalone predictors, and as a post-prediction filter.</w:t>
      </w:r>
    </w:p>
    <w:p w14:paraId="5412D40C" w14:textId="7BC8047D" w:rsidR="00BD671F" w:rsidRDefault="00000000">
      <w:pPr>
        <w:spacing w:after="120"/>
      </w:pPr>
      <w:r>
        <w:rPr>
          <w:rFonts w:ascii="Arial" w:hAnsi="Arial"/>
          <w:sz w:val="21"/>
        </w:rPr>
        <w:t>The eNTRy descriptors encode genuine physicochemical signal</w:t>
      </w:r>
      <w:r w:rsidR="008D1454">
        <w:rPr>
          <w:rFonts w:ascii="Arial" w:hAnsi="Arial"/>
          <w:sz w:val="21"/>
        </w:rPr>
        <w:t>,</w:t>
      </w:r>
      <w:r>
        <w:rPr>
          <w:rFonts w:ascii="Arial" w:hAnsi="Arial"/>
          <w:sz w:val="21"/>
        </w:rPr>
        <w:t xml:space="preserve"> 6× above random with 10 features alone but do not improve the Phase 5 model when appended to a 4,480-dimensional feature matrix. The most informative eNTRy-derived features are continuous 3D shape descriptors (radius of gyration, PBF, NPR1/2) rather than the discrete primary amine flag or binary passes_eNTRy indicator.</w:t>
      </w:r>
    </w:p>
    <w:p w14:paraId="715DA061" w14:textId="5C3D6752" w:rsidR="00BD671F" w:rsidRDefault="00000000">
      <w:pPr>
        <w:spacing w:after="120"/>
      </w:pPr>
      <w:r>
        <w:rPr>
          <w:rFonts w:ascii="Arial" w:hAnsi="Arial"/>
          <w:sz w:val="21"/>
        </w:rPr>
        <w:t>The post-prediction filter directly answered the question: of the top 50 model predictions, only 2 pass the eNTRy rules, and neither is a confirmed active. The 15 true actives in the top 50 do not pass eNTRy, indicating they are active through diverse mechanisms — target engagement, membrane disruption, or alternative uptake routes rather than the specific Hergenrother passive accumulation pathway.</w:t>
      </w:r>
    </w:p>
    <w:p w14:paraId="2FDEA924" w14:textId="77777777" w:rsidR="00BD671F" w:rsidRDefault="00000000">
      <w:pPr>
        <w:spacing w:after="120"/>
      </w:pPr>
      <w:r>
        <w:rPr>
          <w:rFonts w:ascii="Arial" w:hAnsi="Arial"/>
          <w:sz w:val="21"/>
        </w:rPr>
        <w:t>The best model from Phase 5 (AUPRC = 0.646, P@10 = 0.90) remains the recommended model for compound prioritisation. Phase 6 adds a validated permeation descriptor pipeline, a biologically interpretable analysis of the Stokes dataset activity landscape, and a structural novelty assessment confirming that the top model predictions are not rediscoveries of known antibiotics. The 11 structurally novel confirmed actives — particularly Rank 1 (prob = 0.999, max sim = 0.196) and Rank 9 (prob = 0.950, max sim = 0.126) — represent high-confidence predictions of antibacterially active compounds that are structurally non-redundant with the existing antibiotic landscape.</w:t>
      </w:r>
    </w:p>
    <w:p w14:paraId="0C0BA651" w14:textId="77777777" w:rsidR="00BD671F" w:rsidRDefault="00000000">
      <w:pPr>
        <w:pBdr>
          <w:top w:val="single" w:sz="4" w:space="1" w:color="2E75B6"/>
        </w:pBdr>
      </w:pPr>
      <w:r>
        <w:rPr>
          <w:rFonts w:ascii="Arial" w:hAnsi="Arial"/>
          <w:i/>
          <w:color w:val="595959"/>
          <w:sz w:val="18"/>
        </w:rPr>
        <w:lastRenderedPageBreak/>
        <w:t>Phase 6 Progress Report  |  HZI Antibiotic Discovery Project</w:t>
      </w:r>
    </w:p>
    <w:sectPr w:rsidR="00BD671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3309017">
    <w:abstractNumId w:val="8"/>
  </w:num>
  <w:num w:numId="2" w16cid:durableId="757018428">
    <w:abstractNumId w:val="6"/>
  </w:num>
  <w:num w:numId="3" w16cid:durableId="1454517642">
    <w:abstractNumId w:val="5"/>
  </w:num>
  <w:num w:numId="4" w16cid:durableId="589697438">
    <w:abstractNumId w:val="4"/>
  </w:num>
  <w:num w:numId="5" w16cid:durableId="192160236">
    <w:abstractNumId w:val="7"/>
  </w:num>
  <w:num w:numId="6" w16cid:durableId="1933582317">
    <w:abstractNumId w:val="3"/>
  </w:num>
  <w:num w:numId="7" w16cid:durableId="149103350">
    <w:abstractNumId w:val="2"/>
  </w:num>
  <w:num w:numId="8" w16cid:durableId="1705670883">
    <w:abstractNumId w:val="1"/>
  </w:num>
  <w:num w:numId="9" w16cid:durableId="590545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1454"/>
    <w:rsid w:val="00AA1D8D"/>
    <w:rsid w:val="00B47730"/>
    <w:rsid w:val="00BD671F"/>
    <w:rsid w:val="00C71D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105AF"/>
  <w14:defaultImageDpi w14:val="300"/>
  <w15:docId w15:val="{11DAE5E5-28F9-4253-AC21-56D326AD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2266</Words>
  <Characters>12918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Qamar, Muhammad</cp:lastModifiedBy>
  <cp:revision>2</cp:revision>
  <dcterms:created xsi:type="dcterms:W3CDTF">2013-12-23T23:15:00Z</dcterms:created>
  <dcterms:modified xsi:type="dcterms:W3CDTF">2026-05-18T12:42:00Z</dcterms:modified>
  <cp:category/>
</cp:coreProperties>
</file>