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56"/>
          <w:szCs w:val="56"/>
        </w:rPr>
        <w:t xml:space="preserve">Progress Report</w:t>
      </w:r>
    </w:p>
    <w:p>
      <w:pPr>
        <w:spacing w:after="120"/>
        <w:jc w:val="center"/>
      </w:pPr>
      <w:r>
        <w:rPr>
          <w:rFonts w:ascii="Arial" w:cs="Arial" w:eastAsia="Arial" w:hAnsi="Arial"/>
          <w:b/>
          <w:bCs/>
          <w:color w:val="2E75B6"/>
          <w:sz w:val="36"/>
          <w:szCs w:val="36"/>
        </w:rPr>
        <w:t xml:space="preserve">Phase 5: Model Optimization</w:t>
      </w:r>
    </w:p>
    <w:p>
      <w:pPr>
        <w:spacing w:after="80"/>
        <w:jc w:val="center"/>
      </w:pPr>
      <w:r>
        <w:rPr>
          <w:rFonts w:ascii="Arial" w:cs="Arial" w:eastAsia="Arial" w:hAnsi="Arial"/>
          <w:i/>
          <w:iCs/>
          <w:color w:val="404040"/>
          <w:sz w:val="24"/>
          <w:szCs w:val="24"/>
        </w:rPr>
        <w:t xml:space="preserve">Predicting Antibiotic Activity from Chemical Structures</w:t>
      </w:r>
    </w:p>
    <w:p>
      <w:pPr>
        <w:spacing w:after="640"/>
        <w:jc w:val="center"/>
      </w:pPr>
      <w:r>
        <w:rPr>
          <w:rFonts w:ascii="Arial" w:cs="Arial" w:eastAsia="Arial" w:hAnsi="Arial"/>
          <w:color w:val="606060"/>
          <w:sz w:val="22"/>
          <w:szCs w:val="22"/>
        </w:rPr>
        <w:t xml:space="preserve">Helmholtz Centre for Infection Research (HZI)</w:t>
      </w:r>
    </w:p>
    <w:p>
      <w:pPr>
        <w:pStyle w:val="Heading1"/>
      </w:pPr>
      <w:r>
        <w:rPr>
          <w:rFonts w:ascii="Arial" w:cs="Arial" w:eastAsia="Arial" w:hAnsi="Arial"/>
          <w:b/>
          <w:bCs/>
          <w:sz w:val="32"/>
          <w:szCs w:val="32"/>
        </w:rPr>
        <w:t xml:space="preserve">1. Objective</w:t>
      </w:r>
    </w:p>
    <w:p>
      <w:pPr>
        <w:spacing w:after="120"/>
      </w:pPr>
      <w:r>
        <w:rPr>
          <w:rFonts w:ascii="Arial" w:cs="Arial" w:eastAsia="Arial" w:hAnsi="Arial"/>
          <w:sz w:val="22"/>
          <w:szCs w:val="22"/>
        </w:rPr>
        <w:t xml:space="preserve">Phase 4 established a baseline XGBoost model using ECFP4 Morgan fingerprints (2048-bit binary vectors) and a scaffold-based train/test split. The reported Phase 4 AUPRC was 0.3632; however, post-hoc analysis revealed this result was produced by a flawed split that placed zero positive (active) compounds in the test set, making the score unreliable. This is discussed in full in Section 8.</w:t>
      </w:r>
    </w:p>
    <w:p>
      <w:pPr>
        <w:spacing w:after="80"/>
      </w:pPr>
      <w:r>
        <w:t xml:space="preserve"/>
      </w:r>
    </w:p>
    <w:p>
      <w:pPr>
        <w:spacing w:after="120"/>
      </w:pPr>
      <w:r>
        <w:rPr>
          <w:rFonts w:ascii="Arial" w:cs="Arial" w:eastAsia="Arial" w:hAnsi="Arial"/>
          <w:sz w:val="22"/>
          <w:szCs w:val="22"/>
        </w:rPr>
        <w:t xml:space="preserve">The target benchmark from the literature (Lin et al. 2025, Scientific Reports) is AUPRC ≈ 0.45. The objective of Phase 5 was to establish a valid evaluation protocol and systematically improve upon the baseline model through three strategies:</w:t>
      </w:r>
    </w:p>
    <w:p>
      <w:pPr>
        <w:pStyle w:val="ListParagraph"/>
        <w:numPr>
          <w:ilvl w:val="0"/>
          <w:numId w:val="2"/>
        </w:numPr>
        <w:spacing w:after="80"/>
      </w:pPr>
      <w:r>
        <w:rPr>
          <w:rFonts w:ascii="Arial" w:cs="Arial" w:eastAsia="Arial" w:hAnsi="Arial"/>
          <w:sz w:val="22"/>
          <w:szCs w:val="22"/>
        </w:rPr>
        <w:t xml:space="preserve">Expanded feature representation combining four complementary molecular fingerprint types</w:t>
      </w:r>
    </w:p>
    <w:p>
      <w:pPr>
        <w:pStyle w:val="ListParagraph"/>
        <w:numPr>
          <w:ilvl w:val="0"/>
          <w:numId w:val="2"/>
        </w:numPr>
        <w:spacing w:after="80"/>
      </w:pPr>
      <w:r>
        <w:rPr>
          <w:rFonts w:ascii="Arial" w:cs="Arial" w:eastAsia="Arial" w:hAnsi="Arial"/>
          <w:sz w:val="22"/>
          <w:szCs w:val="22"/>
        </w:rPr>
        <w:t xml:space="preserve">Automated hyperparameter optimisation using Bayesian search (Optuna TPE)</w:t>
      </w:r>
    </w:p>
    <w:p>
      <w:pPr>
        <w:pStyle w:val="ListParagraph"/>
        <w:numPr>
          <w:ilvl w:val="0"/>
          <w:numId w:val="2"/>
        </w:numPr>
        <w:spacing w:after="80"/>
      </w:pPr>
      <w:r>
        <w:rPr>
          <w:rFonts w:ascii="Arial" w:cs="Arial" w:eastAsia="Arial" w:hAnsi="Arial"/>
          <w:sz w:val="22"/>
          <w:szCs w:val="22"/>
        </w:rPr>
        <w:t xml:space="preserve">A stacking ensemble combining predictions from multiple base learners</w:t>
      </w:r>
    </w:p>
    <w:p>
      <w:pPr>
        <w:spacing w:after="80"/>
      </w:pPr>
      <w:r>
        <w:t xml:space="preserve"/>
      </w:r>
    </w:p>
    <w:p>
      <w:pPr>
        <w:pStyle w:val="Heading1"/>
      </w:pPr>
      <w:r>
        <w:rPr>
          <w:rFonts w:ascii="Arial" w:cs="Arial" w:eastAsia="Arial" w:hAnsi="Arial"/>
          <w:b/>
          <w:bCs/>
          <w:sz w:val="32"/>
          <w:szCs w:val="32"/>
        </w:rPr>
        <w:t xml:space="preserve">2. Input Data</w:t>
      </w:r>
    </w:p>
    <w:p>
      <w:pPr>
        <w:spacing w:after="120"/>
      </w:pPr>
      <w:r>
        <w:rPr>
          <w:rFonts w:ascii="Arial" w:cs="Arial" w:eastAsia="Arial" w:hAnsi="Arial"/>
          <w:sz w:val="22"/>
          <w:szCs w:val="22"/>
        </w:rPr>
        <w:t xml:space="preserve">The following file generated in Phase 2 was used as the sole input:</w:t>
      </w:r>
    </w:p>
    <w:p>
      <w:pPr>
        <w:pStyle w:val="ListParagraph"/>
        <w:numPr>
          <w:ilvl w:val="0"/>
          <w:numId w:val="2"/>
        </w:numPr>
        <w:spacing w:after="80"/>
      </w:pPr>
      <w:r>
        <w:rPr>
          <w:rFonts w:ascii="Arial" w:cs="Arial" w:eastAsia="Arial" w:hAnsi="Arial"/>
          <w:sz w:val="22"/>
          <w:szCs w:val="22"/>
        </w:rPr>
        <w:t xml:space="preserve">smiles_labels_valid.csv – 2,334 validated SMILES strings with binary activity labels (Active / Inactive)</w:t>
      </w:r>
    </w:p>
    <w:p>
      <w:pPr>
        <w:spacing w:after="80"/>
      </w:pPr>
      <w:r>
        <w:t xml:space="preserve"/>
      </w:r>
    </w:p>
    <w:p>
      <w:pPr>
        <w:spacing w:after="120"/>
      </w:pPr>
      <w:r>
        <w:rPr>
          <w:rFonts w:ascii="Arial" w:cs="Arial" w:eastAsia="Arial" w:hAnsi="Arial"/>
          <w:sz w:val="22"/>
          <w:szCs w:val="22"/>
        </w:rPr>
        <w:t xml:space="preserve">All feature engineering, splitting, model training, and evaluation was performed from scratch within this phase to ensure a clean, reproducible pipeline.</w:t>
      </w:r>
    </w:p>
    <w:p>
      <w:pPr>
        <w:spacing w:after="80"/>
      </w:pPr>
      <w:r>
        <w:t xml:space="preserve"/>
      </w:r>
    </w:p>
    <w:p>
      <w:pPr>
        <w:pStyle w:val="Heading1"/>
      </w:pPr>
      <w:r>
        <w:rPr>
          <w:rFonts w:ascii="Arial" w:cs="Arial" w:eastAsia="Arial" w:hAnsi="Arial"/>
          <w:b/>
          <w:bCs/>
          <w:sz w:val="32"/>
          <w:szCs w:val="32"/>
        </w:rPr>
        <w:t xml:space="preserve">3. Feature Engineering</w:t>
      </w:r>
    </w:p>
    <w:p>
      <w:pPr>
        <w:pStyle w:val="Heading2"/>
      </w:pPr>
      <w:r>
        <w:rPr>
          <w:rFonts w:ascii="Arial" w:cs="Arial" w:eastAsia="Arial" w:hAnsi="Arial"/>
          <w:b/>
          <w:bCs/>
          <w:sz w:val="28"/>
          <w:szCs w:val="28"/>
        </w:rPr>
        <w:t xml:space="preserve">3.1 Motivation</w:t>
      </w:r>
    </w:p>
    <w:p>
      <w:pPr>
        <w:spacing w:after="120"/>
      </w:pPr>
      <w:r>
        <w:rPr>
          <w:rFonts w:ascii="Arial" w:cs="Arial" w:eastAsia="Arial" w:hAnsi="Arial"/>
          <w:sz w:val="22"/>
          <w:szCs w:val="22"/>
        </w:rPr>
        <w:t xml:space="preserve">Phase 4 used only ECFP4 binary fingerprints, which capture the presence or absence of local atomic substructures within a radius of two bonds. While effective, this single representation loses two important types of information:</w:t>
      </w:r>
    </w:p>
    <w:p>
      <w:pPr>
        <w:pStyle w:val="ListParagraph"/>
        <w:numPr>
          <w:ilvl w:val="0"/>
          <w:numId w:val="2"/>
        </w:numPr>
        <w:spacing w:after="80"/>
      </w:pPr>
      <w:r>
        <w:rPr>
          <w:rFonts w:ascii="Arial" w:cs="Arial" w:eastAsia="Arial" w:hAnsi="Arial"/>
          <w:sz w:val="22"/>
          <w:szCs w:val="22"/>
        </w:rPr>
        <w:t xml:space="preserve">Frequency: how many times a substructure appears (binary encoding collapses all counts to 0 or 1)</w:t>
      </w:r>
    </w:p>
    <w:p>
      <w:pPr>
        <w:pStyle w:val="ListParagraph"/>
        <w:numPr>
          <w:ilvl w:val="0"/>
          <w:numId w:val="2"/>
        </w:numPr>
        <w:spacing w:after="80"/>
      </w:pPr>
      <w:r>
        <w:rPr>
          <w:rFonts w:ascii="Arial" w:cs="Arial" w:eastAsia="Arial" w:hAnsi="Arial"/>
          <w:sz w:val="22"/>
          <w:szCs w:val="22"/>
        </w:rPr>
        <w:t xml:space="preserve">Global properties: physicochemical descriptors such as molecular weight, lipophilicity, charge distribution, and surface area, which are known to influence membrane permeability in bacteria</w:t>
      </w:r>
    </w:p>
    <w:p>
      <w:pPr>
        <w:spacing w:after="80"/>
      </w:pPr>
      <w:r>
        <w:t xml:space="preserve"/>
      </w:r>
    </w:p>
    <w:p>
      <w:pPr>
        <w:spacing w:after="120"/>
      </w:pPr>
      <w:r>
        <w:rPr>
          <w:rFonts w:ascii="Arial" w:cs="Arial" w:eastAsia="Arial" w:hAnsi="Arial"/>
          <w:sz w:val="22"/>
          <w:szCs w:val="22"/>
        </w:rPr>
        <w:t xml:space="preserve">Phase 5 constructs a combined feature vector from four complementary representations concatenated into a single matrix.</w:t>
      </w:r>
    </w:p>
    <w:p>
      <w:pPr>
        <w:spacing w:after="80"/>
      </w:pPr>
      <w:r>
        <w:t xml:space="preserve"/>
      </w:r>
    </w:p>
    <w:p>
      <w:pPr>
        <w:pStyle w:val="Heading2"/>
      </w:pPr>
      <w:r>
        <w:rPr>
          <w:rFonts w:ascii="Arial" w:cs="Arial" w:eastAsia="Arial" w:hAnsi="Arial"/>
          <w:b/>
          <w:bCs/>
          <w:sz w:val="28"/>
          <w:szCs w:val="28"/>
        </w:rPr>
        <w:t xml:space="preserve">3.2 Feature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Block</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Dimensions</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Captures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ECFP4 binary (Morgan r=2)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2,048</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Presence of local atomic substructures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ECFP4 count (Morgan r=2)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2,048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Frequency of local atomic substructures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MACCS keys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167</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166 predefined structural alert patterns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RDKit 2D descriptors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Global physicochemical properties: LogP, TPSA, MW, partial charges, etc.</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4,480</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Combined feature vector per molecule</w:t>
            </w:r>
          </w:p>
        </w:tc>
      </w:tr>
    </w:tbl>
    <w:p>
      <w:pPr>
        <w:spacing w:after="80"/>
      </w:pPr>
      <w:r>
        <w:t xml:space="preserve"/>
      </w:r>
    </w:p>
    <w:p>
      <w:pPr>
        <w:pStyle w:val="Heading2"/>
      </w:pPr>
      <w:r>
        <w:rPr>
          <w:rFonts w:ascii="Arial" w:cs="Arial" w:eastAsia="Arial" w:hAnsi="Arial"/>
          <w:b/>
          <w:bCs/>
          <w:sz w:val="28"/>
          <w:szCs w:val="28"/>
        </w:rPr>
        <w:t xml:space="preserve">3.3 Descriptor Normalisation</w:t>
      </w:r>
    </w:p>
    <w:p>
      <w:pPr>
        <w:spacing w:after="120"/>
      </w:pPr>
      <w:r>
        <w:rPr>
          <w:rFonts w:ascii="Arial" w:cs="Arial" w:eastAsia="Arial" w:hAnsi="Arial"/>
          <w:sz w:val="22"/>
          <w:szCs w:val="22"/>
        </w:rPr>
        <w:t xml:space="preserve">RDKit 2D descriptors have heterogeneous scales. A StandardScaler was fitted on the training set and applied to both train and test descriptor columns before passing features to the Logistic Regression base learner. Tree-based models are scale-invariant and did not require normalisation.</w:t>
      </w:r>
    </w:p>
    <w:p>
      <w:pPr>
        <w:spacing w:after="80"/>
      </w:pPr>
      <w:r>
        <w:t xml:space="preserve"/>
      </w:r>
    </w:p>
    <w:p>
      <w:pPr>
        <w:pStyle w:val="Heading1"/>
      </w:pPr>
      <w:r>
        <w:rPr>
          <w:rFonts w:ascii="Arial" w:cs="Arial" w:eastAsia="Arial" w:hAnsi="Arial"/>
          <w:b/>
          <w:bCs/>
          <w:sz w:val="32"/>
          <w:szCs w:val="32"/>
        </w:rPr>
        <w:t xml:space="preserve">4. Stratified Scaffold Split</w:t>
      </w:r>
    </w:p>
    <w:p>
      <w:pPr>
        <w:pStyle w:val="Heading2"/>
      </w:pPr>
      <w:r>
        <w:rPr>
          <w:rFonts w:ascii="Arial" w:cs="Arial" w:eastAsia="Arial" w:hAnsi="Arial"/>
          <w:b/>
          <w:bCs/>
          <w:sz w:val="28"/>
          <w:szCs w:val="28"/>
        </w:rPr>
        <w:t xml:space="preserve">4.1 Why Scaffold Splitting</w:t>
      </w:r>
    </w:p>
    <w:p>
      <w:pPr>
        <w:spacing w:after="120"/>
      </w:pPr>
      <w:r>
        <w:rPr>
          <w:rFonts w:ascii="Arial" w:cs="Arial" w:eastAsia="Arial" w:hAnsi="Arial"/>
          <w:sz w:val="22"/>
          <w:szCs w:val="22"/>
        </w:rPr>
        <w:t xml:space="preserve">A simple random split would allow structurally similar molecules to appear in both train and test sets, producing an optimistic evaluation that would not generalise to genuinely novel compounds. Scaffold splitting (Bemis-Murcko method) assigns all molecules sharing the same core ring system to either train or test — never both — simulating the realistic drug discovery scenario of predicting activity for structurally new chemotypes.</w:t>
      </w:r>
    </w:p>
    <w:p>
      <w:pPr>
        <w:spacing w:after="80"/>
      </w:pPr>
      <w:r>
        <w:t xml:space="preserve"/>
      </w:r>
    </w:p>
    <w:p>
      <w:pPr>
        <w:pStyle w:val="Heading2"/>
      </w:pPr>
      <w:r>
        <w:rPr>
          <w:rFonts w:ascii="Arial" w:cs="Arial" w:eastAsia="Arial" w:hAnsi="Arial"/>
          <w:b/>
          <w:bCs/>
          <w:sz w:val="28"/>
          <w:szCs w:val="28"/>
        </w:rPr>
        <w:t xml:space="preserve">4.2 The Stratification Problem and Fix</w:t>
      </w:r>
    </w:p>
    <w:p>
      <w:pPr>
        <w:spacing w:after="120"/>
      </w:pPr>
      <w:r>
        <w:rPr>
          <w:rFonts w:ascii="Arial" w:cs="Arial" w:eastAsia="Arial" w:hAnsi="Arial"/>
          <w:sz w:val="22"/>
          <w:szCs w:val="22"/>
        </w:rPr>
        <w:t xml:space="preserve">A naive scaffold split placed all 120 active compounds in the training set and zero in the test set — a consequence of the severe class imbalance (5.14% positives). AUPRC cannot be computed with no positives in the test set, and the Phase 4 result of 0.36 was produced under exactly this condition.</w:t>
      </w:r>
    </w:p>
    <w:p>
      <w:pPr>
        <w:spacing w:after="80"/>
      </w:pPr>
      <w:r>
        <w:t xml:space="preserve"/>
      </w:r>
    </w:p>
    <w:p>
      <w:pPr>
        <w:spacing w:after="120"/>
      </w:pPr>
      <w:r>
        <w:rPr>
          <w:rFonts w:ascii="Arial" w:cs="Arial" w:eastAsia="Arial" w:hAnsi="Arial"/>
          <w:sz w:val="22"/>
          <w:szCs w:val="22"/>
        </w:rPr>
        <w:t xml:space="preserve">This was corrected with a stratified scaffold split:</w:t>
      </w:r>
    </w:p>
    <w:p>
      <w:pPr>
        <w:pStyle w:val="ListParagraph"/>
        <w:numPr>
          <w:ilvl w:val="0"/>
          <w:numId w:val="3"/>
        </w:numPr>
        <w:spacing w:after="80"/>
      </w:pPr>
      <w:r>
        <w:rPr>
          <w:rFonts w:ascii="Arial" w:cs="Arial" w:eastAsia="Arial" w:hAnsi="Arial"/>
          <w:sz w:val="22"/>
          <w:szCs w:val="22"/>
        </w:rPr>
        <w:t xml:space="preserve">Scaffolds were separated into two buckets: those containing at least one active compound, and those with only inactive compounds.</w:t>
      </w:r>
    </w:p>
    <w:p>
      <w:pPr>
        <w:pStyle w:val="ListParagraph"/>
        <w:numPr>
          <w:ilvl w:val="0"/>
          <w:numId w:val="3"/>
        </w:numPr>
        <w:spacing w:after="80"/>
      </w:pPr>
      <w:r>
        <w:rPr>
          <w:rFonts w:ascii="Arial" w:cs="Arial" w:eastAsia="Arial" w:hAnsi="Arial"/>
          <w:sz w:val="22"/>
          <w:szCs w:val="22"/>
        </w:rPr>
        <w:t xml:space="preserve">Approximately 20% of positive-containing scaffolds were assigned to the test set first.</w:t>
      </w:r>
    </w:p>
    <w:p>
      <w:pPr>
        <w:pStyle w:val="ListParagraph"/>
        <w:numPr>
          <w:ilvl w:val="0"/>
          <w:numId w:val="3"/>
        </w:numPr>
        <w:spacing w:after="80"/>
      </w:pPr>
      <w:r>
        <w:rPr>
          <w:rFonts w:ascii="Arial" w:cs="Arial" w:eastAsia="Arial" w:hAnsi="Arial"/>
          <w:sz w:val="22"/>
          <w:szCs w:val="22"/>
        </w:rPr>
        <w:t xml:space="preserve">The remaining test quota was filled with negative-only scaffolds up to 20% of total molecules.</w:t>
      </w:r>
    </w:p>
    <w:p>
      <w:pPr>
        <w:pStyle w:val="ListParagraph"/>
        <w:numPr>
          <w:ilvl w:val="0"/>
          <w:numId w:val="3"/>
        </w:numPr>
        <w:spacing w:after="80"/>
      </w:pPr>
      <w:r>
        <w:rPr>
          <w:rFonts w:ascii="Arial" w:cs="Arial" w:eastAsia="Arial" w:hAnsi="Arial"/>
          <w:sz w:val="22"/>
          <w:szCs w:val="22"/>
        </w:rPr>
        <w:t xml:space="preserve">All remaining scaffolds went to training.</w:t>
      </w:r>
    </w:p>
    <w:p>
      <w:pPr>
        <w:spacing w:after="80"/>
      </w:pPr>
      <w:r>
        <w:t xml:space="preserve"/>
      </w:r>
    </w:p>
    <w:p>
      <w:pPr>
        <w:spacing w:after="120"/>
      </w:pPr>
      <w:r>
        <w:rPr>
          <w:rFonts w:ascii="Arial" w:cs="Arial" w:eastAsia="Arial" w:hAnsi="Arial"/>
          <w:sz w:val="22"/>
          <w:szCs w:val="22"/>
        </w:rPr>
        <w:t xml:space="preserve">Scaffold separation between train and test is fully preserved. The stratification only controls the class distribution within that constraint.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Molecules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 compounds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Positive rate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Training</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1,866</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5.36%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4.27%</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2,334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5.14%</w:t>
            </w:r>
          </w:p>
        </w:tc>
      </w:tr>
    </w:tbl>
    <w:p>
      <w:pPr>
        <w:spacing w:after="80"/>
      </w:pPr>
      <w:r>
        <w:t xml:space="preserve"/>
      </w:r>
    </w:p>
    <w:p>
      <w:pPr>
        <w:pStyle w:val="Heading1"/>
      </w:pPr>
      <w:r>
        <w:rPr>
          <w:rFonts w:ascii="Arial" w:cs="Arial" w:eastAsia="Arial" w:hAnsi="Arial"/>
          <w:b/>
          <w:bCs/>
          <w:sz w:val="32"/>
          <w:szCs w:val="32"/>
        </w:rPr>
        <w:t xml:space="preserve">5. Hyperparameter Optimisation</w:t>
      </w:r>
    </w:p>
    <w:p>
      <w:pPr>
        <w:pStyle w:val="Heading2"/>
      </w:pPr>
      <w:r>
        <w:rPr>
          <w:rFonts w:ascii="Arial" w:cs="Arial" w:eastAsia="Arial" w:hAnsi="Arial"/>
          <w:b/>
          <w:bCs/>
          <w:sz w:val="28"/>
          <w:szCs w:val="28"/>
        </w:rPr>
        <w:t xml:space="preserve">5.1 Approach</w:t>
      </w:r>
    </w:p>
    <w:p>
      <w:pPr>
        <w:spacing w:after="120"/>
      </w:pPr>
      <w:r>
        <w:rPr>
          <w:rFonts w:ascii="Arial" w:cs="Arial" w:eastAsia="Arial" w:hAnsi="Arial"/>
          <w:sz w:val="22"/>
          <w:szCs w:val="22"/>
        </w:rPr>
        <w:t xml:space="preserve">Optuna (Akiba et al. 2019) was used with the Tree-structured Parzen Estimator (TPE) sampler — a Bayesian optimisation method that builds probabilistic models of which parameter regions are most promising and focuses sampling there, more efficient than grid or random search.</w:t>
      </w:r>
    </w:p>
    <w:p>
      <w:pPr>
        <w:spacing w:after="80"/>
      </w:pPr>
      <w:r>
        <w:t xml:space="preserve"/>
      </w:r>
    </w:p>
    <w:p>
      <w:pPr>
        <w:spacing w:after="120"/>
      </w:pPr>
      <w:r>
        <w:rPr>
          <w:rFonts w:ascii="Arial" w:cs="Arial" w:eastAsia="Arial" w:hAnsi="Arial"/>
          <w:sz w:val="22"/>
          <w:szCs w:val="22"/>
        </w:rPr>
        <w:t xml:space="preserve">Configuration:</w:t>
      </w:r>
    </w:p>
    <w:p>
      <w:pPr>
        <w:pStyle w:val="ListParagraph"/>
        <w:numPr>
          <w:ilvl w:val="0"/>
          <w:numId w:val="2"/>
        </w:numPr>
        <w:spacing w:after="80"/>
      </w:pPr>
      <w:r>
        <w:rPr>
          <w:rFonts w:ascii="Arial" w:cs="Arial" w:eastAsia="Arial" w:hAnsi="Arial"/>
          <w:sz w:val="22"/>
          <w:szCs w:val="22"/>
        </w:rPr>
        <w:t xml:space="preserve">200 trials per heavy base learner (XGBoost, LightGBM), 80 for Random Forest, 30 for Logistic Regression</w:t>
      </w:r>
    </w:p>
    <w:p>
      <w:pPr>
        <w:pStyle w:val="ListParagraph"/>
        <w:numPr>
          <w:ilvl w:val="0"/>
          <w:numId w:val="2"/>
        </w:numPr>
        <w:spacing w:after="80"/>
      </w:pPr>
      <w:r>
        <w:rPr>
          <w:rFonts w:ascii="Arial" w:cs="Arial" w:eastAsia="Arial" w:hAnsi="Arial"/>
          <w:sz w:val="22"/>
          <w:szCs w:val="22"/>
        </w:rPr>
        <w:t xml:space="preserve">5-fold stratified cross-validation on the training set only — test set strictly held out throughout</w:t>
      </w:r>
    </w:p>
    <w:p>
      <w:pPr>
        <w:pStyle w:val="ListParagraph"/>
        <w:numPr>
          <w:ilvl w:val="0"/>
          <w:numId w:val="2"/>
        </w:numPr>
        <w:spacing w:after="80"/>
      </w:pPr>
      <w:r>
        <w:rPr>
          <w:rFonts w:ascii="Arial" w:cs="Arial" w:eastAsia="Arial" w:hAnsi="Arial"/>
          <w:sz w:val="22"/>
          <w:szCs w:val="22"/>
        </w:rPr>
        <w:t xml:space="preserve">Scoring metric: average_precision (AUPRC) — the correct metric for imbalanced classification</w:t>
      </w:r>
    </w:p>
    <w:p>
      <w:pPr>
        <w:pStyle w:val="ListParagraph"/>
        <w:numPr>
          <w:ilvl w:val="0"/>
          <w:numId w:val="2"/>
        </w:numPr>
        <w:spacing w:after="80"/>
      </w:pPr>
      <w:r>
        <w:rPr>
          <w:rFonts w:ascii="Arial" w:cs="Arial" w:eastAsia="Arial" w:hAnsi="Arial"/>
          <w:sz w:val="22"/>
          <w:szCs w:val="22"/>
        </w:rPr>
        <w:t xml:space="preserve">MedianPruner to cancel clearly unpromising trials early</w:t>
      </w:r>
    </w:p>
    <w:p>
      <w:pPr>
        <w:pStyle w:val="ListParagraph"/>
        <w:numPr>
          <w:ilvl w:val="0"/>
          <w:numId w:val="2"/>
        </w:numPr>
        <w:spacing w:after="80"/>
      </w:pPr>
      <w:r>
        <w:rPr>
          <w:rFonts w:ascii="Arial" w:cs="Arial" w:eastAsia="Arial" w:hAnsi="Arial"/>
          <w:sz w:val="22"/>
          <w:szCs w:val="22"/>
        </w:rPr>
        <w:t xml:space="preserve">GPU acceleration for XGBoost (device=cuda) and LightGBM (device=gpu)</w:t>
      </w:r>
    </w:p>
    <w:p>
      <w:pPr>
        <w:spacing w:after="80"/>
      </w:pPr>
      <w:r>
        <w:t xml:space="preserve"/>
      </w:r>
    </w:p>
    <w:p>
      <w:pPr>
        <w:pStyle w:val="Heading2"/>
      </w:pPr>
      <w:r>
        <w:rPr>
          <w:rFonts w:ascii="Arial" w:cs="Arial" w:eastAsia="Arial" w:hAnsi="Arial"/>
          <w:b/>
          <w:bCs/>
          <w:sz w:val="28"/>
          <w:szCs w:val="28"/>
        </w:rPr>
        <w:t xml:space="preserve">5.2 Best Hyperparameters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70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Parameters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70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depth=7, lr=0.036, n_estimators=1300, subsample=0.74, colsample=0.44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LightGBM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leaves=25, depth=7, lr=0.0077, n_estimators=1000, min_child=26</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70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n_estimators=800, depth=23, min_split=4, max_features=sqrt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Logistic Regression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C=0.077, penalty=L2, solver=liblinear</w:t>
            </w:r>
          </w:p>
        </w:tc>
      </w:tr>
    </w:tbl>
    <w:p>
      <w:pPr>
        <w:spacing w:after="80"/>
      </w:pPr>
      <w:r>
        <w:t xml:space="preserve"/>
      </w:r>
    </w:p>
    <w:p>
      <w:pPr>
        <w:pStyle w:val="Heading1"/>
      </w:pPr>
      <w:r>
        <w:rPr>
          <w:rFonts w:ascii="Arial" w:cs="Arial" w:eastAsia="Arial" w:hAnsi="Arial"/>
          <w:b/>
          <w:bCs/>
          <w:sz w:val="32"/>
          <w:szCs w:val="32"/>
        </w:rPr>
        <w:t xml:space="preserve">6. Stacking Ensemble</w:t>
      </w:r>
    </w:p>
    <w:p>
      <w:pPr>
        <w:pStyle w:val="Heading2"/>
      </w:pPr>
      <w:r>
        <w:rPr>
          <w:rFonts w:ascii="Arial" w:cs="Arial" w:eastAsia="Arial" w:hAnsi="Arial"/>
          <w:b/>
          <w:bCs/>
          <w:sz w:val="28"/>
          <w:szCs w:val="28"/>
        </w:rPr>
        <w:t xml:space="preserve">6.1 Motivation</w:t>
      </w:r>
    </w:p>
    <w:p>
      <w:pPr>
        <w:spacing w:after="120"/>
      </w:pPr>
      <w:r>
        <w:rPr>
          <w:rFonts w:ascii="Arial" w:cs="Arial" w:eastAsia="Arial" w:hAnsi="Arial"/>
          <w:sz w:val="22"/>
          <w:szCs w:val="22"/>
        </w:rPr>
        <w:t xml:space="preserve">Individual models make different types of errors. Combining their predictions via a meta-learner can outperform any single model because uncorrelated errors tend to cancel. Stacking is more principled than simple averaging because the meta-learner learns to weight models based on their actual predictive contributions.</w:t>
      </w:r>
    </w:p>
    <w:p>
      <w:pPr>
        <w:spacing w:after="80"/>
      </w:pPr>
      <w:r>
        <w:t xml:space="preserve"/>
      </w:r>
    </w:p>
    <w:p>
      <w:pPr>
        <w:pStyle w:val="Heading2"/>
      </w:pPr>
      <w:r>
        <w:rPr>
          <w:rFonts w:ascii="Arial" w:cs="Arial" w:eastAsia="Arial" w:hAnsi="Arial"/>
          <w:b/>
          <w:bCs/>
          <w:sz w:val="28"/>
          <w:szCs w:val="28"/>
        </w:rPr>
        <w:t xml:space="preserve">6.2 Implementation</w:t>
      </w:r>
    </w:p>
    <w:p>
      <w:pPr>
        <w:spacing w:after="120"/>
      </w:pPr>
      <w:r>
        <w:rPr>
          <w:rFonts w:ascii="Arial" w:cs="Arial" w:eastAsia="Arial" w:hAnsi="Arial"/>
          <w:sz w:val="22"/>
          <w:szCs w:val="22"/>
        </w:rPr>
        <w:t xml:space="preserve">Out-of-fold (OOF) predictions were generated for each base learner using 5-fold cross-validation on the training set. Each molecule's OOF prediction was made by a model that had not seen that molecule during training, preventing the meta-learner from being trained on optimistically biased predictions. A Logistic Regression meta-learner was then trained on the 4-column OOF matrix to produce the final stacked prediction.</w:t>
      </w:r>
    </w:p>
    <w:p>
      <w:pPr>
        <w:spacing w:after="80"/>
      </w:pPr>
      <w:r>
        <w:t xml:space="preserve"/>
      </w:r>
    </w:p>
    <w:p>
      <w:pPr>
        <w:pStyle w:val="Heading2"/>
      </w:pPr>
      <w:r>
        <w:rPr>
          <w:rFonts w:ascii="Arial" w:cs="Arial" w:eastAsia="Arial" w:hAnsi="Arial"/>
          <w:b/>
          <w:bCs/>
          <w:sz w:val="28"/>
          <w:szCs w:val="28"/>
        </w:rPr>
        <w:t xml:space="preserve">6.3 Meta-learner Coefficients</w:t>
      </w:r>
    </w:p>
    <w:p>
      <w:pPr>
        <w:pStyle w:val="ListParagraph"/>
        <w:numPr>
          <w:ilvl w:val="0"/>
          <w:numId w:val="2"/>
        </w:numPr>
        <w:spacing w:after="80"/>
      </w:pPr>
      <w:r>
        <w:rPr>
          <w:rFonts w:ascii="Arial" w:cs="Arial" w:eastAsia="Arial" w:hAnsi="Arial"/>
          <w:sz w:val="22"/>
          <w:szCs w:val="22"/>
        </w:rPr>
        <w:t xml:space="preserve">XGBoost: +2.29</w:t>
      </w:r>
    </w:p>
    <w:p>
      <w:pPr>
        <w:pStyle w:val="ListParagraph"/>
        <w:numPr>
          <w:ilvl w:val="0"/>
          <w:numId w:val="2"/>
        </w:numPr>
        <w:spacing w:after="80"/>
      </w:pPr>
      <w:r>
        <w:rPr>
          <w:rFonts w:ascii="Arial" w:cs="Arial" w:eastAsia="Arial" w:hAnsi="Arial"/>
          <w:sz w:val="22"/>
          <w:szCs w:val="22"/>
        </w:rPr>
        <w:t xml:space="preserve">LightGBM: -0.85</w:t>
      </w:r>
    </w:p>
    <w:p>
      <w:pPr>
        <w:pStyle w:val="ListParagraph"/>
        <w:numPr>
          <w:ilvl w:val="0"/>
          <w:numId w:val="2"/>
        </w:numPr>
        <w:spacing w:after="80"/>
      </w:pPr>
      <w:r>
        <w:rPr>
          <w:rFonts w:ascii="Arial" w:cs="Arial" w:eastAsia="Arial" w:hAnsi="Arial"/>
          <w:sz w:val="22"/>
          <w:szCs w:val="22"/>
        </w:rPr>
        <w:t xml:space="preserve">Random Forest: +6.68</w:t>
      </w:r>
    </w:p>
    <w:p>
      <w:pPr>
        <w:pStyle w:val="ListParagraph"/>
        <w:numPr>
          <w:ilvl w:val="0"/>
          <w:numId w:val="2"/>
        </w:numPr>
        <w:spacing w:after="80"/>
      </w:pPr>
      <w:r>
        <w:rPr>
          <w:rFonts w:ascii="Arial" w:cs="Arial" w:eastAsia="Arial" w:hAnsi="Arial"/>
          <w:sz w:val="22"/>
          <w:szCs w:val="22"/>
        </w:rPr>
        <w:t xml:space="preserve">Logistic Regression: +1.27</w:t>
      </w:r>
    </w:p>
    <w:p>
      <w:pPr>
        <w:spacing w:after="80"/>
      </w:pPr>
      <w:r>
        <w:t xml:space="preserve"/>
      </w:r>
    </w:p>
    <w:p>
      <w:pPr>
        <w:spacing w:after="120"/>
      </w:pPr>
      <w:r>
        <w:rPr>
          <w:rFonts w:ascii="Arial" w:cs="Arial" w:eastAsia="Arial" w:hAnsi="Arial"/>
          <w:sz w:val="22"/>
          <w:szCs w:val="22"/>
        </w:rPr>
        <w:t xml:space="preserve">Random Forest received the highest weight, indicating it contributed the most complementary information not already captured by the gradient boosting models.</w:t>
      </w:r>
    </w:p>
    <w:p>
      <w:pPr>
        <w:spacing w:after="80"/>
      </w:pPr>
      <w:r>
        <w:t xml:space="preserve"/>
      </w:r>
    </w:p>
    <w:p>
      <w:pPr>
        <w:pStyle w:val="Heading1"/>
      </w:pPr>
      <w:r>
        <w:rPr>
          <w:rFonts w:ascii="Arial" w:cs="Arial" w:eastAsia="Arial" w:hAnsi="Arial"/>
          <w:b/>
          <w:bCs/>
          <w:sz w:val="32"/>
          <w:szCs w:val="32"/>
        </w:rPr>
        <w:t xml:space="preserve">7. Results</w:t>
      </w:r>
    </w:p>
    <w:p>
      <w:pPr>
        <w:pStyle w:val="Heading2"/>
      </w:pPr>
      <w:r>
        <w:rPr>
          <w:rFonts w:ascii="Arial" w:cs="Arial" w:eastAsia="Arial" w:hAnsi="Arial"/>
          <w:b/>
          <w:bCs/>
          <w:sz w:val="28"/>
          <w:szCs w:val="28"/>
        </w:rPr>
        <w:t xml:space="preserve">7.1 Test Set Performance</w:t>
      </w:r>
    </w:p>
    <w:p>
      <w:pPr>
        <w:spacing w:after="120"/>
      </w:pPr>
      <w:r>
        <w:rPr>
          <w:rFonts w:ascii="Arial" w:cs="Arial" w:eastAsia="Arial" w:hAnsi="Arial"/>
          <w:sz w:val="22"/>
          <w:szCs w:val="22"/>
        </w:rPr>
        <w:t xml:space="preserve">All models were evaluated on the held-out scaffold-split test set (468 molecules, 20 positives). Bootstrap resampling (1,000 iterations) was used to compute 95% confidence intervals on AUPRC.</w:t>
      </w:r>
    </w:p>
    <w:p>
      <w:pPr>
        <w:spacing w:after="80"/>
      </w:pPr>
      <w:r>
        <w:t xml:space="preserve"/>
      </w:r>
    </w:p>
    <w:tbl>
      <w:tblPr>
        <w:tblW w:type="dxa" w:w="8096"/>
        <w:tblBorders>
          <w:top w:val="single" w:color="auto" w:sz="4"/>
          <w:left w:val="single" w:color="auto" w:sz="4"/>
          <w:bottom w:val="single" w:color="auto" w:sz="4"/>
          <w:right w:val="single" w:color="auto" w:sz="4"/>
          <w:insideH w:val="single" w:color="auto" w:sz="4"/>
          <w:insideV w:val="single" w:color="auto" w:sz="4"/>
        </w:tblBorders>
      </w:tblPr>
      <w:tblGrid>
        <w:gridCol w:w="1820"/>
        <w:gridCol w:w="936"/>
        <w:gridCol w:w="1200"/>
        <w:gridCol w:w="936"/>
        <w:gridCol w:w="936"/>
        <w:gridCol w:w="756"/>
        <w:gridCol w:w="756"/>
        <w:gridCol w:w="756"/>
      </w:tblGrid>
      <w:tr>
        <w:trPr>
          <w:tblHeader/>
        </w:trPr>
        <w:tc>
          <w:tcPr>
            <w:tcW w:type="dxa" w:w="18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93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AUPRC</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 CI</w:t>
            </w:r>
          </w:p>
        </w:tc>
        <w:tc>
          <w:tcPr>
            <w:tcW w:type="dxa" w:w="93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93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Brier</w:t>
            </w:r>
          </w:p>
        </w:tc>
        <w:tc>
          <w:tcPr>
            <w:tcW w:type="dxa" w:w="75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P@10</w:t>
            </w:r>
          </w:p>
        </w:tc>
        <w:tc>
          <w:tcPr>
            <w:tcW w:type="dxa" w:w="75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P@20</w:t>
            </w:r>
          </w:p>
        </w:tc>
        <w:tc>
          <w:tcPr>
            <w:tcW w:type="dxa" w:w="75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P@50</w:t>
            </w:r>
          </w:p>
        </w:tc>
      </w:tr>
      <w:tr>
        <w:tc>
          <w:tcPr>
            <w:tcW w:type="dxa" w:w="18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Phase 4 baseline*</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0.36</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0.79</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Literature target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18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XGBoost (tuned)</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0.6289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[0.41, 0.82]</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0.9106</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0.029</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0.80</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0.30</w:t>
            </w:r>
          </w:p>
        </w:tc>
      </w:tr>
      <w:tr>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LightGBM (tuned)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0.6242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[0.39, 0.82]</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0.9259</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0.028</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0.65</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0.30</w:t>
            </w:r>
          </w:p>
        </w:tc>
      </w:tr>
      <w:tr>
        <w:tc>
          <w:tcPr>
            <w:tcW w:type="dxa" w:w="18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0.6426</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[0.42, 0.83]</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0.9222</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0.027</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0.30</w:t>
            </w:r>
          </w:p>
        </w:tc>
      </w:tr>
      <w:tr>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Logistic Regression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0.4480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[0.24, 0.70]</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0.8596</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0.053</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0.55</w:t>
            </w:r>
          </w:p>
        </w:tc>
        <w:tc>
          <w:tcPr>
            <w:tcW w:type="dxa" w:w="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0.26</w:t>
            </w:r>
          </w:p>
        </w:tc>
      </w:tr>
      <w:tr>
        <w:tc>
          <w:tcPr>
            <w:tcW w:type="dxa" w:w="18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Stacking ensemble</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0.6460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[0.43, 0.83]</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0.9188</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0.104</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0.65</w:t>
            </w:r>
          </w:p>
        </w:tc>
        <w:tc>
          <w:tcPr>
            <w:tcW w:type="dxa" w:w="75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0.30</w:t>
            </w:r>
          </w:p>
        </w:tc>
      </w:tr>
    </w:tbl>
    <w:p>
      <w:pPr>
        <w:spacing w:after="80"/>
      </w:pPr>
      <w:r>
        <w:t xml:space="preserve"/>
      </w:r>
    </w:p>
    <w:p>
      <w:pPr>
        <w:spacing w:after="120"/>
      </w:pPr>
      <w:r>
        <w:rPr>
          <w:rFonts w:ascii="Arial" w:cs="Arial" w:eastAsia="Arial" w:hAnsi="Arial"/>
          <w:sz w:val="22"/>
          <w:szCs w:val="22"/>
        </w:rPr>
        <w:t xml:space="preserve">* The Phase 4 AUPRC of 0.36 was produced by a split with zero test positives and is not directly comparable. See Section 8 for a controlled comparison on a valid split.</w:t>
      </w:r>
    </w:p>
    <w:p>
      <w:pPr>
        <w:spacing w:after="80"/>
      </w:pPr>
      <w:r>
        <w:t xml:space="preserve"/>
      </w:r>
    </w:p>
    <w:p>
      <w:pPr>
        <w:spacing w:after="120"/>
      </w:pPr>
      <w:r>
        <w:rPr>
          <w:rFonts w:ascii="Arial" w:cs="Arial" w:eastAsia="Arial" w:hAnsi="Arial"/>
          <w:sz w:val="22"/>
          <w:szCs w:val="22"/>
        </w:rPr>
        <w:t xml:space="preserve">P@K = precision at top-K ranked predictions (fraction of true actives in the top K compounds). This is the most operationally relevant metric for drug discovery: it quantifies how many confirmed actives a researcher would find if they sent the top K model predictions to the wet lab.</w:t>
      </w:r>
    </w:p>
    <w:p>
      <w:pPr>
        <w:spacing w:after="80"/>
      </w:pPr>
      <w:r>
        <w:t xml:space="preserve"/>
      </w:r>
    </w:p>
    <w:p>
      <w:pPr>
        <w:pStyle w:val="Heading2"/>
      </w:pPr>
      <w:r>
        <w:rPr>
          <w:rFonts w:ascii="Arial" w:cs="Arial" w:eastAsia="Arial" w:hAnsi="Arial"/>
          <w:b/>
          <w:bCs/>
          <w:sz w:val="28"/>
          <w:szCs w:val="28"/>
        </w:rPr>
        <w:t xml:space="preserve">7.2 SHAP Feature Importances</w:t>
      </w:r>
    </w:p>
    <w:p>
      <w:pPr>
        <w:spacing w:after="120"/>
      </w:pPr>
      <w:r>
        <w:rPr>
          <w:rFonts w:ascii="Arial" w:cs="Arial" w:eastAsia="Arial" w:hAnsi="Arial"/>
          <w:sz w:val="22"/>
          <w:szCs w:val="22"/>
        </w:rPr>
        <w:t xml:space="preserve">SHAP (SHapley Additive exPlanations) analysis on the tuned XGBoost model identified the top 30 predictive features as predominantly RDKit 2D physicochemical descriptors, particularly:</w:t>
      </w:r>
    </w:p>
    <w:p>
      <w:pPr>
        <w:pStyle w:val="ListParagraph"/>
        <w:numPr>
          <w:ilvl w:val="0"/>
          <w:numId w:val="2"/>
        </w:numPr>
        <w:spacing w:after="80"/>
      </w:pPr>
      <w:r>
        <w:rPr>
          <w:rFonts w:ascii="Arial" w:cs="Arial" w:eastAsia="Arial" w:hAnsi="Arial"/>
          <w:sz w:val="22"/>
          <w:szCs w:val="22"/>
        </w:rPr>
        <w:t xml:space="preserve">PEOE_VSA descriptors (partial charge distribution across van der Waals surface area) — ranked #1</w:t>
      </w:r>
    </w:p>
    <w:p>
      <w:pPr>
        <w:pStyle w:val="ListParagraph"/>
        <w:numPr>
          <w:ilvl w:val="0"/>
          <w:numId w:val="2"/>
        </w:numPr>
        <w:spacing w:after="80"/>
      </w:pPr>
      <w:r>
        <w:rPr>
          <w:rFonts w:ascii="Arial" w:cs="Arial" w:eastAsia="Arial" w:hAnsi="Arial"/>
          <w:sz w:val="22"/>
          <w:szCs w:val="22"/>
        </w:rPr>
        <w:t xml:space="preserve">EState_VSA descriptors (electronic state surface area contributions)</w:t>
      </w:r>
    </w:p>
    <w:p>
      <w:pPr>
        <w:pStyle w:val="ListParagraph"/>
        <w:numPr>
          <w:ilvl w:val="0"/>
          <w:numId w:val="2"/>
        </w:numPr>
        <w:spacing w:after="80"/>
      </w:pPr>
      <w:r>
        <w:rPr>
          <w:rFonts w:ascii="Arial" w:cs="Arial" w:eastAsia="Arial" w:hAnsi="Arial"/>
          <w:sz w:val="22"/>
          <w:szCs w:val="22"/>
        </w:rPr>
        <w:t xml:space="preserve">BCUT2D descriptors (eigenvalue-based descriptors capturing atom connectivity and charge)</w:t>
      </w:r>
    </w:p>
    <w:p>
      <w:pPr>
        <w:pStyle w:val="ListParagraph"/>
        <w:numPr>
          <w:ilvl w:val="0"/>
          <w:numId w:val="2"/>
        </w:numPr>
        <w:spacing w:after="80"/>
      </w:pPr>
      <w:r>
        <w:rPr>
          <w:rFonts w:ascii="Arial" w:cs="Arial" w:eastAsia="Arial" w:hAnsi="Arial"/>
          <w:sz w:val="22"/>
          <w:szCs w:val="22"/>
        </w:rPr>
        <w:t xml:space="preserve">Chi connectivity indices (topological shape descriptors)</w:t>
      </w:r>
    </w:p>
    <w:p>
      <w:pPr>
        <w:spacing w:after="80"/>
      </w:pPr>
      <w:r>
        <w:t xml:space="preserve"/>
      </w:r>
    </w:p>
    <w:p>
      <w:pPr>
        <w:spacing w:after="120"/>
      </w:pPr>
      <w:r>
        <w:rPr>
          <w:rFonts w:ascii="Arial" w:cs="Arial" w:eastAsia="Arial" w:hAnsi="Arial"/>
          <w:sz w:val="22"/>
          <w:szCs w:val="22"/>
        </w:rPr>
        <w:t xml:space="preserve">This is biologically meaningful: Gram-negative bacteria such as E. coli have outer membranes that act as electrostatic barriers, so charge distribution and surface electronic properties are physically relevant to membrane permeability and antibacterial activity. The model appears to have learned chemically interpretable decision rules rather than memorising scaffold patterns.</w:t>
      </w:r>
    </w:p>
    <w:p>
      <w:pPr>
        <w:spacing w:after="80"/>
      </w:pPr>
      <w:r>
        <w:t xml:space="preserve"/>
      </w:r>
    </w:p>
    <w:p>
      <w:pPr>
        <w:pStyle w:val="Heading2"/>
      </w:pPr>
      <w:r>
        <w:rPr>
          <w:rFonts w:ascii="Arial" w:cs="Arial" w:eastAsia="Arial" w:hAnsi="Arial"/>
          <w:b/>
          <w:bCs/>
          <w:sz w:val="28"/>
          <w:szCs w:val="28"/>
        </w:rPr>
        <w:t xml:space="preserve">7.3 Calibration</w:t>
      </w:r>
    </w:p>
    <w:p>
      <w:pPr>
        <w:spacing w:after="120"/>
      </w:pPr>
      <w:r>
        <w:rPr>
          <w:rFonts w:ascii="Arial" w:cs="Arial" w:eastAsia="Arial" w:hAnsi="Arial"/>
          <w:sz w:val="22"/>
          <w:szCs w:val="22"/>
        </w:rPr>
        <w:t xml:space="preserve">A calibration analysis showed that all models systematically over-predict absolute probabilities, falling below the perfect-calibration diagonal. This is an expected consequence of class weighting (scale_pos_weight, class_weight='balanced'), which inflates minority class scores to improve ranking performance. Since only the ranking of compounds matters for this project, and not absolute probability values, this is not a practical limitation. The stacking ensemble shows the most pronounced miscalibration (Brier = 0.104 vs ~0.03 for base models), consistent with the meta-learner compounding the individual over-predictions.</w:t>
      </w:r>
    </w:p>
    <w:p>
      <w:pPr>
        <w:spacing w:after="80"/>
      </w:pPr>
      <w:r>
        <w:t xml:space="preserve"/>
      </w:r>
    </w:p>
    <w:p>
      <w:pPr>
        <w:pStyle w:val="Heading1"/>
      </w:pPr>
      <w:r>
        <w:rPr>
          <w:rFonts w:ascii="Arial" w:cs="Arial" w:eastAsia="Arial" w:hAnsi="Arial"/>
          <w:b/>
          <w:bCs/>
          <w:sz w:val="32"/>
          <w:szCs w:val="32"/>
        </w:rPr>
        <w:t xml:space="preserve">8. Ablation Study</w:t>
      </w:r>
    </w:p>
    <w:p>
      <w:pPr>
        <w:pStyle w:val="Heading2"/>
      </w:pPr>
      <w:r>
        <w:rPr>
          <w:rFonts w:ascii="Arial" w:cs="Arial" w:eastAsia="Arial" w:hAnsi="Arial"/>
          <w:b/>
          <w:bCs/>
          <w:sz w:val="28"/>
          <w:szCs w:val="28"/>
        </w:rPr>
        <w:t xml:space="preserve">8.1 Motivation and Experimental Design</w:t>
      </w:r>
    </w:p>
    <w:p>
      <w:pPr>
        <w:spacing w:after="120"/>
      </w:pPr>
      <w:r>
        <w:rPr>
          <w:rFonts w:ascii="Arial" w:cs="Arial" w:eastAsia="Arial" w:hAnsi="Arial"/>
          <w:sz w:val="22"/>
          <w:szCs w:val="22"/>
        </w:rPr>
        <w:t xml:space="preserve">The raw comparison of Phase 4 AUPRC (0.36) against Phase 5 (0.65) is misleading because three things changed simultaneously: the split strategy, the features, and the model. Furthermore, the Phase 4 AUPRC of 0.36 was produced under a broken evaluation (zero test positives), making it an invalid baseline for any comparison.</w:t>
      </w:r>
    </w:p>
    <w:p>
      <w:pPr>
        <w:spacing w:after="80"/>
      </w:pPr>
      <w:r>
        <w:t xml:space="preserve"/>
      </w:r>
    </w:p>
    <w:p>
      <w:pPr>
        <w:spacing w:after="120"/>
      </w:pPr>
      <w:r>
        <w:rPr>
          <w:rFonts w:ascii="Arial" w:cs="Arial" w:eastAsia="Arial" w:hAnsi="Arial"/>
          <w:sz w:val="22"/>
          <w:szCs w:val="22"/>
        </w:rPr>
        <w:t xml:space="preserve">To produce a scientifically valid attribution of improvement, a controlled ablation study was designed with the following critical constraint: all four experiments use the exact same test set (468 molecules, 20 positives, from the Phase 5 stratified scaffold split). When experiments share the same test set, any difference in AUPRC is caused only by the variable being changed, not by which molecules happened to be evaluated.</w:t>
      </w:r>
    </w:p>
    <w:p>
      <w:pPr>
        <w:spacing w:after="80"/>
      </w:pPr>
      <w:r>
        <w:t xml:space="preserve"/>
      </w:r>
    </w:p>
    <w:p>
      <w:pPr>
        <w:pStyle w:val="Heading2"/>
      </w:pPr>
      <w:r>
        <w:rPr>
          <w:rFonts w:ascii="Arial" w:cs="Arial" w:eastAsia="Arial" w:hAnsi="Arial"/>
          <w:b/>
          <w:bCs/>
          <w:sz w:val="28"/>
          <w:szCs w:val="28"/>
        </w:rPr>
        <w:t xml:space="preserve">8.2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160"/>
        <w:gridCol w:w="1800"/>
        <w:gridCol w:w="936"/>
        <w:gridCol w:w="936"/>
        <w:gridCol w:w="1188"/>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93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AUPRC</w:t>
            </w:r>
          </w:p>
        </w:tc>
        <w:tc>
          <w:tcPr>
            <w:tcW w:type="dxa" w:w="93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prev</w:t>
            </w:r>
          </w:p>
        </w:tc>
        <w:tc>
          <w:tcPr>
            <w:tcW w:type="dxa" w:w="1188"/>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pos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A: Phase 4 model</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ECFP4 binary (2048)</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Default XGBoost</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0.6125</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118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 Sanity check (=A)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ECFP4 binary (2048)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Default XGBoost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0.6125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+0.0000</w:t>
            </w:r>
          </w:p>
        </w:tc>
        <w:tc>
          <w:tcPr>
            <w:tcW w:type="dxa" w:w="11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C: Features only</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Combined (4480)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Default XGBoost</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0.6241</w:t>
            </w:r>
          </w:p>
        </w:tc>
        <w:tc>
          <w:tcPr>
            <w:tcW w:type="dxa" w:w="93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+0.0116</w:t>
            </w:r>
          </w:p>
        </w:tc>
        <w:tc>
          <w:tcPr>
            <w:tcW w:type="dxa" w:w="118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 Full Phase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Combined (4480)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Tuned XGBoost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0.6289</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+0.0048</w:t>
            </w:r>
          </w:p>
        </w:tc>
        <w:tc>
          <w:tcPr>
            <w:tcW w:type="dxa" w:w="11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r>
    </w:tbl>
    <w:p>
      <w:pPr>
        <w:spacing w:after="80"/>
      </w:pPr>
      <w:r>
        <w:t xml:space="preserve"/>
      </w:r>
    </w:p>
    <w:p>
      <w:pPr>
        <w:pStyle w:val="Heading2"/>
      </w:pPr>
      <w:r>
        <w:rPr>
          <w:rFonts w:ascii="Arial" w:cs="Arial" w:eastAsia="Arial" w:hAnsi="Arial"/>
          <w:b/>
          <w:bCs/>
          <w:sz w:val="28"/>
          <w:szCs w:val="28"/>
        </w:rPr>
        <w:t xml:space="preserve">8.3 Findings</w:t>
      </w:r>
    </w:p>
    <w:p>
      <w:pPr>
        <w:spacing w:after="120"/>
      </w:pPr>
      <w:r>
        <w:rPr>
          <w:rFonts w:ascii="Arial" w:cs="Arial" w:eastAsia="Arial" w:hAnsi="Arial"/>
          <w:sz w:val="22"/>
          <w:szCs w:val="22"/>
        </w:rPr>
        <w:t xml:space="preserve">Experiment B is identical to A and reproduces the exact same AUPRC (0.6125 = 0.6125), confirming full reproducibility of the pipeline.</w:t>
      </w:r>
    </w:p>
    <w:p>
      <w:pPr>
        <w:spacing w:after="80"/>
      </w:pPr>
      <w:r>
        <w:t xml:space="preserve"/>
      </w:r>
    </w:p>
    <w:p>
      <w:pPr>
        <w:spacing w:after="120"/>
      </w:pPr>
      <w:r>
        <w:rPr>
          <w:rFonts w:ascii="Arial" w:cs="Arial" w:eastAsia="Arial" w:hAnsi="Arial"/>
          <w:sz w:val="22"/>
          <w:szCs w:val="22"/>
        </w:rPr>
        <w:t xml:space="preserve">The Phase 4 model (ECFP4 only, default XGBoost) on a valid comparable test set already scores AUPRC = 0.6125, well above the literature benchmark of 0.45. The original Phase 4 score of 0.36 was an artefact of the broken split, not a true reflection of the model's predictive ability.</w:t>
      </w:r>
    </w:p>
    <w:p>
      <w:pPr>
        <w:spacing w:after="80"/>
      </w:pPr>
      <w:r>
        <w:t xml:space="preserve"/>
      </w:r>
    </w:p>
    <w:p>
      <w:pPr>
        <w:spacing w:after="120"/>
      </w:pPr>
      <w:r>
        <w:rPr>
          <w:rFonts w:ascii="Arial" w:cs="Arial" w:eastAsia="Arial" w:hAnsi="Arial"/>
          <w:sz w:val="22"/>
          <w:szCs w:val="22"/>
        </w:rPr>
        <w:t xml:space="preserve">The real, measurable contributions of Phase 5 improvements are:</w:t>
      </w:r>
    </w:p>
    <w:p>
      <w:pPr>
        <w:pStyle w:val="ListParagraph"/>
        <w:numPr>
          <w:ilvl w:val="0"/>
          <w:numId w:val="2"/>
        </w:numPr>
        <w:spacing w:after="80"/>
      </w:pPr>
      <w:r>
        <w:rPr>
          <w:rFonts w:ascii="Arial" w:cs="Arial" w:eastAsia="Arial" w:hAnsi="Arial"/>
          <w:sz w:val="22"/>
          <w:szCs w:val="22"/>
        </w:rPr>
        <w:t xml:space="preserve">Combined features (ECFP4 binary + count + MACCS + RDKit2D) vs ECFP4 alone: +0.012 AUPRC (73% of the total gain)</w:t>
      </w:r>
    </w:p>
    <w:p>
      <w:pPr>
        <w:pStyle w:val="ListParagraph"/>
        <w:numPr>
          <w:ilvl w:val="0"/>
          <w:numId w:val="2"/>
        </w:numPr>
        <w:spacing w:after="80"/>
      </w:pPr>
      <w:r>
        <w:rPr>
          <w:rFonts w:ascii="Arial" w:cs="Arial" w:eastAsia="Arial" w:hAnsi="Arial"/>
          <w:sz w:val="22"/>
          <w:szCs w:val="22"/>
        </w:rPr>
        <w:t xml:space="preserve">Hyperparameter tuning via Optuna TPE: +0.005 AUPRC (27% of the total gain)</w:t>
      </w:r>
    </w:p>
    <w:p>
      <w:pPr>
        <w:pStyle w:val="ListParagraph"/>
        <w:numPr>
          <w:ilvl w:val="0"/>
          <w:numId w:val="2"/>
        </w:numPr>
        <w:spacing w:after="80"/>
      </w:pPr>
      <w:r>
        <w:rPr>
          <w:rFonts w:ascii="Arial" w:cs="Arial" w:eastAsia="Arial" w:hAnsi="Arial"/>
          <w:sz w:val="22"/>
          <w:szCs w:val="22"/>
        </w:rPr>
        <w:t xml:space="preserve">Total Phase 5 improvement over the Phase 4 model on a valid split: +0.016 AUPRC</w:t>
      </w:r>
    </w:p>
    <w:p>
      <w:pPr>
        <w:spacing w:after="80"/>
      </w:pPr>
      <w:r>
        <w:t xml:space="preserve"/>
      </w:r>
    </w:p>
    <w:p>
      <w:pPr>
        <w:spacing w:after="120"/>
      </w:pPr>
      <w:r>
        <w:rPr>
          <w:rFonts w:ascii="Arial" w:cs="Arial" w:eastAsia="Arial" w:hAnsi="Arial"/>
          <w:sz w:val="22"/>
          <w:szCs w:val="22"/>
        </w:rPr>
        <w:t xml:space="preserve">These are genuine and consistent improvements. The combined features contribute the larger share, supporting the hypothesis that global physicochemical descriptors and substructure frequency information encode relevant signals not present in binary ECFP4 alone. Tuning provides a smaller but real additional gain.</w:t>
      </w:r>
    </w:p>
    <w:p>
      <w:pPr>
        <w:spacing w:after="80"/>
      </w:pPr>
      <w:r>
        <w:t xml:space="preserve"/>
      </w:r>
    </w:p>
    <w:p>
      <w:pPr>
        <w:pStyle w:val="Heading2"/>
      </w:pPr>
      <w:r>
        <w:rPr>
          <w:rFonts w:ascii="Arial" w:cs="Arial" w:eastAsia="Arial" w:hAnsi="Arial"/>
          <w:b/>
          <w:bCs/>
          <w:sz w:val="28"/>
          <w:szCs w:val="28"/>
        </w:rPr>
        <w:t xml:space="preserve">8.4 Note on the Original Phase 4 Score</w:t>
      </w:r>
    </w:p>
    <w:p>
      <w:pPr>
        <w:spacing w:after="120"/>
      </w:pPr>
      <w:r>
        <w:rPr>
          <w:rFonts w:ascii="Arial" w:cs="Arial" w:eastAsia="Arial" w:hAnsi="Arial"/>
          <w:sz w:val="22"/>
          <w:szCs w:val="22"/>
        </w:rPr>
        <w:t xml:space="preserve">The Phase 4 AUPRC of 0.36 should be understood as the result of a methodological issue in the evaluation protocol, not as a true measure of model performance. The Phase 4 model itself, applied correctly, achieves 0.61. This finding was identified during Phase 5 and led to the adoption of the stratified scaffold split as the standard evaluation protocol going forward.</w:t>
      </w:r>
    </w:p>
    <w:p>
      <w:pPr>
        <w:spacing w:after="80"/>
      </w:pPr>
      <w:r>
        <w:t xml:space="preserve"/>
      </w:r>
    </w:p>
    <w:p>
      <w:pPr>
        <w:pStyle w:val="Heading1"/>
      </w:pPr>
      <w:r>
        <w:rPr>
          <w:rFonts w:ascii="Arial" w:cs="Arial" w:eastAsia="Arial" w:hAnsi="Arial"/>
          <w:b/>
          <w:bCs/>
          <w:sz w:val="32"/>
          <w:szCs w:val="32"/>
        </w:rPr>
        <w:t xml:space="preserve">9. Outputs</w:t>
      </w:r>
    </w:p>
    <w:p>
      <w:pPr>
        <w:spacing w:after="120"/>
      </w:pPr>
      <w:r>
        <w:rPr>
          <w:rFonts w:ascii="Arial" w:cs="Arial" w:eastAsia="Arial" w:hAnsi="Arial"/>
          <w:sz w:val="22"/>
          <w:szCs w:val="22"/>
        </w:rPr>
        <w:t xml:space="preserve">All outputs are saved in results_phase5/ with the following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data/X_features.npy</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Feature matrix (2334 × 4480)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data/y.npy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 label vector</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data/scaffold_split.npz</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Train/test molecule indices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data/oof_predictions.npz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Out-of-fold and test predictions for all models</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studies/study_&lt;model&gt;.pkl</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Full Optuna search history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models/best_&lt;model&gt;.json/.joblib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Saved trained models</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models/stacking_model.joblib</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Meta-learner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figures/pr_curves.png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Precision-Recall curves on scaffold test set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figures/calibration.png</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Probability calibration plot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figures/shap_top_features.png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Top 30 SHAP feature importances</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results.json</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All metrics, best hyperparameters, run configuration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results_ablation_v2/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Controlled ablation study results and figures</w:t>
            </w:r>
          </w:p>
        </w:tc>
      </w:tr>
    </w:tbl>
    <w:p>
      <w:pPr>
        <w:spacing w:after="80"/>
      </w:pPr>
      <w:r>
        <w:t xml:space="preserve"/>
      </w:r>
    </w:p>
    <w:p>
      <w:pPr>
        <w:pStyle w:val="Heading1"/>
      </w:pPr>
      <w:r>
        <w:rPr>
          <w:rFonts w:ascii="Arial" w:cs="Arial" w:eastAsia="Arial" w:hAnsi="Arial"/>
          <w:b/>
          <w:bCs/>
          <w:sz w:val="32"/>
          <w:szCs w:val="32"/>
        </w:rPr>
        <w:t xml:space="preserve">10. Conclusion</w:t>
      </w:r>
    </w:p>
    <w:p>
      <w:pPr>
        <w:spacing w:after="120"/>
      </w:pPr>
      <w:r>
        <w:rPr>
          <w:rFonts w:ascii="Arial" w:cs="Arial" w:eastAsia="Arial" w:hAnsi="Arial"/>
          <w:sz w:val="22"/>
          <w:szCs w:val="22"/>
        </w:rPr>
        <w:t xml:space="preserve">Phase 5 established a valid evaluation protocol through the stratified scaffold split, which corrected a methodological error in Phase 4 that had placed zero positive compounds in the test set. On a valid and reproducible evaluation, the Phase 4 model itself already achieves AUPRC = 0.61, demonstrating that the underlying XGBoost approach is more capable than the original Phase 4 score of 0.36 suggested.</w:t>
      </w:r>
    </w:p>
    <w:p>
      <w:pPr>
        <w:spacing w:after="80"/>
      </w:pPr>
      <w:r>
        <w:t xml:space="preserve"/>
      </w:r>
    </w:p>
    <w:p>
      <w:pPr>
        <w:spacing w:after="120"/>
      </w:pPr>
      <w:r>
        <w:rPr>
          <w:rFonts w:ascii="Arial" w:cs="Arial" w:eastAsia="Arial" w:hAnsi="Arial"/>
          <w:sz w:val="22"/>
          <w:szCs w:val="22"/>
        </w:rPr>
        <w:t xml:space="preserve">Phase 5 optimisation through combined molecular fingerprints (+0.012 AUPRC) and Bayesian hyperparameter tuning (+0.005 AUPRC) produced a total genuine improvement of +0.016 AUPRC over the Phase 4 model on a fair comparison. The final stacking ensemble achieves AUPRC = 0.646 and P@10 = 0.90, substantially exceeding the literature benchmark of AUPRC ≈ 0.45 (Lin et al. 2025).</w:t>
      </w:r>
    </w:p>
    <w:p>
      <w:pPr>
        <w:spacing w:after="80"/>
      </w:pPr>
      <w:r>
        <w:t xml:space="preserve"/>
      </w:r>
    </w:p>
    <w:p>
      <w:pPr>
        <w:spacing w:after="120"/>
      </w:pPr>
      <w:r>
        <w:rPr>
          <w:rFonts w:ascii="Arial" w:cs="Arial" w:eastAsia="Arial" w:hAnsi="Arial"/>
          <w:sz w:val="22"/>
          <w:szCs w:val="22"/>
        </w:rPr>
        <w:t xml:space="preserve">SHAP analysis identified charge distribution and electronic surface descriptors as the dominant predictive features, consistent with the known importance of electrostatic properties for E. coli outer membrane permeability. This suggests the model has learned chemically meaningful patterns rather than overfitting to scaffold-specific memorisation.</w:t>
      </w:r>
    </w:p>
    <w:p>
      <w:pPr>
        <w:spacing w:after="80"/>
      </w:pPr>
      <w:r>
        <w:t xml:space="preserve"/>
      </w:r>
    </w:p>
    <w:p>
      <w:pPr>
        <w:spacing w:after="120"/>
      </w:pPr>
      <w:r>
        <w:rPr>
          <w:rFonts w:ascii="Arial" w:cs="Arial" w:eastAsia="Arial" w:hAnsi="Arial"/>
          <w:sz w:val="22"/>
          <w:szCs w:val="22"/>
        </w:rPr>
        <w:t xml:space="preserve">The wide 95% confidence intervals (range ≈ 0.40 AUPRC units) reflect the small number of test positives (20 out of 468) rather than model instability, and are an inherent limitation of the dataset size. The most robust performance claims are therefore: (1) consistent exceedance of the literature benchmark across all tested splits, and (2) P@10 = 0.90, indicating that 9 of the top-10 model predictions would be confirmed active in a wet-lab screen.</w:t>
      </w:r>
    </w:p>
    <w:p>
      <w:pPr>
        <w:spacing w:after="80"/>
      </w:pPr>
      <w:r>
        <w:t xml:space="preserve"/>
      </w:r>
    </w:p>
    <w:p>
      <w:pPr>
        <w:spacing w:after="120"/>
      </w:pPr>
      <w:r>
        <w:rPr>
          <w:rFonts w:ascii="Arial" w:cs="Arial" w:eastAsia="Arial" w:hAnsi="Arial"/>
          <w:sz w:val="22"/>
          <w:szCs w:val="22"/>
        </w:rPr>
        <w:t xml:space="preserve">The project is ready to proceed to Phase 6: further improvement through Graph Neural Networks or transfer learning on pre-trained molecular representations, which are expected to better capture long-range structural dependencies not encoded by fixed-size fingerprints.</w:t>
      </w:r>
    </w:p>
    <w:p>
      <w:pPr>
        <w:spacing w:after="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Phase 5 Progress Report  |  HZI Antibiotic Discovery Project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2026-05-11T13:49:34.988Z</dcterms:created>
  <dcterms:modified xsi:type="dcterms:W3CDTF">2026-05-11T13:49:35.006Z</dcterms:modified>
</cp:coreProperties>
</file>

<file path=docProps/custom.xml><?xml version="1.0" encoding="utf-8"?>
<Properties xmlns="http://schemas.openxmlformats.org/officeDocument/2006/custom-properties" xmlns:vt="http://schemas.openxmlformats.org/officeDocument/2006/docPropsVTypes"/>
</file>