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Behavioral Baseline</w:t>
      </w:r>
    </w:p>
    <w:p>
      <w:pPr>
        <w:jc w:val="center"/>
      </w:pPr>
      <w:r>
        <w:rPr>
          <w:color w:val="444444"/>
          <w:sz w:val="32"/>
        </w:rPr>
        <w:t>Anomaly Detection Layer for Splunk Observability Cloud</w:t>
      </w:r>
    </w:p>
    <w:p>
      <w:pPr>
        <w:jc w:val="center"/>
      </w:pPr>
      <w:r>
        <w:rPr>
          <w:i/>
          <w:sz w:val="26"/>
        </w:rPr>
        <w:t>Framework Review: Implementation Details &amp; Current Gaps</w:t>
      </w:r>
    </w:p>
    <w:p>
      <w:pPr>
        <w:jc w:val="center"/>
      </w:pPr>
      <w:r>
        <w:rPr>
          <w:color w:val="666666"/>
          <w:sz w:val="22"/>
        </w:rPr>
        <w:t>Prepared for Product &amp; Engineering  |  2026-07-21</w:t>
      </w:r>
    </w:p>
    <w:p>
      <w:r>
        <w:br w:type="page"/>
      </w:r>
    </w:p>
    <w:p>
      <w:pPr>
        <w:pStyle w:val="Heading1"/>
      </w:pPr>
      <w:r>
        <w:t>Executive Summary</w:t>
      </w:r>
    </w:p>
    <w:p>
      <w:r>
        <w:t>Behavioral Baseline is an independent behavioral anomaly detection layer that runs inside the OpenTelemetry Collector, complementing Splunk Observability Cloud's native AutoDetect. Instead of relying purely on metric thresholds, it fingerprints the structural shape of traces and error signatures, learns a baseline of "normal" application behavior, and fires alerts within seconds when that structure changes — catching failure modes that threshold-based alerting misses entirely: silent service failures, new call paths introduced by a bad deploy, retry storms, and first-occurrence error types.</w:t>
      </w:r>
    </w:p>
    <w:p>
      <w:r>
        <w:t>A customer has expressed interest in this capability. This document summarizes (1) how the framework is implemented and deployed today, and (2) an honest accounting of its current gaps and limitations, so Product and Engineering have full context before any customer-facing commitment.</w:t>
      </w:r>
    </w:p>
    <w:p>
      <w:r>
        <w:rPr>
          <w:b/>
        </w:rPr>
        <w:t xml:space="preserve">Bottom line: </w:t>
      </w:r>
      <w:r>
        <w:t>the core detection engine (structural drift, error signature drift, DB query drift) is implemented, validated, and has run successfully across multiple live demo scenarios (DB outage, service kill, bad deploy, cascading failure, self-healing baseline). One capability — metric-based anomaly detection (latency / error-rate z-scores) — is implemented in code but has not yet been validated with a live end-to-end demo. A small number of remaining items are permanent architectural tradeoffs (not bugs) inherent to any baseline-learning system, and are mitigated rather than eliminated.</w:t>
      </w:r>
    </w:p>
    <w:p>
      <w:pPr>
        <w:pStyle w:val="Heading1"/>
      </w:pPr>
      <w:r>
        <w:t>What the Framework Detects</w:t>
      </w:r>
    </w:p>
    <w:p>
      <w:pPr>
        <w:pStyle w:val="ListBullet"/>
      </w:pPr>
      <w:r>
        <w:t>A service that has never called your database suddenly does</w:t>
      </w:r>
    </w:p>
    <w:p>
      <w:pPr>
        <w:pStyle w:val="ListBullet"/>
      </w:pPr>
      <w:r>
        <w:t>A known DB caller goes completely silent (MISSING_SERVICE)</w:t>
      </w:r>
    </w:p>
    <w:p>
      <w:pPr>
        <w:pStyle w:val="ListBullet"/>
      </w:pPr>
      <w:r>
        <w:t>A request now flows through a new service it never touched before (NEW_FINGERPRINT)</w:t>
      </w:r>
    </w:p>
    <w:p>
      <w:pPr>
        <w:pStyle w:val="ListBullet"/>
      </w:pPr>
      <w:r>
        <w:t>An error type that has never appeared before fires for the first time (NEW_ERROR_SIGNATURE)</w:t>
      </w:r>
    </w:p>
    <w:p>
      <w:pPr>
        <w:pStyle w:val="ListBullet"/>
      </w:pPr>
      <w:r>
        <w:t>A service starts handling far fewer internal spans than usual — silent failure, pipeline collapse, short-circuit (SPAN_COUNT_DROP)</w:t>
      </w:r>
    </w:p>
    <w:p>
      <w:pPr>
        <w:pStyle w:val="ListBullet"/>
      </w:pPr>
      <w:r>
        <w:t>A service explodes in span count — retry storm or fan-out cascade (SPAN_COUNT_SPIKE)</w:t>
      </w:r>
    </w:p>
    <w:p>
      <w:pPr>
        <w:pStyle w:val="ListBullet"/>
      </w:pPr>
      <w:r>
        <w:t>New or slow SQL query templates versus a learned per-query baseline</w:t>
      </w:r>
    </w:p>
    <w:p>
      <w:pPr>
        <w:pStyle w:val="ListBullet"/>
      </w:pPr>
      <w:r>
        <w:t>Latency and error-rate anomalies via per-operation z-score (implemented, pending live validation — see Gaps)</w:t>
      </w:r>
    </w:p>
    <w:p>
      <w:r>
        <w:t>All detection is fully generic — no hardcoded service names. Topology, baselines, and thresholds are auto-discovered from live traffic.</w:t>
      </w:r>
    </w:p>
    <w:p>
      <w:pPr>
        <w:pStyle w:val="Heading1"/>
      </w:pPr>
      <w:r>
        <w:t>Architecture Overview</w:t>
      </w:r>
    </w:p>
    <w:p>
      <w:r>
        <w:t>Detection logic lives entirely inside a custom OpenTelemetry Collector processor written in Go (fingerprintprocessor). Splunk Observability Cloud remains the system of record for telemetry storage, trace search, dashboards, and Service Map — detection does not depend on Splunk's native AutoDetect.</w:t>
      </w:r>
    </w:p>
    <w:p>
      <w:pPr>
        <w:pStyle w:val="Heading2"/>
      </w:pPr>
      <w:r>
        <w:t>Two-tier collector topology</w:t>
      </w:r>
    </w:p>
    <w:p>
      <w:r>
        <w:t>In multi-node Kubernetes deployments, a single trace's spans can arrive at different collector pods, which would corrupt fingerprinting. This is solved with a two-tier topology:</w:t>
      </w:r>
    </w:p>
    <w:p>
      <w:pPr>
        <w:pStyle w:val="ListBullet"/>
      </w:pPr>
      <w:r>
        <w:t>Tier 1 — otelcol-fingerprint DaemonSet: one pod per node, pure forwarder. Uses the OTel loadbalancingexporter to route spans by TraceID consistent hash, so all spans for a given trace always land on the same aggregator pod.</w:t>
      </w:r>
    </w:p>
    <w:p>
      <w:pPr>
        <w:pStyle w:val="ListBullet"/>
      </w:pPr>
      <w:r>
        <w:t>Tier 2 — otelcol-aggregator StatefulSet (2 replicas): receives complete traces, runs the fingerprintprocessor (buffer per traceId → 10s window → build fingerprint → compare to baseline → emit event on drift → forward all spans to Splunk APM unchanged).</w:t>
      </w:r>
    </w:p>
    <w:p>
      <w:r>
        <w:t>On a single-node deployment (e.g. local Docker Compose), this split-trace problem does not exist, so the topology collapses to a single collector instance running the processor directly — no DaemonSet/StatefulSet split needed.</w:t>
      </w:r>
    </w:p>
    <w:p>
      <w:pPr>
        <w:pStyle w:val="Heading2"/>
      </w:pPr>
      <w:r>
        <w:t>Detection tiers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2E4053"/>
          </w:tcPr>
          <w:p>
            <w:r/>
            <w:r>
              <w:rPr>
                <w:b/>
                <w:color w:val="FFFFFF"/>
                <w:sz w:val="20"/>
              </w:rPr>
              <w:t>Tier</w:t>
            </w:r>
          </w:p>
        </w:tc>
        <w:tc>
          <w:tcPr>
            <w:tcW w:type="dxa" w:w="2448"/>
            <w:shd w:val="clear" w:color="auto" w:fill="2E4053"/>
          </w:tcPr>
          <w:p>
            <w:r/>
            <w:r>
              <w:rPr>
                <w:b/>
                <w:color w:val="FFFFFF"/>
                <w:sz w:val="20"/>
              </w:rPr>
              <w:t>Source</w:t>
            </w:r>
          </w:p>
        </w:tc>
        <w:tc>
          <w:tcPr>
            <w:tcW w:type="dxa" w:w="3312"/>
            <w:shd w:val="clear" w:color="auto" w:fill="2E4053"/>
          </w:tcPr>
          <w:p>
            <w:r/>
            <w:r>
              <w:rPr>
                <w:b/>
                <w:color w:val="FFFFFF"/>
                <w:sz w:val="20"/>
              </w:rPr>
              <w:t>Detects</w:t>
            </w:r>
          </w:p>
        </w:tc>
        <w:tc>
          <w:tcPr>
            <w:tcW w:type="dxa" w:w="3600"/>
            <w:shd w:val="clear" w:color="auto" w:fill="2E4053"/>
          </w:tcPr>
          <w:p>
            <w:r/>
            <w:r>
              <w:rPr>
                <w:b/>
                <w:color w:val="FFFFFF"/>
                <w:sz w:val="20"/>
              </w:rPr>
              <w:t>Method</w:t>
            </w:r>
          </w:p>
        </w:tc>
      </w:tr>
      <w:tr>
        <w:tc>
          <w:tcPr>
            <w:tcW w:type="dxa" w:w="720"/>
          </w:tcPr>
          <w:p>
            <w:r/>
            <w:r>
              <w:rPr>
                <w:sz w:val="19"/>
              </w:rPr>
              <w:t>1</w:t>
            </w:r>
          </w:p>
        </w:tc>
        <w:tc>
          <w:tcPr>
            <w:tcW w:type="dxa" w:w="2448"/>
          </w:tcPr>
          <w:p>
            <w:r/>
            <w:r>
              <w:rPr>
                <w:sz w:val="19"/>
              </w:rPr>
              <w:t>otel-processor (metric)</w:t>
            </w:r>
          </w:p>
        </w:tc>
        <w:tc>
          <w:tcPr>
            <w:tcW w:type="dxa" w:w="3312"/>
          </w:tcPr>
          <w:p>
            <w:r/>
            <w:r>
              <w:rPr>
                <w:sz w:val="19"/>
              </w:rPr>
              <w:t>Latency anomaly, error-rate anomaly, span-count drop/spike</w:t>
            </w:r>
          </w:p>
        </w:tc>
        <w:tc>
          <w:tcPr>
            <w:tcW w:type="dxa" w:w="3600"/>
          </w:tcPr>
          <w:p>
            <w:r/>
            <w:r>
              <w:rPr>
                <w:sz w:val="19"/>
              </w:rPr>
              <w:t>Z-score vs. per-operation Welford baseline; rate spike vs. rolling window</w:t>
            </w:r>
          </w:p>
        </w:tc>
      </w:tr>
      <w:tr>
        <w:tc>
          <w:tcPr>
            <w:tcW w:type="dxa" w:w="720"/>
          </w:tcPr>
          <w:p>
            <w:r/>
            <w:r>
              <w:rPr>
                <w:sz w:val="19"/>
              </w:rPr>
              <w:t>2</w:t>
            </w:r>
          </w:p>
        </w:tc>
        <w:tc>
          <w:tcPr>
            <w:tcW w:type="dxa" w:w="2448"/>
          </w:tcPr>
          <w:p>
            <w:r/>
            <w:r>
              <w:rPr>
                <w:sz w:val="19"/>
              </w:rPr>
              <w:t>otel-processor (structural) + trace_fingerprint.py</w:t>
            </w:r>
          </w:p>
        </w:tc>
        <w:tc>
          <w:tcPr>
            <w:tcW w:type="dxa" w:w="3312"/>
          </w:tcPr>
          <w:p>
            <w:r/>
            <w:r>
              <w:rPr>
                <w:sz w:val="19"/>
              </w:rPr>
              <w:t>New/changed execution paths, missing services</w:t>
            </w:r>
          </w:p>
        </w:tc>
        <w:tc>
          <w:tcPr>
            <w:tcW w:type="dxa" w:w="3600"/>
          </w:tcPr>
          <w:p>
            <w:r/>
            <w:r>
              <w:rPr>
                <w:sz w:val="19"/>
              </w:rPr>
              <w:t>SHA-256 of ordered parent→child span edge sequence</w:t>
            </w:r>
          </w:p>
        </w:tc>
      </w:tr>
      <w:tr>
        <w:tc>
          <w:tcPr>
            <w:tcW w:type="dxa" w:w="720"/>
          </w:tcPr>
          <w:p>
            <w:r/>
            <w:r>
              <w:rPr>
                <w:sz w:val="19"/>
              </w:rPr>
              <w:t>3</w:t>
            </w:r>
          </w:p>
        </w:tc>
        <w:tc>
          <w:tcPr>
            <w:tcW w:type="dxa" w:w="2448"/>
          </w:tcPr>
          <w:p>
            <w:r/>
            <w:r>
              <w:rPr>
                <w:sz w:val="19"/>
              </w:rPr>
              <w:t>otel-processor (error) + error_fingerprint.py</w:t>
            </w:r>
          </w:p>
        </w:tc>
        <w:tc>
          <w:tcPr>
            <w:tcW w:type="dxa" w:w="3312"/>
          </w:tcPr>
          <w:p>
            <w:r/>
            <w:r>
              <w:rPr>
                <w:sz w:val="19"/>
              </w:rPr>
              <w:t>New error signatures, rate spikes, vanished signatures</w:t>
            </w:r>
          </w:p>
        </w:tc>
        <w:tc>
          <w:tcPr>
            <w:tcW w:type="dxa" w:w="3600"/>
          </w:tcPr>
          <w:p>
            <w:r/>
            <w:r>
              <w:rPr>
                <w:sz w:val="19"/>
              </w:rPr>
              <w:t>SHA-256 of service + error_type + operation + call_path</w:t>
            </w:r>
          </w:p>
        </w:tc>
      </w:tr>
      <w:tr>
        <w:tc>
          <w:tcPr>
            <w:tcW w:type="dxa" w:w="720"/>
          </w:tcPr>
          <w:p>
            <w:r/>
            <w:r>
              <w:rPr>
                <w:sz w:val="19"/>
              </w:rPr>
              <w:t>DB</w:t>
            </w:r>
          </w:p>
        </w:tc>
        <w:tc>
          <w:tcPr>
            <w:tcW w:type="dxa" w:w="2448"/>
          </w:tcPr>
          <w:p>
            <w:r/>
            <w:r>
              <w:rPr>
                <w:sz w:val="19"/>
              </w:rPr>
              <w:t>otel-processor (dbquery.go)</w:t>
            </w:r>
          </w:p>
        </w:tc>
        <w:tc>
          <w:tcPr>
            <w:tcW w:type="dxa" w:w="3312"/>
          </w:tcPr>
          <w:p>
            <w:r/>
            <w:r>
              <w:rPr>
                <w:sz w:val="19"/>
              </w:rPr>
              <w:t>New SQL query templates, slow queries</w:t>
            </w:r>
          </w:p>
        </w:tc>
        <w:tc>
          <w:tcPr>
            <w:tcW w:type="dxa" w:w="3600"/>
          </w:tcPr>
          <w:p>
            <w:r/>
            <w:r>
              <w:rPr>
                <w:sz w:val="19"/>
              </w:rPr>
              <w:t>Normalized SQL template, z-score vs. Welford baseline per (service, db_system, template)</w:t>
            </w:r>
          </w:p>
        </w:tc>
      </w:tr>
      <w:tr>
        <w:tc>
          <w:tcPr>
            <w:tcW w:type="dxa" w:w="720"/>
          </w:tcPr>
          <w:p>
            <w:r/>
            <w:r>
              <w:rPr>
                <w:sz w:val="19"/>
              </w:rPr>
              <w:t>C</w:t>
            </w:r>
          </w:p>
        </w:tc>
        <w:tc>
          <w:tcPr>
            <w:tcW w:type="dxa" w:w="2448"/>
          </w:tcPr>
          <w:p>
            <w:r/>
            <w:r>
              <w:rPr>
                <w:sz w:val="19"/>
              </w:rPr>
              <w:t>correlate.py</w:t>
            </w:r>
          </w:p>
        </w:tc>
        <w:tc>
          <w:tcPr>
            <w:tcW w:type="dxa" w:w="3312"/>
          </w:tcPr>
          <w:p>
            <w:r/>
            <w:r>
              <w:rPr>
                <w:sz w:val="19"/>
              </w:rPr>
              <w:t>2+ tiers firing on the same service simultaneously</w:t>
            </w:r>
          </w:p>
        </w:tc>
        <w:tc>
          <w:tcPr>
            <w:tcW w:type="dxa" w:w="3600"/>
          </w:tcPr>
          <w:p>
            <w:r/>
            <w:r>
              <w:rPr>
                <w:sz w:val="19"/>
              </w:rPr>
              <w:t>Joins Tier 1/2/3 events by service within a time window</w:t>
            </w:r>
          </w:p>
        </w:tc>
      </w:tr>
    </w:tbl>
    <w:p/>
    <w:p>
      <w:pPr>
        <w:pStyle w:val="Heading2"/>
      </w:pPr>
      <w:r>
        <w:t>Detection latency by path</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color="auto" w:fill="2E4053"/>
          </w:tcPr>
          <w:p>
            <w:r/>
            <w:r>
              <w:rPr>
                <w:b/>
                <w:color w:val="FFFFFF"/>
                <w:sz w:val="20"/>
              </w:rPr>
              <w:t>Path</w:t>
            </w:r>
          </w:p>
        </w:tc>
        <w:tc>
          <w:tcPr>
            <w:tcW w:type="dxa" w:w="5328"/>
            <w:shd w:val="clear" w:color="auto" w:fill="2E4053"/>
          </w:tcPr>
          <w:p>
            <w:r/>
            <w:r>
              <w:rPr>
                <w:b/>
                <w:color w:val="FFFFFF"/>
                <w:sz w:val="20"/>
              </w:rPr>
              <w:t>How</w:t>
            </w:r>
          </w:p>
        </w:tc>
        <w:tc>
          <w:tcPr>
            <w:tcW w:type="dxa" w:w="1440"/>
            <w:shd w:val="clear" w:color="auto" w:fill="2E4053"/>
          </w:tcPr>
          <w:p>
            <w:r/>
            <w:r>
              <w:rPr>
                <w:b/>
                <w:color w:val="FFFFFF"/>
                <w:sz w:val="20"/>
              </w:rPr>
              <w:t>Latency</w:t>
            </w:r>
          </w:p>
        </w:tc>
      </w:tr>
      <w:tr>
        <w:tc>
          <w:tcPr>
            <w:tcW w:type="dxa" w:w="3312"/>
          </w:tcPr>
          <w:p>
            <w:r/>
            <w:r>
              <w:rPr>
                <w:sz w:val="19"/>
              </w:rPr>
              <w:t>OTel edge → log-tail triage</w:t>
            </w:r>
          </w:p>
        </w:tc>
        <w:tc>
          <w:tcPr>
            <w:tcW w:type="dxa" w:w="5328"/>
          </w:tcPr>
          <w:p>
            <w:r/>
            <w:r>
              <w:rPr>
                <w:sz w:val="19"/>
              </w:rPr>
              <w:t>Tails collector logs directly — no Splunk indexing wait</w:t>
            </w:r>
          </w:p>
        </w:tc>
        <w:tc>
          <w:tcPr>
            <w:tcW w:type="dxa" w:w="1440"/>
          </w:tcPr>
          <w:p>
            <w:r/>
            <w:r>
              <w:rPr>
                <w:sz w:val="19"/>
              </w:rPr>
              <w:t>~15–30s</w:t>
            </w:r>
          </w:p>
        </w:tc>
      </w:tr>
      <w:tr>
        <w:tc>
          <w:tcPr>
            <w:tcW w:type="dxa" w:w="3312"/>
          </w:tcPr>
          <w:p>
            <w:r/>
            <w:r>
              <w:rPr>
                <w:sz w:val="19"/>
              </w:rPr>
              <w:t>OTel edge → triage-agent</w:t>
            </w:r>
          </w:p>
        </w:tc>
        <w:tc>
          <w:tcPr>
            <w:tcW w:type="dxa" w:w="5328"/>
          </w:tcPr>
          <w:p>
            <w:r/>
            <w:r>
              <w:rPr>
                <w:sz w:val="19"/>
              </w:rPr>
              <w:t>Event lands in Splunk, triage-agent inline-correlates + LLM triage</w:t>
            </w:r>
          </w:p>
        </w:tc>
        <w:tc>
          <w:tcPr>
            <w:tcW w:type="dxa" w:w="1440"/>
          </w:tcPr>
          <w:p>
            <w:r/>
            <w:r>
              <w:rPr>
                <w:sz w:val="19"/>
              </w:rPr>
              <w:t>~60–90s</w:t>
            </w:r>
          </w:p>
        </w:tc>
      </w:tr>
      <w:tr>
        <w:tc>
          <w:tcPr>
            <w:tcW w:type="dxa" w:w="3312"/>
          </w:tcPr>
          <w:p>
            <w:r/>
            <w:r>
              <w:rPr>
                <w:sz w:val="19"/>
              </w:rPr>
              <w:t>OTel edge → inline correlate.py</w:t>
            </w:r>
          </w:p>
        </w:tc>
        <w:tc>
          <w:tcPr>
            <w:tcW w:type="dxa" w:w="5328"/>
          </w:tcPr>
          <w:p>
            <w:r/>
            <w:r>
              <w:rPr>
                <w:sz w:val="19"/>
              </w:rPr>
              <w:t>Tier 1/2/3 correlated inside triage-agent poll cycle</w:t>
            </w:r>
          </w:p>
        </w:tc>
        <w:tc>
          <w:tcPr>
            <w:tcW w:type="dxa" w:w="1440"/>
          </w:tcPr>
          <w:p>
            <w:r/>
            <w:r>
              <w:rPr>
                <w:sz w:val="19"/>
              </w:rPr>
              <w:t>~1–2 min</w:t>
            </w:r>
          </w:p>
        </w:tc>
      </w:tr>
      <w:tr>
        <w:tc>
          <w:tcPr>
            <w:tcW w:type="dxa" w:w="3312"/>
          </w:tcPr>
          <w:p>
            <w:r/>
            <w:r>
              <w:rPr>
                <w:sz w:val="19"/>
              </w:rPr>
              <w:t>Splunk metric alerts → correlate.py</w:t>
            </w:r>
          </w:p>
        </w:tc>
        <w:tc>
          <w:tcPr>
            <w:tcW w:type="dxa" w:w="5328"/>
          </w:tcPr>
          <w:p>
            <w:r/>
            <w:r>
              <w:rPr>
                <w:sz w:val="19"/>
              </w:rPr>
              <w:t>Splunk-side metric alerts joined with OTel Tier 2/3 events</w:t>
            </w:r>
          </w:p>
        </w:tc>
        <w:tc>
          <w:tcPr>
            <w:tcW w:type="dxa" w:w="1440"/>
          </w:tcPr>
          <w:p>
            <w:r/>
            <w:r>
              <w:rPr>
                <w:sz w:val="19"/>
              </w:rPr>
              <w:t>~3–7 min</w:t>
            </w:r>
          </w:p>
        </w:tc>
      </w:tr>
    </w:tbl>
    <w:p/>
    <w:p>
      <w:pPr>
        <w:pStyle w:val="Heading2"/>
      </w:pPr>
      <w:r>
        <w:t>Baseline lifecycle</w:t>
      </w:r>
    </w:p>
    <w:p>
      <w:r>
        <w:t>Two independent promotion paths keep the baseline current without manual intervention:</w:t>
      </w:r>
    </w:p>
    <w:p>
      <w:pPr>
        <w:pStyle w:val="ListBullet"/>
      </w:pPr>
      <w:r>
        <w:t>OTel edge auto-promotion (continuous): a new structural hash observed 10 times in a row is automatically promoted into the live baseline and stops alerting — no cron, no external dependency.</w:t>
      </w:r>
    </w:p>
    <w:p>
      <w:pPr>
        <w:pStyle w:val="ListBullet"/>
      </w:pPr>
      <w:r>
        <w:t>Python baseline-agent (scheduled): every 2 hours, re-learns baseline from live APM traffic, runs post-learn quality passes (noise pruning, coverage audit, adaptive thresholds, auto-fix, runbook regeneration), and pushes the result to all running collector pods.</w:t>
      </w:r>
    </w:p>
    <w:p>
      <w:pPr>
        <w:pStyle w:val="ListBullet"/>
      </w:pPr>
      <w:r>
        <w:t>Deploy-triggered re-learn: a CI/CD hook (notify_deployment.py) can force an immediate re-learn 5 minutes after a deploy, so legitimate new patterns from a release don't sit in an alerting state for the full 2-hour cycle.</w:t>
      </w:r>
    </w:p>
    <w:p>
      <w:pPr>
        <w:pStyle w:val="Heading2"/>
      </w:pPr>
      <w:r>
        <w:t>Long-running agents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2E4053"/>
          </w:tcPr>
          <w:p>
            <w:r/>
            <w:r>
              <w:rPr>
                <w:b/>
                <w:color w:val="FFFFFF"/>
                <w:sz w:val="20"/>
              </w:rPr>
              <w:t>Agent</w:t>
            </w:r>
          </w:p>
        </w:tc>
        <w:tc>
          <w:tcPr>
            <w:tcW w:type="dxa" w:w="3600"/>
            <w:shd w:val="clear" w:color="auto" w:fill="2E4053"/>
          </w:tcPr>
          <w:p>
            <w:r/>
            <w:r>
              <w:rPr>
                <w:b/>
                <w:color w:val="FFFFFF"/>
                <w:sz w:val="20"/>
              </w:rPr>
              <w:t>Cadence</w:t>
            </w:r>
          </w:p>
        </w:tc>
        <w:tc>
          <w:tcPr>
            <w:tcW w:type="dxa" w:w="5040"/>
            <w:shd w:val="clear" w:color="auto" w:fill="2E4053"/>
          </w:tcPr>
          <w:p>
            <w:r/>
            <w:r>
              <w:rPr>
                <w:b/>
                <w:color w:val="FFFFFF"/>
                <w:sz w:val="20"/>
              </w:rPr>
              <w:t>Responsibility</w:t>
            </w:r>
          </w:p>
        </w:tc>
      </w:tr>
      <w:tr>
        <w:tc>
          <w:tcPr>
            <w:tcW w:type="dxa" w:w="2160"/>
          </w:tcPr>
          <w:p>
            <w:r/>
            <w:r>
              <w:rPr>
                <w:sz w:val="19"/>
              </w:rPr>
              <w:t>baseline-agent</w:t>
            </w:r>
          </w:p>
        </w:tc>
        <w:tc>
          <w:tcPr>
            <w:tcW w:type="dxa" w:w="3600"/>
          </w:tcPr>
          <w:p>
            <w:r/>
            <w:r>
              <w:rPr>
                <w:sz w:val="19"/>
              </w:rPr>
              <w:t>Learn/promote every 2h, onboard-discovery every 6h, anomaly-rate health check every 2m</w:t>
            </w:r>
          </w:p>
        </w:tc>
        <w:tc>
          <w:tcPr>
            <w:tcW w:type="dxa" w:w="5040"/>
          </w:tcPr>
          <w:p>
            <w:r/>
            <w:r>
              <w:rPr>
                <w:sz w:val="19"/>
              </w:rPr>
              <w:t>Owns the full baseline lifecycle — learn, quality passes, push to cluster, self-healing after incidents</w:t>
            </w:r>
          </w:p>
        </w:tc>
      </w:tr>
      <w:tr>
        <w:tc>
          <w:tcPr>
            <w:tcW w:type="dxa" w:w="2160"/>
          </w:tcPr>
          <w:p>
            <w:r/>
            <w:r>
              <w:rPr>
                <w:sz w:val="19"/>
              </w:rPr>
              <w:t>triage-agent</w:t>
            </w:r>
          </w:p>
        </w:tc>
        <w:tc>
          <w:tcPr>
            <w:tcW w:type="dxa" w:w="3600"/>
          </w:tcPr>
          <w:p>
            <w:r/>
            <w:r>
              <w:rPr>
                <w:sz w:val="19"/>
              </w:rPr>
              <w:t>Poll every 60s</w:t>
            </w:r>
          </w:p>
        </w:tc>
        <w:tc>
          <w:tcPr>
            <w:tcW w:type="dxa" w:w="5040"/>
          </w:tcPr>
          <w:p>
            <w:r/>
            <w:r>
              <w:rPr>
                <w:sz w:val="19"/>
              </w:rPr>
              <w:t>Joins Tier 1+2+3 signals inline, calls Claude (AWS Bedrock) for root-cause triage, deduplicates repeat anomalies (30 min suppression), detects recovery</w:t>
            </w:r>
          </w:p>
        </w:tc>
      </w:tr>
    </w:tbl>
    <w:p/>
    <w:p>
      <w:r>
        <w:t>Both run as standard Kubernetes Deployments — no CronJobs required. A supporting cast of ~13 standalone scripts (hypothesis engine, deployment risk scorer, SLO impact estimator, drift explainer, etc.) provide targeted analysis and are invoked by the two primary agents or run ad hoc.</w:t>
      </w:r>
    </w:p>
    <w:p>
      <w:r>
        <w:br w:type="page"/>
      </w:r>
    </w:p>
    <w:p>
      <w:pPr>
        <w:pStyle w:val="Heading1"/>
      </w:pPr>
      <w:r>
        <w:t>Implementation &amp; Deployment Details</w:t>
      </w:r>
    </w:p>
    <w:p>
      <w:pPr>
        <w:pStyle w:val="Heading2"/>
      </w:pPr>
      <w:r>
        <w:t>Requirements</w:t>
      </w:r>
    </w:p>
    <w:p>
      <w:pPr>
        <w:pStyle w:val="ListBullet"/>
      </w:pPr>
      <w:r>
        <w:t>Python 3.10+</w:t>
      </w:r>
    </w:p>
    <w:p>
      <w:pPr>
        <w:pStyle w:val="ListBullet"/>
      </w:pPr>
      <w:r>
        <w:t>Splunk Observability Cloud account with APM enabled</w:t>
      </w:r>
    </w:p>
    <w:p>
      <w:pPr>
        <w:pStyle w:val="ListBullet"/>
      </w:pPr>
      <w:r>
        <w:t>Services instrumented with OpenTelemetry (traces flowing)</w:t>
      </w:r>
    </w:p>
    <w:p>
      <w:pPr>
        <w:pStyle w:val="ListBullet"/>
      </w:pPr>
      <w:r>
        <w:t>SPLUNK_ACCESS_TOKEN — API token with read+write access</w:t>
      </w:r>
    </w:p>
    <w:p>
      <w:pPr>
        <w:pStyle w:val="ListBullet"/>
      </w:pPr>
      <w:r>
        <w:t>SPLUNK_INGEST_TOKEN — ingest token for writing custom events (falls back to SPLUNK_ACCESS_TOKEN)</w:t>
      </w:r>
    </w:p>
    <w:p>
      <w:pPr>
        <w:pStyle w:val="ListBullet"/>
      </w:pPr>
      <w:r>
        <w:t>SPLUNK_REALM (e.g. us1, eu0)</w:t>
      </w:r>
    </w:p>
    <w:p>
      <w:pPr>
        <w:pStyle w:val="ListBullet"/>
      </w:pPr>
      <w:r>
        <w:t>boto3 for the unified agent's Claude calls via AWS Bedrock</w:t>
      </w:r>
    </w:p>
    <w:p>
      <w:pPr>
        <w:pStyle w:val="Heading2"/>
      </w:pPr>
      <w:r>
        <w:t>Onboarding a new environment</w:t>
      </w:r>
    </w:p>
    <w:p>
      <w:r>
        <w:t>onboard.py provisions an environment end-to-end: builds the trace and error baselines from live traffic, creates a Splunk dashboard, installs the scheduled learn/watch/correlate cycle, and generates a Claude-authored incident runbook (RUNBOOK.&lt;env&gt;.md) containing a service dependency map, blast-radius ranking of shared dependencies, a first-10-minutes triage checklist, and copy-paste diagnostic commands specific to that topology. onboard.py --auto can discover and onboard all active environments in an account unattended.</w:t>
      </w:r>
    </w:p>
    <w:p>
      <w:pPr>
        <w:pStyle w:val="Heading2"/>
      </w:pPr>
      <w:r>
        <w:t>Kubernetes deployment steps (deploy.sh)</w:t>
      </w:r>
    </w:p>
    <w:p>
      <w:r>
        <w:t>The automated deploy path for a Kubernetes cluster performs, in order:</w:t>
      </w:r>
    </w:p>
    <w:p>
      <w:pPr>
        <w:pStyle w:val="ListBullet"/>
      </w:pPr>
      <w:r>
        <w:t>Learn + promote baseline from live APM traffic</w:t>
      </w:r>
    </w:p>
    <w:p>
      <w:pPr>
        <w:pStyle w:val="ListBullet"/>
      </w:pPr>
      <w:r>
        <w:t>Build the otelcol-fingerprint image; import into k3d or push to a registry</w:t>
      </w:r>
    </w:p>
    <w:p>
      <w:pPr>
        <w:pStyle w:val="ListBullet"/>
      </w:pPr>
      <w:r>
        <w:t>Create/update the behavioral-baseline ConfigMap (delete+create, not apply — apply silently ignores data updates due to last-applied-configuration caching)</w:t>
      </w:r>
    </w:p>
    <w:p>
      <w:pPr>
        <w:pStyle w:val="ListBullet"/>
      </w:pPr>
      <w:r>
        <w:t>Create/update the baseline-sync-scripts ConfigMap</w:t>
      </w:r>
    </w:p>
    <w:p>
      <w:pPr>
        <w:pStyle w:val="ListBullet"/>
      </w:pPr>
      <w:r>
        <w:t>Create the otelcol-fingerprint ServiceAccount (must exist before the aggregator StatefulSet, which depends on it)</w:t>
      </w:r>
    </w:p>
    <w:p>
      <w:pPr>
        <w:pStyle w:val="ListBullet"/>
      </w:pPr>
      <w:r>
        <w:t>Deploy the otelcol-aggregator StatefulSet and wait for readiness</w:t>
      </w:r>
    </w:p>
    <w:p>
      <w:pPr>
        <w:pStyle w:val="ListBullet"/>
      </w:pPr>
      <w:r>
        <w:t>Apply the DaemonSet (forwarder) + Service + RBAC</w:t>
      </w:r>
    </w:p>
    <w:p>
      <w:pPr>
        <w:pStyle w:val="ListBullet"/>
      </w:pPr>
      <w:r>
        <w:t>Patch the OTel Operator Instrumentation CR to route Java-agent traffic to otelcol-fingerprint; restart app deployments to re-inject</w:t>
      </w:r>
    </w:p>
    <w:p>
      <w:pPr>
        <w:pStyle w:val="ListBullet"/>
      </w:pPr>
      <w:r>
        <w:t>Inject the baseline directly into all running pods for immediate effect (bypasses the 60s ConfigMap reload wait)</w:t>
      </w:r>
    </w:p>
    <w:p>
      <w:pPr>
        <w:pStyle w:val="Heading2"/>
      </w:pPr>
      <w:r>
        <w:t>Baseline propagation</w:t>
      </w:r>
    </w:p>
    <w:p>
      <w:r>
        <w:t>The baseline lives on an emptyDir volume seeded from a ConfigMap at pod startup. When the edge processor auto-promotes a new pattern, it writes back to its local file and emits a trace.fingerprint.promoted event. A baseline-sync sidecar container (Python, polling Splunk SignalFlow every 30s) picks up the event and PATCHes the shared ConfigMap, which every other pod reloads within 60 seconds. This closes the loop without requiring any pod restarts.</w:t>
      </w:r>
    </w:p>
    <w:p>
      <w:pPr>
        <w:pStyle w:val="Heading2"/>
      </w:pPr>
      <w:r>
        <w:t>Events emitted to Splunk</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2E4053"/>
          </w:tcPr>
          <w:p>
            <w:r/>
            <w:r>
              <w:rPr>
                <w:b/>
                <w:color w:val="FFFFFF"/>
                <w:sz w:val="20"/>
              </w:rPr>
              <w:t>Event type</w:t>
            </w:r>
          </w:p>
        </w:tc>
        <w:tc>
          <w:tcPr>
            <w:tcW w:type="dxa" w:w="1008"/>
            <w:shd w:val="clear" w:color="auto" w:fill="2E4053"/>
          </w:tcPr>
          <w:p>
            <w:r/>
            <w:r>
              <w:rPr>
                <w:b/>
                <w:color w:val="FFFFFF"/>
                <w:sz w:val="20"/>
              </w:rPr>
              <w:t>Tier</w:t>
            </w:r>
          </w:p>
        </w:tc>
        <w:tc>
          <w:tcPr>
            <w:tcW w:type="dxa" w:w="5328"/>
            <w:shd w:val="clear" w:color="auto" w:fill="2E4053"/>
          </w:tcPr>
          <w:p>
            <w:r/>
            <w:r>
              <w:rPr>
                <w:b/>
                <w:color w:val="FFFFFF"/>
                <w:sz w:val="20"/>
              </w:rPr>
              <w:t>Key dimensions</w:t>
            </w:r>
          </w:p>
        </w:tc>
      </w:tr>
      <w:tr>
        <w:tc>
          <w:tcPr>
            <w:tcW w:type="dxa" w:w="3744"/>
          </w:tcPr>
          <w:p>
            <w:r/>
            <w:r>
              <w:rPr>
                <w:sz w:val="19"/>
              </w:rPr>
              <w:t>trace.path.drift</w:t>
            </w:r>
          </w:p>
        </w:tc>
        <w:tc>
          <w:tcPr>
            <w:tcW w:type="dxa" w:w="1008"/>
          </w:tcPr>
          <w:p>
            <w:r/>
            <w:r>
              <w:rPr>
                <w:sz w:val="19"/>
              </w:rPr>
              <w:t>2</w:t>
            </w:r>
          </w:p>
        </w:tc>
        <w:tc>
          <w:tcPr>
            <w:tcW w:type="dxa" w:w="5328"/>
          </w:tcPr>
          <w:p>
            <w:r/>
            <w:r>
              <w:rPr>
                <w:sz w:val="19"/>
              </w:rPr>
              <w:t>anomaly_type, root_operation, fp_hash, sf_environment</w:t>
            </w:r>
          </w:p>
        </w:tc>
      </w:tr>
      <w:tr>
        <w:tc>
          <w:tcPr>
            <w:tcW w:type="dxa" w:w="3744"/>
          </w:tcPr>
          <w:p>
            <w:r/>
            <w:r>
              <w:rPr>
                <w:sz w:val="19"/>
              </w:rPr>
              <w:t>error.signature.drift</w:t>
            </w:r>
          </w:p>
        </w:tc>
        <w:tc>
          <w:tcPr>
            <w:tcW w:type="dxa" w:w="1008"/>
          </w:tcPr>
          <w:p>
            <w:r/>
            <w:r>
              <w:rPr>
                <w:sz w:val="19"/>
              </w:rPr>
              <w:t>3</w:t>
            </w:r>
          </w:p>
        </w:tc>
        <w:tc>
          <w:tcPr>
            <w:tcW w:type="dxa" w:w="5328"/>
          </w:tcPr>
          <w:p>
            <w:r/>
            <w:r>
              <w:rPr>
                <w:sz w:val="19"/>
              </w:rPr>
              <w:t>anomaly_type, service, error_type, sig_hash, sf_environment</w:t>
            </w:r>
          </w:p>
        </w:tc>
      </w:tr>
      <w:tr>
        <w:tc>
          <w:tcPr>
            <w:tcW w:type="dxa" w:w="3744"/>
          </w:tcPr>
          <w:p>
            <w:r/>
            <w:r>
              <w:rPr>
                <w:sz w:val="19"/>
              </w:rPr>
              <w:t>db.query.new_plan / db.query.slow</w:t>
            </w:r>
          </w:p>
        </w:tc>
        <w:tc>
          <w:tcPr>
            <w:tcW w:type="dxa" w:w="1008"/>
          </w:tcPr>
          <w:p>
            <w:r/>
            <w:r>
              <w:rPr>
                <w:sz w:val="19"/>
              </w:rPr>
              <w:t>DB</w:t>
            </w:r>
          </w:p>
        </w:tc>
        <w:tc>
          <w:tcPr>
            <w:tcW w:type="dxa" w:w="5328"/>
          </w:tcPr>
          <w:p>
            <w:r/>
            <w:r>
              <w:rPr>
                <w:sz w:val="19"/>
              </w:rPr>
              <w:t>service, db_system, query_template, query_hash, z_score</w:t>
            </w:r>
          </w:p>
        </w:tc>
      </w:tr>
      <w:tr>
        <w:tc>
          <w:tcPr>
            <w:tcW w:type="dxa" w:w="3744"/>
          </w:tcPr>
          <w:p>
            <w:r/>
            <w:r>
              <w:rPr>
                <w:sz w:val="19"/>
              </w:rPr>
              <w:t>behavioral_baseline.correlated_anomaly</w:t>
            </w:r>
          </w:p>
        </w:tc>
        <w:tc>
          <w:tcPr>
            <w:tcW w:type="dxa" w:w="1008"/>
          </w:tcPr>
          <w:p>
            <w:r/>
            <w:r>
              <w:rPr>
                <w:sz w:val="19"/>
              </w:rPr>
              <w:t>C</w:t>
            </w:r>
          </w:p>
        </w:tc>
        <w:tc>
          <w:tcPr>
            <w:tcW w:type="dxa" w:w="5328"/>
          </w:tcPr>
          <w:p>
            <w:r/>
            <w:r>
              <w:rPr>
                <w:sz w:val="19"/>
              </w:rPr>
              <w:t>service, corr_type, severity, tiers</w:t>
            </w:r>
          </w:p>
        </w:tc>
      </w:tr>
      <w:tr>
        <w:tc>
          <w:tcPr>
            <w:tcW w:type="dxa" w:w="3744"/>
          </w:tcPr>
          <w:p>
            <w:r/>
            <w:r>
              <w:rPr>
                <w:sz w:val="19"/>
              </w:rPr>
              <w:t>deployment.started</w:t>
            </w:r>
          </w:p>
        </w:tc>
        <w:tc>
          <w:tcPr>
            <w:tcW w:type="dxa" w:w="1008"/>
          </w:tcPr>
          <w:p>
            <w:r/>
            <w:r>
              <w:rPr>
                <w:sz w:val="19"/>
              </w:rPr>
              <w:t>input</w:t>
            </w:r>
          </w:p>
        </w:tc>
        <w:tc>
          <w:tcPr>
            <w:tcW w:type="dxa" w:w="5328"/>
          </w:tcPr>
          <w:p>
            <w:r/>
            <w:r>
              <w:rPr>
                <w:sz w:val="19"/>
              </w:rPr>
              <w:t>service, sf_environment</w:t>
            </w:r>
          </w:p>
        </w:tc>
      </w:tr>
      <w:tr>
        <w:tc>
          <w:tcPr>
            <w:tcW w:type="dxa" w:w="3744"/>
          </w:tcPr>
          <w:p>
            <w:r/>
            <w:r>
              <w:rPr>
                <w:sz w:val="19"/>
              </w:rPr>
              <w:t>behavioral_baseline.oncall.page</w:t>
            </w:r>
          </w:p>
        </w:tc>
        <w:tc>
          <w:tcPr>
            <w:tcW w:type="dxa" w:w="1008"/>
          </w:tcPr>
          <w:p>
            <w:r/>
            <w:r>
              <w:rPr>
                <w:sz w:val="19"/>
              </w:rPr>
              <w:t>agent</w:t>
            </w:r>
          </w:p>
        </w:tc>
        <w:tc>
          <w:tcPr>
            <w:tcW w:type="dxa" w:w="5328"/>
          </w:tcPr>
          <w:p>
            <w:r/>
            <w:r>
              <w:rPr>
                <w:sz w:val="19"/>
              </w:rPr>
              <w:t>service, severity, root_cause</w:t>
            </w:r>
          </w:p>
        </w:tc>
      </w:tr>
    </w:tbl>
    <w:p/>
    <w:p>
      <w:pPr>
        <w:pStyle w:val="Heading2"/>
      </w:pPr>
      <w:r>
        <w:t>Deployment surfaces validated to date</w:t>
      </w:r>
    </w:p>
    <w:p>
      <w:r>
        <w:t>The framework has been deployed and demonstrated on multiple ephemeral workshop Kubernetes clusters (k3d, 3-node), against two reference applications:</w:t>
      </w:r>
    </w:p>
    <w:p>
      <w:pPr>
        <w:pStyle w:val="ListBullet"/>
      </w:pPr>
      <w:r>
        <w:t>OpenTelemetry Demo ("Astronomy Shop") — 22-service polyglot e-commerce app, baseline sizes 41–124 fingerprints depending on traffic window</w:t>
      </w:r>
    </w:p>
    <w:p>
      <w:pPr>
        <w:pStyle w:val="ListBullet"/>
      </w:pPr>
      <w:r>
        <w:t>Spring PetClinic Microservices — 7-service Java app, baseline sizes 12–17 fingerprints</w:t>
      </w:r>
    </w:p>
    <w:p>
      <w:r>
        <w:t>All prior workshop EC2 clusters used for these demos are ephemeral (typically 1–2 week lifetime) and have since been decommissioned. A locally-run Docker Compose stack of the OpenTelemetry Demo, already forwarding real telemetry to Splunk APM, is the next planned validation target for a persistent environment (see Gaps).</w:t>
      </w:r>
    </w:p>
    <w:p>
      <w:r>
        <w:br w:type="page"/>
      </w:r>
    </w:p>
    <w:p>
      <w:pPr>
        <w:pStyle w:val="Heading1"/>
      </w:pPr>
      <w:r>
        <w:t>Current Gaps &amp; Limitations</w:t>
      </w:r>
    </w:p>
    <w:p>
      <w:r>
        <w:t>This section categorizes every known limitation by whether it is a real, closable gap in the implementation, or an inherent tradeoff of the architecture that can only be mitigated. Presenting both categories honestly is the point of this document — not every limitation is a defect.</w:t>
      </w:r>
    </w:p>
    <w:p>
      <w:pPr>
        <w:pStyle w:val="Heading2"/>
      </w:pPr>
      <w:r>
        <w:t>1. Closable gap — Tier 1 (metric anomaly) live validation pending</w:t>
      </w:r>
    </w:p>
    <w:p>
      <w:r>
        <w:rPr>
          <w:b/>
        </w:rPr>
        <w:t>Status: implemented in code, not yet demonstrated end-to-end on live traffic.</w:t>
      </w:r>
    </w:p>
    <w:p>
      <w:r>
        <w:t>The Go processor's Tier 1 detectors (latency z-score, error-rate z-score, span-count drop/spike) are fully coded and use the same Welford-baseline pattern already validated for DB query drift. However, every demo run to date has exercised Tier 2 (structural drift) and Tier 3 (error signature drift) — no live run has yet triggered a LATENCY_ANOMALY or ERROR_RATE_ANOMALY event, and no demo has fired a combined structural + metric signal simultaneously.</w:t>
      </w:r>
    </w:p>
    <w:p>
      <w:r>
        <w:rPr>
          <w:b/>
        </w:rPr>
        <w:t xml:space="preserve">Path to closure: </w:t>
      </w:r>
      <w:r>
        <w:t>artificially slow a service until the z-score threshold fires; push a service/operation's error rate above the configured threshold; run both simultaneously to validate Tier C correlation across a metric signal and a structural signal at once. This requires a live environment — tracked as the top priority for the next validation pass.</w:t>
      </w:r>
    </w:p>
    <w:p>
      <w:pPr>
        <w:pStyle w:val="Heading2"/>
      </w:pPr>
      <w:r>
        <w:t>2. Inherent tradeoff — Python baseline-agent promotion lag</w:t>
      </w:r>
    </w:p>
    <w:p>
      <w:r>
        <w:t>New trace patterns introduced by a deploy will alert until the Python baseline-agent completes its next learn cycle (default: every 2 hours). This is not a defect — a pattern must be observed enough times to be trusted as "normal" rather than a single bad event, and that observation window is what gives the system its signal quality. Note this figure applies only to the separate Python-side batch learn; the OTel edge processor's own auto-promotion (10 detections, continuous, no cron) is already fast.</w:t>
      </w:r>
    </w:p>
    <w:p>
      <w:r>
        <w:rPr>
          <w:b/>
        </w:rPr>
        <w:t xml:space="preserve">Mitigation (already implemented): </w:t>
      </w:r>
      <w:r>
        <w:t>notify_deployment.py CI/CD hook triggers an immediate re-learn 5 minutes after a deploy, and correlate.py downgrades severity for anomalies correlated with a recent deploy in the interim.</w:t>
      </w:r>
    </w:p>
    <w:p>
      <w:pPr>
        <w:pStyle w:val="Heading2"/>
      </w:pPr>
      <w:r>
        <w:t>3. Inherent tradeoff — Splunk APM trace search API cap</w:t>
      </w:r>
    </w:p>
    <w:p>
      <w:r>
        <w:t>The Splunk APM trace search API returns at most 200 traces per query, regardless of the configured sample limit. This is an external platform constraint, not something the framework controls. Low-frequency call paths may require multiple learn windows to build full baseline coverage.</w:t>
      </w:r>
    </w:p>
    <w:p>
      <w:pPr>
        <w:pStyle w:val="Heading2"/>
      </w:pPr>
      <w:r>
        <w:t>4. Architectural limitation — Collector state continuity in multi-instance production fleets</w:t>
      </w:r>
    </w:p>
    <w:p>
      <w:r>
        <w:t>Raised in engineering review: in large production environments there are typically many Collector instances deployed, and no single instance sees all telemetry. Due to load balancing, the traffic shape flowing through any given instance can change substantially when rebalancing happens, and there is no guarantee that a given service (or combination of services) continuously routes through the same instance over time.</w:t>
      </w:r>
    </w:p>
    <w:p>
      <w:r>
        <w:t>This limitation applies unevenly across our own detectors:</w:t>
      </w:r>
    </w:p>
    <w:p>
      <w:pPr>
        <w:pStyle w:val="ListBullet"/>
      </w:pPr>
      <w:r>
        <w:t>Structural/error fingerprint matching (Tier 2/3) evaluates one complete trace or error occurrence against a shared baseline set, not a running statistic — this is inherently scoped to a single self-contained batch and remains correct regardless of which instance receives it, as long as that instance holds a reasonably current copy of the baseline. It still depends on a bounded routing domain to keep one trace's spans together (the consistent-hash load balancing already implemented), which does not extend across independently-scaled, independently-routed Collector groups.</w:t>
      </w:r>
    </w:p>
    <w:p>
      <w:pPr>
        <w:pStyle w:val="ListBullet"/>
      </w:pPr>
      <w:r>
        <w:t>MISSING_SERVICE (silence-duration tracking) and auto-promotion (requiring N consecutive detections) both accumulate state per instance across multiple separate traces over time. Neither has a continuity guarantee in a multi-instance fleet with rebalancing — this is a real limitation as implemented, not a mitigated one.</w:t>
      </w:r>
    </w:p>
    <w:p>
      <w:r>
        <w:rPr>
          <w:b/>
        </w:rPr>
        <w:t xml:space="preserve">Working hypothesis, not yet verified: </w:t>
      </w:r>
      <w:r>
        <w:t>moving the affected state (missing-service tracking, promotion counting) into the backend may resolve this, since backend ingestion likely already needs to join spans by trace ID across whichever Collector instances delivered them, in order to render a complete trace — the same joining problem, solved one layer up, regardless of edge-side routing or rebalancing. This has not been confirmed against Splunk's actual ingestion and aggregation architecture. Recommended next step: a direct architecture review with the GDI team to validate or correct this hypothesis before it is treated as a resolution.</w:t>
      </w:r>
    </w:p>
    <w:p>
      <w:pPr>
        <w:pStyle w:val="Heading2"/>
      </w:pPr>
      <w:r>
        <w:t>5. Not a gap — LLM credential fallback chain</w:t>
      </w:r>
    </w:p>
    <w:p>
      <w:r>
        <w:t>triage-agent uses AWS Bedrock via ambient IAM credentials by default, with automatic fallback to a direct Anthropic API key, then Groq, if Bedrock is unavailable. This is a working, tested fallback chain, not a limitation — listed here only for completeness.</w:t>
      </w:r>
    </w:p>
    <w:p>
      <w:pPr>
        <w:pStyle w:val="Heading2"/>
      </w:pPr>
      <w:r>
        <w:t>6. Not a gap — Splunk-side SignalFlow detectors are optional</w:t>
      </w:r>
    </w:p>
    <w:p>
      <w:r>
        <w:t>provision_detectors.py can optionally create native Splunk detectors for On-Call routing integration. All core detection logic runs inside the OTel processor regardless of whether these are provisioned — this is a supplemental integration point, not a dependency.</w:t>
      </w:r>
    </w:p>
    <w:p>
      <w:pPr>
        <w:pStyle w:val="Heading2"/>
      </w:pPr>
      <w:r>
        <w:t>7. Operational gap — no persistent validation environment</w:t>
      </w:r>
    </w:p>
    <w:p>
      <w:r>
        <w:t>Every environment used to validate this framework so far has been an ephemeral workshop EC2 instance with a lifespan of roughly one to two weeks, which has repeatedly forced a full redeploy-from-scratch cycle (install Docker/k3d/kubectl/Helm on a bare host, rebuild images, rebuild baselines from a cold start) rather than allowing iterative validation on stable infrastructure. This is an operational gap rather than a code gap, but it directly explains why item 1 above remains open.</w:t>
      </w:r>
    </w:p>
    <w:p>
      <w:r>
        <w:rPr>
          <w:b/>
        </w:rPr>
        <w:t xml:space="preserve">Path to closure: </w:t>
      </w:r>
      <w:r>
        <w:t>a persistent local Docker Compose deployment of the OpenTelemetry Demo already exists and is currently forwarding real telemetry to a Splunk APM environment. Wiring the OTel edge processor into that stack (single collector instance — no DaemonSet/StatefulSet split needed) gives a durable environment for closing gap 1 and for ongoing regression testing going forward.</w:t>
      </w:r>
    </w:p>
    <w:p>
      <w:pPr>
        <w:pStyle w:val="Heading2"/>
      </w:pPr>
      <w:r>
        <w:t>Summary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color="auto" w:fill="2E4053"/>
          </w:tcPr>
          <w:p>
            <w:r/>
            <w:r>
              <w:rPr>
                <w:b/>
                <w:color w:val="FFFFFF"/>
                <w:sz w:val="20"/>
              </w:rPr>
              <w:t>#</w:t>
            </w:r>
          </w:p>
        </w:tc>
        <w:tc>
          <w:tcPr>
            <w:tcW w:type="dxa" w:w="3744"/>
            <w:shd w:val="clear" w:color="auto" w:fill="2E4053"/>
          </w:tcPr>
          <w:p>
            <w:r/>
            <w:r>
              <w:rPr>
                <w:b/>
                <w:color w:val="FFFFFF"/>
                <w:sz w:val="20"/>
              </w:rPr>
              <w:t>Item</w:t>
            </w:r>
          </w:p>
        </w:tc>
        <w:tc>
          <w:tcPr>
            <w:tcW w:type="dxa" w:w="2880"/>
            <w:shd w:val="clear" w:color="auto" w:fill="2E4053"/>
          </w:tcPr>
          <w:p>
            <w:r/>
            <w:r>
              <w:rPr>
                <w:b/>
                <w:color w:val="FFFFFF"/>
                <w:sz w:val="20"/>
              </w:rPr>
              <w:t>Category</w:t>
            </w:r>
          </w:p>
        </w:tc>
        <w:tc>
          <w:tcPr>
            <w:tcW w:type="dxa" w:w="2880"/>
            <w:shd w:val="clear" w:color="auto" w:fill="2E4053"/>
          </w:tcPr>
          <w:p>
            <w:r/>
            <w:r>
              <w:rPr>
                <w:b/>
                <w:color w:val="FFFFFF"/>
                <w:sz w:val="20"/>
              </w:rPr>
              <w:t>Closable?</w:t>
            </w:r>
          </w:p>
        </w:tc>
      </w:tr>
      <w:tr>
        <w:tc>
          <w:tcPr>
            <w:tcW w:type="dxa" w:w="576"/>
          </w:tcPr>
          <w:p>
            <w:r/>
            <w:r>
              <w:rPr>
                <w:sz w:val="19"/>
              </w:rPr>
              <w:t>1</w:t>
            </w:r>
          </w:p>
        </w:tc>
        <w:tc>
          <w:tcPr>
            <w:tcW w:type="dxa" w:w="3744"/>
          </w:tcPr>
          <w:p>
            <w:r/>
            <w:r>
              <w:rPr>
                <w:sz w:val="19"/>
              </w:rPr>
              <w:t>Tier 1 metric anomaly — live validation</w:t>
            </w:r>
          </w:p>
        </w:tc>
        <w:tc>
          <w:tcPr>
            <w:tcW w:type="dxa" w:w="2880"/>
          </w:tcPr>
          <w:p>
            <w:r/>
            <w:r>
              <w:rPr>
                <w:sz w:val="19"/>
              </w:rPr>
              <w:t>Undemonstrated capability</w:t>
            </w:r>
          </w:p>
        </w:tc>
        <w:tc>
          <w:tcPr>
            <w:tcW w:type="dxa" w:w="2880"/>
          </w:tcPr>
          <w:p>
            <w:r/>
            <w:r>
              <w:rPr>
                <w:sz w:val="19"/>
              </w:rPr>
              <w:t>Yes — needs a live env + demo run</w:t>
            </w:r>
          </w:p>
        </w:tc>
      </w:tr>
      <w:tr>
        <w:tc>
          <w:tcPr>
            <w:tcW w:type="dxa" w:w="576"/>
          </w:tcPr>
          <w:p>
            <w:r/>
            <w:r>
              <w:rPr>
                <w:sz w:val="19"/>
              </w:rPr>
              <w:t>2</w:t>
            </w:r>
          </w:p>
        </w:tc>
        <w:tc>
          <w:tcPr>
            <w:tcW w:type="dxa" w:w="3744"/>
          </w:tcPr>
          <w:p>
            <w:r/>
            <w:r>
              <w:rPr>
                <w:sz w:val="19"/>
              </w:rPr>
              <w:t>Python baseline-agent promotion lag (2h)</w:t>
            </w:r>
          </w:p>
        </w:tc>
        <w:tc>
          <w:tcPr>
            <w:tcW w:type="dxa" w:w="2880"/>
          </w:tcPr>
          <w:p>
            <w:r/>
            <w:r>
              <w:rPr>
                <w:sz w:val="19"/>
              </w:rPr>
              <w:t>Architectural tradeoff</w:t>
            </w:r>
          </w:p>
        </w:tc>
        <w:tc>
          <w:tcPr>
            <w:tcW w:type="dxa" w:w="2880"/>
          </w:tcPr>
          <w:p>
            <w:r/>
            <w:r>
              <w:rPr>
                <w:sz w:val="19"/>
              </w:rPr>
              <w:t>Mitigated, not eliminable by design</w:t>
            </w:r>
          </w:p>
        </w:tc>
      </w:tr>
      <w:tr>
        <w:tc>
          <w:tcPr>
            <w:tcW w:type="dxa" w:w="576"/>
          </w:tcPr>
          <w:p>
            <w:r/>
            <w:r>
              <w:rPr>
                <w:sz w:val="19"/>
              </w:rPr>
              <w:t>3</w:t>
            </w:r>
          </w:p>
        </w:tc>
        <w:tc>
          <w:tcPr>
            <w:tcW w:type="dxa" w:w="3744"/>
          </w:tcPr>
          <w:p>
            <w:r/>
            <w:r>
              <w:rPr>
                <w:sz w:val="19"/>
              </w:rPr>
              <w:t>Splunk APM 200-trace query cap</w:t>
            </w:r>
          </w:p>
        </w:tc>
        <w:tc>
          <w:tcPr>
            <w:tcW w:type="dxa" w:w="2880"/>
          </w:tcPr>
          <w:p>
            <w:r/>
            <w:r>
              <w:rPr>
                <w:sz w:val="19"/>
              </w:rPr>
              <w:t>External platform constraint</w:t>
            </w:r>
          </w:p>
        </w:tc>
        <w:tc>
          <w:tcPr>
            <w:tcW w:type="dxa" w:w="2880"/>
          </w:tcPr>
          <w:p>
            <w:r/>
            <w:r>
              <w:rPr>
                <w:sz w:val="19"/>
              </w:rPr>
              <w:t>Not controllable; mitigated via multi-window learn</w:t>
            </w:r>
          </w:p>
        </w:tc>
      </w:tr>
      <w:tr>
        <w:tc>
          <w:tcPr>
            <w:tcW w:type="dxa" w:w="576"/>
          </w:tcPr>
          <w:p>
            <w:r/>
            <w:r>
              <w:rPr>
                <w:sz w:val="19"/>
              </w:rPr>
              <w:t>4</w:t>
            </w:r>
          </w:p>
        </w:tc>
        <w:tc>
          <w:tcPr>
            <w:tcW w:type="dxa" w:w="3744"/>
          </w:tcPr>
          <w:p>
            <w:r/>
            <w:r>
              <w:rPr>
                <w:sz w:val="19"/>
              </w:rPr>
              <w:t>Collector state continuity in multi-instance fleets</w:t>
            </w:r>
          </w:p>
        </w:tc>
        <w:tc>
          <w:tcPr>
            <w:tcW w:type="dxa" w:w="2880"/>
          </w:tcPr>
          <w:p>
            <w:r/>
            <w:r>
              <w:rPr>
                <w:sz w:val="19"/>
              </w:rPr>
              <w:t>Architectural limitation (raised in review)</w:t>
            </w:r>
          </w:p>
        </w:tc>
        <w:tc>
          <w:tcPr>
            <w:tcW w:type="dxa" w:w="2880"/>
          </w:tcPr>
          <w:p>
            <w:r/>
            <w:r>
              <w:rPr>
                <w:sz w:val="19"/>
              </w:rPr>
              <w:t>Open — hypothesis pending GDI verification</w:t>
            </w:r>
          </w:p>
        </w:tc>
      </w:tr>
      <w:tr>
        <w:tc>
          <w:tcPr>
            <w:tcW w:type="dxa" w:w="576"/>
          </w:tcPr>
          <w:p>
            <w:r/>
            <w:r>
              <w:rPr>
                <w:sz w:val="19"/>
              </w:rPr>
              <w:t>5</w:t>
            </w:r>
          </w:p>
        </w:tc>
        <w:tc>
          <w:tcPr>
            <w:tcW w:type="dxa" w:w="3744"/>
          </w:tcPr>
          <w:p>
            <w:r/>
            <w:r>
              <w:rPr>
                <w:sz w:val="19"/>
              </w:rPr>
              <w:t>LLM credential fallback chain</w:t>
            </w:r>
          </w:p>
        </w:tc>
        <w:tc>
          <w:tcPr>
            <w:tcW w:type="dxa" w:w="2880"/>
          </w:tcPr>
          <w:p>
            <w:r/>
            <w:r>
              <w:rPr>
                <w:sz w:val="19"/>
              </w:rPr>
              <w:t>Working as designed</w:t>
            </w:r>
          </w:p>
        </w:tc>
        <w:tc>
          <w:tcPr>
            <w:tcW w:type="dxa" w:w="2880"/>
          </w:tcPr>
          <w:p>
            <w:r/>
            <w:r>
              <w:rPr>
                <w:sz w:val="19"/>
              </w:rPr>
              <w:t>N/A — not a gap</w:t>
            </w:r>
          </w:p>
        </w:tc>
      </w:tr>
      <w:tr>
        <w:tc>
          <w:tcPr>
            <w:tcW w:type="dxa" w:w="576"/>
          </w:tcPr>
          <w:p>
            <w:r/>
            <w:r>
              <w:rPr>
                <w:sz w:val="19"/>
              </w:rPr>
              <w:t>6</w:t>
            </w:r>
          </w:p>
        </w:tc>
        <w:tc>
          <w:tcPr>
            <w:tcW w:type="dxa" w:w="3744"/>
          </w:tcPr>
          <w:p>
            <w:r/>
            <w:r>
              <w:rPr>
                <w:sz w:val="19"/>
              </w:rPr>
              <w:t>Splunk-side detectors optional</w:t>
            </w:r>
          </w:p>
        </w:tc>
        <w:tc>
          <w:tcPr>
            <w:tcW w:type="dxa" w:w="2880"/>
          </w:tcPr>
          <w:p>
            <w:r/>
            <w:r>
              <w:rPr>
                <w:sz w:val="19"/>
              </w:rPr>
              <w:t>Working as designed</w:t>
            </w:r>
          </w:p>
        </w:tc>
        <w:tc>
          <w:tcPr>
            <w:tcW w:type="dxa" w:w="2880"/>
          </w:tcPr>
          <w:p>
            <w:r/>
            <w:r>
              <w:rPr>
                <w:sz w:val="19"/>
              </w:rPr>
              <w:t>N/A — not a gap</w:t>
            </w:r>
          </w:p>
        </w:tc>
      </w:tr>
      <w:tr>
        <w:tc>
          <w:tcPr>
            <w:tcW w:type="dxa" w:w="576"/>
          </w:tcPr>
          <w:p>
            <w:r/>
            <w:r>
              <w:rPr>
                <w:sz w:val="19"/>
              </w:rPr>
              <w:t>7</w:t>
            </w:r>
          </w:p>
        </w:tc>
        <w:tc>
          <w:tcPr>
            <w:tcW w:type="dxa" w:w="3744"/>
          </w:tcPr>
          <w:p>
            <w:r/>
            <w:r>
              <w:rPr>
                <w:sz w:val="19"/>
              </w:rPr>
              <w:t>No persistent validation environment</w:t>
            </w:r>
          </w:p>
        </w:tc>
        <w:tc>
          <w:tcPr>
            <w:tcW w:type="dxa" w:w="2880"/>
          </w:tcPr>
          <w:p>
            <w:r/>
            <w:r>
              <w:rPr>
                <w:sz w:val="19"/>
              </w:rPr>
              <w:t>Operational gap</w:t>
            </w:r>
          </w:p>
        </w:tc>
        <w:tc>
          <w:tcPr>
            <w:tcW w:type="dxa" w:w="2880"/>
          </w:tcPr>
          <w:p>
            <w:r/>
            <w:r>
              <w:rPr>
                <w:sz w:val="19"/>
              </w:rPr>
              <w:t>Yes — local Docker stack available now</w:t>
            </w:r>
          </w:p>
        </w:tc>
      </w:tr>
    </w:tbl>
    <w:p/>
    <w:p>
      <w:r>
        <w:br w:type="page"/>
      </w:r>
    </w:p>
    <w:p>
      <w:pPr>
        <w:pStyle w:val="Heading1"/>
      </w:pPr>
      <w:r>
        <w:t>Architectural Recommendation: Backend-Native vs. Edge-Deployed</w:t>
      </w:r>
    </w:p>
    <w:p>
      <w:r>
        <w:t>The current implementation runs entirely as a customer-deployed overlay: a custom OTel Collector processor plus a set of Python agents that talk to Splunk only through the public Collector pipeline and the public SignalFlow/APM query APIs. That constraint — no access to backend code, ingestion pipeline, or storage internals — is the root cause of most of the operational limitations catalogued in the Gaps section above, including the Collector state-continuity limitation (Gap 4). If this capability became a native Splunk Observability Cloud feature rather than a customer-side add-on, the architecture should move into the backend rather than stay at the edge.</w:t>
      </w:r>
    </w:p>
    <w:p>
      <w:r>
        <w:rPr>
          <w:b/>
        </w:rPr>
        <w:t xml:space="preserve">Important caveat: </w:t>
      </w:r>
      <w:r>
        <w:t>the claims in this section describe an architectural hypothesis based on how distributed tracing backends generally work (joining spans by trace ID across arbitrary sources to render a complete trace). They have not been verified against Splunk's actual backend ingestion and aggregation architecture. This section should be read as a proposed direction to validate with the GDI/backend team, not a confirmed resolution.</w:t>
      </w:r>
    </w:p>
    <w:p>
      <w:pPr>
        <w:pStyle w:val="Heading2"/>
      </w:pPr>
      <w:r>
        <w:t>Why backend-native detection may be architecturally preferable</w:t>
      </w: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2E4053"/>
          </w:tcPr>
          <w:p>
            <w:r/>
            <w:r>
              <w:rPr>
                <w:b/>
                <w:color w:val="FFFFFF"/>
                <w:sz w:val="20"/>
              </w:rPr>
              <w:t>Problem today (edge-deployed)</w:t>
            </w:r>
          </w:p>
        </w:tc>
        <w:tc>
          <w:tcPr>
            <w:tcW w:type="dxa" w:w="4752"/>
            <w:shd w:val="clear" w:color="auto" w:fill="2E4053"/>
          </w:tcPr>
          <w:p>
            <w:r/>
            <w:r>
              <w:rPr>
                <w:b/>
                <w:color w:val="FFFFFF"/>
                <w:sz w:val="20"/>
              </w:rPr>
              <w:t>Hypothesized backend-native resolution (unverified)</w:t>
            </w:r>
          </w:p>
        </w:tc>
      </w:tr>
      <w:tr>
        <w:tc>
          <w:tcPr>
            <w:tcW w:type="dxa" w:w="4752"/>
          </w:tcPr>
          <w:p>
            <w:r/>
            <w:r>
              <w:rPr>
                <w:sz w:val="19"/>
              </w:rPr>
              <w:t>Two-tier DaemonSet + StatefulSet topology solely to avoid split-trace fingerprinting</w:t>
            </w:r>
          </w:p>
        </w:tc>
        <w:tc>
          <w:tcPr>
            <w:tcW w:type="dxa" w:w="4752"/>
          </w:tcPr>
          <w:p>
            <w:r/>
            <w:r>
              <w:rPr>
                <w:sz w:val="19"/>
              </w:rPr>
              <w:t>Backend ingestion likely already needs to assemble complete traces from whatever Collector instances delivered spans, to render them in the UI — if so, the split-trace problem would not exist there</w:t>
            </w:r>
          </w:p>
        </w:tc>
      </w:tr>
      <w:tr>
        <w:tc>
          <w:tcPr>
            <w:tcW w:type="dxa" w:w="4752"/>
          </w:tcPr>
          <w:p>
            <w:r/>
            <w:r>
              <w:rPr>
                <w:sz w:val="19"/>
              </w:rPr>
              <w:t>Collector state continuity in multi-instance fleets (Gap 4) — no guarantee a service's traffic stays on one instance</w:t>
            </w:r>
          </w:p>
        </w:tc>
        <w:tc>
          <w:tcPr>
            <w:tcW w:type="dxa" w:w="4752"/>
          </w:tcPr>
          <w:p>
            <w:r/>
            <w:r>
              <w:rPr>
                <w:sz w:val="19"/>
              </w:rPr>
              <w:t>Backend ingestion receives the union of every Collector's output regardless of routing — if aggregation is real-time and complete, per-service state would not depend on any single instance's partial view</w:t>
            </w:r>
          </w:p>
        </w:tc>
      </w:tr>
      <w:tr>
        <w:tc>
          <w:tcPr>
            <w:tcW w:type="dxa" w:w="4752"/>
          </w:tcPr>
          <w:p>
            <w:r/>
            <w:r>
              <w:rPr>
                <w:sz w:val="19"/>
              </w:rPr>
              <w:t>Custom Go OTel processor: per-customer image build, registry push, collector version compatibility</w:t>
            </w:r>
          </w:p>
        </w:tc>
        <w:tc>
          <w:tcPr>
            <w:tcW w:type="dxa" w:w="4752"/>
          </w:tcPr>
          <w:p>
            <w:r/>
            <w:r>
              <w:rPr>
                <w:sz w:val="19"/>
              </w:rPr>
              <w:t>Zero customer deployment — ships as a backend feature/detector, like AutoDetect, if built server-side</w:t>
            </w:r>
          </w:p>
        </w:tc>
      </w:tr>
      <w:tr>
        <w:tc>
          <w:tcPr>
            <w:tcW w:type="dxa" w:w="4752"/>
          </w:tcPr>
          <w:p>
            <w:r/>
            <w:r>
              <w:rPr>
                <w:sz w:val="19"/>
              </w:rPr>
              <w:t>200-trace-per-query API cap limiting learn-window coverage</w:t>
            </w:r>
          </w:p>
        </w:tc>
        <w:tc>
          <w:tcPr>
            <w:tcW w:type="dxa" w:w="4752"/>
          </w:tcPr>
          <w:p>
            <w:r/>
            <w:r>
              <w:rPr>
                <w:sz w:val="19"/>
              </w:rPr>
              <w:t>That cap applies only to external API clients; native backend code would read internal storage directly — no cap</w:t>
            </w:r>
          </w:p>
        </w:tc>
      </w:tr>
      <w:tr>
        <w:tc>
          <w:tcPr>
            <w:tcW w:type="dxa" w:w="4752"/>
          </w:tcPr>
          <w:p>
            <w:r/>
            <w:r>
              <w:rPr>
                <w:sz w:val="19"/>
              </w:rPr>
              <w:t>Cross-environment correlation bolted on via multi_env_correlator.py</w:t>
            </w:r>
          </w:p>
        </w:tc>
        <w:tc>
          <w:tcPr>
            <w:tcW w:type="dxa" w:w="4752"/>
          </w:tcPr>
          <w:p>
            <w:r/>
            <w:r>
              <w:rPr>
                <w:sz w:val="19"/>
              </w:rPr>
              <w:t>Native, if the backend's existing data model already spans a customer's environments</w:t>
            </w:r>
          </w:p>
        </w:tc>
      </w:tr>
    </w:tbl>
    <w:p/>
    <w:p>
      <w:pPr>
        <w:pStyle w:val="Heading2"/>
      </w:pPr>
      <w:r>
        <w:t>Baseline logic and syncing would need to move with it</w:t>
      </w:r>
    </w:p>
    <w:p>
      <w:r>
        <w:t>Centralizing detection but leaving baseline storage and propagation at the edge would simply relocate the same distributed-systems problem rather than solve it. If detection moves to the backend, baseline state should move with it:</w:t>
      </w: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2E4053"/>
          </w:tcPr>
          <w:p>
            <w:r/>
            <w:r>
              <w:rPr>
                <w:b/>
                <w:color w:val="FFFFFF"/>
                <w:sz w:val="20"/>
              </w:rPr>
              <w:t>Current edge-side mechanism</w:t>
            </w:r>
          </w:p>
        </w:tc>
        <w:tc>
          <w:tcPr>
            <w:tcW w:type="dxa" w:w="4752"/>
            <w:shd w:val="clear" w:color="auto" w:fill="2E4053"/>
          </w:tcPr>
          <w:p>
            <w:r/>
            <w:r>
              <w:rPr>
                <w:b/>
                <w:color w:val="FFFFFF"/>
                <w:sz w:val="20"/>
              </w:rPr>
              <w:t>Hypothesized backend-native equivalent (unverified)</w:t>
            </w:r>
          </w:p>
        </w:tc>
      </w:tr>
      <w:tr>
        <w:tc>
          <w:tcPr>
            <w:tcW w:type="dxa" w:w="4752"/>
          </w:tcPr>
          <w:p>
            <w:r/>
            <w:r>
              <w:rPr>
                <w:sz w:val="19"/>
              </w:rPr>
              <w:t>behavioral-baseline ConfigMap + emptyDir volume seeded via init container</w:t>
            </w:r>
          </w:p>
        </w:tc>
        <w:tc>
          <w:tcPr>
            <w:tcW w:type="dxa" w:w="4752"/>
          </w:tcPr>
          <w:p>
            <w:r/>
            <w:r>
              <w:rPr>
                <w:sz w:val="19"/>
              </w:rPr>
              <w:t>Baseline as a row/table in backend storage — no volume, no seeding step</w:t>
            </w:r>
          </w:p>
        </w:tc>
      </w:tr>
      <w:tr>
        <w:tc>
          <w:tcPr>
            <w:tcW w:type="dxa" w:w="4752"/>
          </w:tcPr>
          <w:p>
            <w:r/>
            <w:r>
              <w:rPr>
                <w:sz w:val="19"/>
              </w:rPr>
              <w:t>baseline-sync sidecar polling SignalFlow every 30s to catch promotion events</w:t>
            </w:r>
          </w:p>
        </w:tc>
        <w:tc>
          <w:tcPr>
            <w:tcW w:type="dxa" w:w="4752"/>
          </w:tcPr>
          <w:p>
            <w:r/>
            <w:r>
              <w:rPr>
                <w:sz w:val="19"/>
              </w:rPr>
              <w:t>Not needed — the process that detects drift would already have write access to the baseline</w:t>
            </w:r>
          </w:p>
        </w:tc>
      </w:tr>
      <w:tr>
        <w:tc>
          <w:tcPr>
            <w:tcW w:type="dxa" w:w="4752"/>
          </w:tcPr>
          <w:p>
            <w:r/>
            <w:r>
              <w:rPr>
                <w:sz w:val="19"/>
              </w:rPr>
              <w:t>60s baseline_reload_interval per-pod polling loop</w:t>
            </w:r>
          </w:p>
        </w:tc>
        <w:tc>
          <w:tcPr>
            <w:tcW w:type="dxa" w:w="4752"/>
          </w:tcPr>
          <w:p>
            <w:r/>
            <w:r>
              <w:rPr>
                <w:sz w:val="19"/>
              </w:rPr>
              <w:t>Not needed — one baseline, not N per-pod copies to keep in sync</w:t>
            </w:r>
          </w:p>
        </w:tc>
      </w:tr>
      <w:tr>
        <w:tc>
          <w:tcPr>
            <w:tcW w:type="dxa" w:w="4752"/>
          </w:tcPr>
          <w:p>
            <w:r/>
            <w:r>
              <w:rPr>
                <w:sz w:val="19"/>
              </w:rPr>
              <w:t>kubectl cp force-push from baseline-agent into every running pod</w:t>
            </w:r>
          </w:p>
        </w:tc>
        <w:tc>
          <w:tcPr>
            <w:tcW w:type="dxa" w:w="4752"/>
          </w:tcPr>
          <w:p>
            <w:r/>
            <w:r>
              <w:rPr>
                <w:sz w:val="19"/>
              </w:rPr>
              <w:t>Not needed — nothing to push to</w:t>
            </w:r>
          </w:p>
        </w:tc>
      </w:tr>
      <w:tr>
        <w:tc>
          <w:tcPr>
            <w:tcW w:type="dxa" w:w="4752"/>
          </w:tcPr>
          <w:p>
            <w:r/>
            <w:r>
              <w:rPr>
                <w:sz w:val="19"/>
              </w:rPr>
              <w:t>Python baseline-agent 2h learn cycle + notify_deployment.py hook to force early re-learn</w:t>
            </w:r>
          </w:p>
        </w:tc>
        <w:tc>
          <w:tcPr>
            <w:tcW w:type="dxa" w:w="4752"/>
          </w:tcPr>
          <w:p>
            <w:r/>
            <w:r>
              <w:rPr>
                <w:sz w:val="19"/>
              </w:rPr>
              <w:t>Continuous learning directly off the ingestion stream, if that stream is complete and real-time</w:t>
            </w:r>
          </w:p>
        </w:tc>
      </w:tr>
    </w:tbl>
    <w:p/>
    <w:p>
      <w:r>
        <w:t>If this hypothesis holds, it would resolve Gaps 2 and 4 entirely (not just mitigate them), and convert Gap 3 (API cap) into a non-issue. This has not been confirmed and should be validated with GDI before being presented as settled.</w:t>
      </w:r>
    </w:p>
    <w:p>
      <w:pPr>
        <w:pStyle w:val="Heading2"/>
      </w:pPr>
      <w:r>
        <w:t>What would not go away even if verified</w:t>
      </w:r>
    </w:p>
    <w:p>
      <w:r>
        <w:t>A structural pattern still needs to be observed some number of times before it can be trusted as "normal" rather than a single anomalous event. That is a property of statistical baselining itself, not a consequence of edge vs. backend architecture. A backend-native design would remove the distributed-systems overhead around that learning window (propagation delay, per-instance staleness, sync mechanics) — it would not remove the learning window itself.</w:t>
      </w:r>
    </w:p>
    <w:p>
      <w:r>
        <w:t>The one latency advantage of edge deployment — fingerprinting spans before they reach storage, yielding ~10s detection — would only be preserved in a backend-native design if detection hooks into the real-time ingestion path (the way AutoDetect already does), rather than running as a batch job over already-stored data. Whether that is feasible is a question for backend engineering, not something this document can answer.</w:t>
      </w:r>
    </w:p>
    <w:p>
      <w:pPr>
        <w:pStyle w:val="Heading2"/>
      </w:pPr>
      <w:r>
        <w:t>Bottom line for Product &amp; Engineering</w:t>
      </w:r>
    </w:p>
    <w:p>
      <w:r>
        <w:t>This edge-deployed implementation is a working proof of concept that validates the detection approach end-to-end — it is not a proposed shipping architecture. Whether a backend-native redesign is actually preferable depends on confirming the ingestion/aggregation assumptions above with the team that owns that architecture (GDI). The recommended immediate next step is that architecture review, not a commitment to either design.</w:t>
      </w:r>
    </w:p>
    <w:p>
      <w:r>
        <w:br w:type="page"/>
      </w:r>
    </w:p>
    <w:p>
      <w:pPr>
        <w:pStyle w:val="Heading1"/>
      </w:pPr>
      <w:r>
        <w:t>Recommendation</w:t>
      </w:r>
    </w:p>
    <w:p>
      <w:pPr>
        <w:pStyle w:val="ListBullet"/>
      </w:pPr>
      <w:r>
        <w:t>Treat gap #1 (Tier 1 live validation) and gap #7 (persistent environment) as a single work item: wire the OTel edge processor into the existing local Docker Compose OpenTelemetry Demo stack, then run the three pending demo scenarios (latency anomaly, error-rate anomaly, combined signal).</w:t>
      </w:r>
    </w:p>
    <w:p>
      <w:pPr>
        <w:pStyle w:val="ListBullet"/>
      </w:pPr>
      <w:r>
        <w:t>No architecture or code changes are required to address items #2, #3, #5, #6 — they should be documented as known, accepted tradeoffs in any customer-facing materials rather than tracked as open engineering work.</w:t>
      </w:r>
    </w:p>
    <w:p>
      <w:pPr>
        <w:pStyle w:val="ListBullet"/>
      </w:pPr>
      <w:r>
        <w:t>Escalate gap #4 (Collector state continuity in multi-instance fleets) to the GDI team for architecture review before drawing any conclusions — this is an open question, not a resolved limitation or a resolved solution.</w:t>
      </w:r>
    </w:p>
    <w:p>
      <w:pPr>
        <w:pStyle w:val="ListBullet"/>
      </w:pPr>
      <w:r>
        <w:t>Once gap #1 is closed, all five detection tiers (1, 2, 3, DB, and correlation) will have live, demonstrated end-to-end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