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B1C1C8" w14:textId="77777777" w:rsidR="00163593" w:rsidRDefault="00000000">
      <w:pPr>
        <w:spacing w:after="106"/>
      </w:pPr>
      <w:r>
        <w:rPr>
          <w:rFonts w:ascii="Arial" w:hAnsi="Arial" w:cs="Arial"/>
          <w:b/>
          <w:sz w:val="32"/>
        </w:rPr>
        <w:t>Trace-Data Anomaly Detection &amp; Charting Gap in Splunk Observability Cloud</w:t>
      </w:r>
    </w:p>
    <w:p w14:paraId="61641974" w14:textId="0657B4D2" w:rsidR="00163593" w:rsidRDefault="00000000">
      <w:pPr>
        <w:spacing w:after="373"/>
      </w:pPr>
      <w:r>
        <w:rPr>
          <w:rFonts w:ascii="Arial" w:hAnsi="Arial" w:cs="Arial"/>
          <w:i/>
          <w:sz w:val="22"/>
        </w:rPr>
        <w:t>2026-07-30</w:t>
      </w:r>
    </w:p>
    <w:p w14:paraId="58316476" w14:textId="77777777" w:rsidR="00163593" w:rsidRDefault="00000000">
      <w:pPr>
        <w:spacing w:after="106"/>
      </w:pPr>
      <w:r>
        <w:rPr>
          <w:rFonts w:ascii="Arial" w:hAnsi="Arial" w:cs="Arial"/>
          <w:b/>
          <w:sz w:val="26"/>
        </w:rPr>
        <w:t>Customer Situation</w:t>
      </w:r>
    </w:p>
    <w:p w14:paraId="79E7DD3A" w14:textId="77777777" w:rsidR="00163593" w:rsidRDefault="00000000">
      <w:pPr>
        <w:spacing w:after="213"/>
      </w:pPr>
      <w:r>
        <w:rPr>
          <w:rFonts w:ascii="Arial" w:hAnsi="Arial" w:cs="Arial"/>
          <w:sz w:val="22"/>
        </w:rPr>
        <w:t>A customer currently exports telemetry out of Splunk Observability Cloud ("O11y") into Splunk Cloud in order to build custom charts and detections on top of their trace data. This is a workaround, not a preference — they are duplicating data into a second platform because O11y's native tooling does not support the analysis they need directly on trace data.</w:t>
      </w:r>
    </w:p>
    <w:p w14:paraId="4F1EFC85" w14:textId="77777777" w:rsidR="00163593" w:rsidRDefault="00000000">
      <w:pPr>
        <w:spacing w:after="106"/>
      </w:pPr>
      <w:r>
        <w:rPr>
          <w:rFonts w:ascii="Arial" w:hAnsi="Arial" w:cs="Arial"/>
          <w:b/>
          <w:sz w:val="26"/>
        </w:rPr>
        <w:t>Why This Happens: What O11y Natively Provides Today</w:t>
      </w:r>
    </w:p>
    <w:p w14:paraId="72CA5D4B" w14:textId="77777777" w:rsidR="00163593" w:rsidRDefault="00000000">
      <w:pPr>
        <w:spacing w:after="213"/>
      </w:pPr>
      <w:r>
        <w:rPr>
          <w:rFonts w:ascii="Arial" w:hAnsi="Arial" w:cs="Arial"/>
          <w:sz w:val="22"/>
        </w:rPr>
        <w:t>The APM backend (</w:t>
      </w:r>
      <w:r>
        <w:rPr>
          <w:rFonts w:ascii="Courier New" w:hAnsi="Courier New" w:cs="Courier New"/>
          <w:sz w:val="21"/>
        </w:rPr>
        <w:t>apm-svc-trace-analysis</w:t>
      </w:r>
      <w:r>
        <w:rPr>
          <w:rFonts w:ascii="Arial" w:hAnsi="Arial" w:cs="Arial"/>
          <w:sz w:val="22"/>
        </w:rPr>
        <w:t>) already computes RED (Rate, Errors, Duration) metrics centrally and independent of ingest routing:</w:t>
      </w:r>
    </w:p>
    <w:p w14:paraId="586A046D" w14:textId="77777777" w:rsidR="00163593" w:rsidRDefault="00000000">
      <w:pPr>
        <w:spacing w:after="53"/>
        <w:ind w:left="640"/>
      </w:pPr>
      <w:r>
        <w:rPr>
          <w:rFonts w:ascii="Arial" w:hAnsi="Arial" w:cs="Arial"/>
          <w:sz w:val="22"/>
        </w:rPr>
        <w:t>•  </w:t>
      </w:r>
      <w:r>
        <w:rPr>
          <w:rFonts w:ascii="Arial" w:hAnsi="Arial" w:cs="Arial"/>
          <w:b/>
          <w:sz w:val="22"/>
        </w:rPr>
        <w:t>Rate</w:t>
      </w:r>
      <w:r>
        <w:rPr>
          <w:rFonts w:ascii="Arial" w:hAnsi="Arial" w:cs="Arial"/>
          <w:sz w:val="22"/>
        </w:rPr>
        <w:t xml:space="preserve"> — count of entry (SERVER/CONSUMER) spans, via </w:t>
      </w:r>
      <w:r>
        <w:rPr>
          <w:rFonts w:ascii="Courier New" w:hAnsi="Courier New" w:cs="Courier New"/>
          <w:sz w:val="21"/>
        </w:rPr>
        <w:t>service.request</w:t>
      </w:r>
    </w:p>
    <w:p w14:paraId="76389EF0" w14:textId="77777777" w:rsidR="00163593" w:rsidRDefault="00000000">
      <w:pPr>
        <w:spacing w:after="53"/>
        <w:ind w:left="640"/>
      </w:pPr>
      <w:r>
        <w:rPr>
          <w:rFonts w:ascii="Arial" w:hAnsi="Arial" w:cs="Arial"/>
          <w:sz w:val="22"/>
        </w:rPr>
        <w:t>•  </w:t>
      </w:r>
      <w:r>
        <w:rPr>
          <w:rFonts w:ascii="Arial" w:hAnsi="Arial" w:cs="Arial"/>
          <w:b/>
          <w:sz w:val="22"/>
        </w:rPr>
        <w:t>Errors</w:t>
      </w:r>
      <w:r>
        <w:rPr>
          <w:rFonts w:ascii="Arial" w:hAnsi="Arial" w:cs="Arial"/>
          <w:sz w:val="22"/>
        </w:rPr>
        <w:t xml:space="preserve"> — </w:t>
      </w:r>
      <w:r>
        <w:rPr>
          <w:rFonts w:ascii="Courier New" w:hAnsi="Courier New" w:cs="Courier New"/>
          <w:sz w:val="21"/>
        </w:rPr>
        <w:t>sf_error</w:t>
      </w:r>
      <w:r>
        <w:rPr>
          <w:rFonts w:ascii="Arial" w:hAnsi="Arial" w:cs="Arial"/>
          <w:sz w:val="22"/>
        </w:rPr>
        <w:t xml:space="preserve"> dimension, evaluated per-org</w:t>
      </w:r>
    </w:p>
    <w:p w14:paraId="7536591E" w14:textId="77777777" w:rsidR="00163593" w:rsidRDefault="00000000">
      <w:pPr>
        <w:spacing w:after="213"/>
        <w:ind w:left="640"/>
      </w:pPr>
      <w:r>
        <w:rPr>
          <w:rFonts w:ascii="Arial" w:hAnsi="Arial" w:cs="Arial"/>
          <w:sz w:val="22"/>
        </w:rPr>
        <w:t>•  </w:t>
      </w:r>
      <w:r>
        <w:rPr>
          <w:rFonts w:ascii="Arial" w:hAnsi="Arial" w:cs="Arial"/>
          <w:b/>
          <w:sz w:val="22"/>
        </w:rPr>
        <w:t>Duration</w:t>
      </w:r>
      <w:r>
        <w:rPr>
          <w:rFonts w:ascii="Arial" w:hAnsi="Arial" w:cs="Arial"/>
          <w:sz w:val="22"/>
        </w:rPr>
        <w:t xml:space="preserve"> — co-emitted histogram, percentiles derived on read</w:t>
      </w:r>
    </w:p>
    <w:p w14:paraId="4105BE5F" w14:textId="77777777" w:rsidR="00163593" w:rsidRDefault="00000000">
      <w:pPr>
        <w:spacing w:after="213"/>
      </w:pPr>
      <w:r>
        <w:rPr>
          <w:rFonts w:ascii="Arial" w:hAnsi="Arial" w:cs="Arial"/>
          <w:sz w:val="22"/>
        </w:rPr>
        <w:t xml:space="preserve">This data is centrally aggregated (partial histograms merge at the Aggregator before Druid) and is queryable/chartable/alertable natively via SignalFlow and dashboards — </w:t>
      </w:r>
      <w:r>
        <w:rPr>
          <w:rFonts w:ascii="Arial" w:hAnsi="Arial" w:cs="Arial"/>
          <w:b/>
          <w:sz w:val="22"/>
        </w:rPr>
        <w:t>this part already works well in O11y and requires no export to Splunk Cloud.</w:t>
      </w:r>
    </w:p>
    <w:p w14:paraId="146520B3" w14:textId="77777777" w:rsidR="00163593" w:rsidRDefault="00000000">
      <w:pPr>
        <w:spacing w:after="106"/>
      </w:pPr>
      <w:r>
        <w:rPr>
          <w:rFonts w:ascii="Arial" w:hAnsi="Arial" w:cs="Arial"/>
          <w:b/>
          <w:sz w:val="26"/>
        </w:rPr>
        <w:t>The Real Gap</w:t>
      </w:r>
    </w:p>
    <w:p w14:paraId="06A432DF" w14:textId="77777777" w:rsidR="00163593" w:rsidRDefault="00000000">
      <w:pPr>
        <w:spacing w:after="213"/>
      </w:pPr>
      <w:r>
        <w:rPr>
          <w:rFonts w:ascii="Arial" w:hAnsi="Arial" w:cs="Arial"/>
          <w:sz w:val="22"/>
        </w:rPr>
        <w:t>A codebase search of the backend for anomaly-detection primitives (</w:t>
      </w:r>
      <w:r>
        <w:rPr>
          <w:rFonts w:ascii="Courier New" w:hAnsi="Courier New" w:cs="Courier New"/>
          <w:sz w:val="21"/>
        </w:rPr>
        <w:t>anomaly, outlier, forecast, changepoint, seasonal, drift, zscore</w:t>
      </w:r>
      <w:r>
        <w:rPr>
          <w:rFonts w:ascii="Arial" w:hAnsi="Arial" w:cs="Arial"/>
          <w:sz w:val="22"/>
        </w:rPr>
        <w:t xml:space="preserve">) found </w:t>
      </w:r>
      <w:r>
        <w:rPr>
          <w:rFonts w:ascii="Arial" w:hAnsi="Arial" w:cs="Arial"/>
          <w:b/>
          <w:sz w:val="22"/>
        </w:rPr>
        <w:t>no statistical or ML-based detection anywhere in the backend</w:t>
      </w:r>
      <w:r>
        <w:rPr>
          <w:rFonts w:ascii="Arial" w:hAnsi="Arial" w:cs="Arial"/>
          <w:sz w:val="22"/>
        </w:rPr>
        <w:t>. Beyond native RED, every existing signal is a static threshold or a display-only computation:</w:t>
      </w:r>
    </w:p>
    <w:p w14:paraId="64403F32" w14:textId="77777777" w:rsidR="00163593" w:rsidRDefault="00000000">
      <w:pPr>
        <w:spacing w:after="53"/>
        <w:ind w:left="640"/>
      </w:pPr>
      <w:r>
        <w:rPr>
          <w:rFonts w:ascii="Arial" w:hAnsi="Arial" w:cs="Arial"/>
          <w:sz w:val="22"/>
        </w:rPr>
        <w:t>•  </w:t>
      </w:r>
      <w:r>
        <w:rPr>
          <w:rFonts w:ascii="Courier New" w:hAnsi="Courier New" w:cs="Courier New"/>
          <w:sz w:val="21"/>
        </w:rPr>
        <w:t>HealthEvaluator</w:t>
      </w:r>
      <w:r>
        <w:rPr>
          <w:rFonts w:ascii="Arial" w:hAnsi="Arial" w:cs="Arial"/>
          <w:sz w:val="22"/>
        </w:rPr>
        <w:t xml:space="preserve"> — hard-coded error-fraction threshold (&lt;5% Ok, &lt;20% Warning, else Critical); its own code comment calls this a placeholder pending real SLOs.</w:t>
      </w:r>
    </w:p>
    <w:p w14:paraId="0FC5451F" w14:textId="77777777" w:rsidR="00163593" w:rsidRDefault="00000000">
      <w:pPr>
        <w:spacing w:after="53"/>
        <w:ind w:left="640"/>
      </w:pPr>
      <w:r>
        <w:rPr>
          <w:rFonts w:ascii="Arial" w:hAnsi="Arial" w:cs="Arial"/>
          <w:sz w:val="22"/>
        </w:rPr>
        <w:t>•  </w:t>
      </w:r>
      <w:r>
        <w:rPr>
          <w:rFonts w:ascii="Courier New" w:hAnsi="Courier New" w:cs="Courier New"/>
          <w:sz w:val="21"/>
        </w:rPr>
        <w:t>OutlierAnalyzer</w:t>
      </w:r>
      <w:r>
        <w:rPr>
          <w:rFonts w:ascii="Arial" w:hAnsi="Arial" w:cs="Arial"/>
          <w:sz w:val="22"/>
        </w:rPr>
        <w:t xml:space="preserve"> (misleadingly named) — renders percentile histograms/bar charts for the UI only; no baseline comparison, no z-score, no outlier flagging.</w:t>
      </w:r>
    </w:p>
    <w:p w14:paraId="1DF97594" w14:textId="77777777" w:rsidR="00163593" w:rsidRDefault="00000000">
      <w:pPr>
        <w:spacing w:after="213"/>
        <w:ind w:left="640"/>
      </w:pPr>
      <w:r>
        <w:rPr>
          <w:rFonts w:ascii="Arial" w:hAnsi="Arial" w:cs="Arial"/>
          <w:sz w:val="22"/>
        </w:rPr>
        <w:t>•  No structural detection of any kind — no way to detect a new call path, a missing service, a first-occurrence error signature, or a silent span-count collapse.</w:t>
      </w:r>
    </w:p>
    <w:p w14:paraId="062074E7" w14:textId="77777777" w:rsidR="00163593" w:rsidRDefault="00000000">
      <w:pPr>
        <w:spacing w:after="213"/>
      </w:pPr>
      <w:r>
        <w:rPr>
          <w:rFonts w:ascii="Arial" w:hAnsi="Arial" w:cs="Arial"/>
          <w:sz w:val="22"/>
        </w:rPr>
        <w:t xml:space="preserve">This is the actual gap driving customers to Splunk Cloud: they want </w:t>
      </w:r>
      <w:r>
        <w:rPr>
          <w:rFonts w:ascii="Arial" w:hAnsi="Arial" w:cs="Arial"/>
          <w:b/>
          <w:sz w:val="22"/>
        </w:rPr>
        <w:t>behavioral/statistical detection and flexible charting on trace structure and attributes</w:t>
      </w:r>
      <w:r>
        <w:rPr>
          <w:rFonts w:ascii="Arial" w:hAnsi="Arial" w:cs="Arial"/>
          <w:sz w:val="22"/>
        </w:rPr>
        <w:t>, and today's O11y offers neither — only pre-defined RED metrics and static thresholds.</w:t>
      </w:r>
    </w:p>
    <w:p w14:paraId="263175FF" w14:textId="77777777" w:rsidR="00163593" w:rsidRDefault="00000000">
      <w:pPr>
        <w:spacing w:after="106"/>
      </w:pPr>
      <w:r>
        <w:rPr>
          <w:rFonts w:ascii="Arial" w:hAnsi="Arial" w:cs="Arial"/>
          <w:b/>
          <w:sz w:val="26"/>
        </w:rPr>
        <w:t>How o11y-behaviorbaseline Closes This Gap</w:t>
      </w:r>
    </w:p>
    <w:p w14:paraId="52887454" w14:textId="77777777" w:rsidR="00163593" w:rsidRDefault="00000000">
      <w:pPr>
        <w:spacing w:after="213"/>
      </w:pPr>
      <w:r>
        <w:rPr>
          <w:rFonts w:ascii="Arial" w:hAnsi="Arial" w:cs="Arial"/>
          <w:sz w:val="22"/>
        </w:rPr>
        <w:lastRenderedPageBreak/>
        <w:t xml:space="preserve">This internal framework adds a detection layer (OTel Collector </w:t>
      </w:r>
      <w:r>
        <w:rPr>
          <w:rFonts w:ascii="Courier New" w:hAnsi="Courier New" w:cs="Courier New"/>
          <w:sz w:val="21"/>
        </w:rPr>
        <w:t>fingerprintprocessor</w:t>
      </w:r>
      <w:r>
        <w:rPr>
          <w:rFonts w:ascii="Arial" w:hAnsi="Arial" w:cs="Arial"/>
          <w:sz w:val="22"/>
        </w:rPr>
        <w:t xml:space="preserve"> + Python agents) that computes exactly the missing signals, and emits the results as </w:t>
      </w:r>
      <w:r>
        <w:rPr>
          <w:rFonts w:ascii="Arial" w:hAnsi="Arial" w:cs="Arial"/>
          <w:b/>
          <w:sz w:val="22"/>
        </w:rPr>
        <w:t>native O11y custom events</w:t>
      </w:r>
      <w:r>
        <w:rPr>
          <w:rFonts w:ascii="Arial" w:hAnsi="Arial" w:cs="Arial"/>
          <w:sz w:val="22"/>
        </w:rPr>
        <w:t xml:space="preserve"> (SignalFlow-queryable) — so customers get charting and alerting on trace-derived behavior </w:t>
      </w:r>
      <w:r>
        <w:rPr>
          <w:rFonts w:ascii="Arial" w:hAnsi="Arial" w:cs="Arial"/>
          <w:b/>
          <w:sz w:val="22"/>
        </w:rPr>
        <w:t>without duplicating data into Splunk Cloud</w:t>
      </w:r>
      <w:r>
        <w:rPr>
          <w:rFonts w:ascii="Arial" w:hAnsi="Arial" w:cs="Arial"/>
          <w:sz w:val="22"/>
        </w:rPr>
        <w:t>:</w:t>
      </w:r>
    </w:p>
    <w:p w14:paraId="57E3994C" w14:textId="77777777" w:rsidR="00163593" w:rsidRDefault="00000000">
      <w:pPr>
        <w:spacing w:after="53"/>
        <w:ind w:left="640"/>
      </w:pPr>
      <w:r>
        <w:rPr>
          <w:rFonts w:ascii="Arial" w:hAnsi="Arial" w:cs="Arial"/>
          <w:sz w:val="22"/>
        </w:rPr>
        <w:t>•  </w:t>
      </w:r>
      <w:r>
        <w:rPr>
          <w:rFonts w:ascii="Arial" w:hAnsi="Arial" w:cs="Arial"/>
          <w:b/>
          <w:sz w:val="22"/>
        </w:rPr>
        <w:t>Tier 1</w:t>
      </w:r>
      <w:r>
        <w:rPr>
          <w:rFonts w:ascii="Arial" w:hAnsi="Arial" w:cs="Arial"/>
          <w:sz w:val="22"/>
        </w:rPr>
        <w:t xml:space="preserve"> — latency / error-rate / span-count anomalies. </w:t>
      </w:r>
      <w:r>
        <w:rPr>
          <w:rFonts w:ascii="Arial" w:hAnsi="Arial" w:cs="Arial"/>
          <w:i/>
          <w:sz w:val="22"/>
        </w:rPr>
        <w:t>Method:</w:t>
      </w:r>
      <w:r>
        <w:rPr>
          <w:rFonts w:ascii="Arial" w:hAnsi="Arial" w:cs="Arial"/>
          <w:sz w:val="22"/>
        </w:rPr>
        <w:t xml:space="preserve"> z-score vs. per-operation Welford baseline.</w:t>
      </w:r>
    </w:p>
    <w:p w14:paraId="517CF032" w14:textId="77777777" w:rsidR="00163593" w:rsidRDefault="00000000">
      <w:pPr>
        <w:spacing w:after="53"/>
        <w:ind w:left="640"/>
      </w:pPr>
      <w:r>
        <w:rPr>
          <w:rFonts w:ascii="Arial" w:hAnsi="Arial" w:cs="Arial"/>
          <w:sz w:val="22"/>
        </w:rPr>
        <w:t>•  </w:t>
      </w:r>
      <w:r>
        <w:rPr>
          <w:rFonts w:ascii="Arial" w:hAnsi="Arial" w:cs="Arial"/>
          <w:b/>
          <w:sz w:val="22"/>
        </w:rPr>
        <w:t>Tier 2</w:t>
      </w:r>
      <w:r>
        <w:rPr>
          <w:rFonts w:ascii="Arial" w:hAnsi="Arial" w:cs="Arial"/>
          <w:sz w:val="22"/>
        </w:rPr>
        <w:t xml:space="preserve"> — new/changed execution paths, missing services. </w:t>
      </w:r>
      <w:r>
        <w:rPr>
          <w:rFonts w:ascii="Arial" w:hAnsi="Arial" w:cs="Arial"/>
          <w:i/>
          <w:sz w:val="22"/>
        </w:rPr>
        <w:t>Method:</w:t>
      </w:r>
      <w:r>
        <w:rPr>
          <w:rFonts w:ascii="Arial" w:hAnsi="Arial" w:cs="Arial"/>
          <w:sz w:val="22"/>
        </w:rPr>
        <w:t xml:space="preserve"> SHA-256 of ordered parent→child span edges.</w:t>
      </w:r>
    </w:p>
    <w:p w14:paraId="4117841B" w14:textId="77777777" w:rsidR="00163593" w:rsidRDefault="00000000">
      <w:pPr>
        <w:spacing w:after="53"/>
        <w:ind w:left="640"/>
      </w:pPr>
      <w:r>
        <w:rPr>
          <w:rFonts w:ascii="Arial" w:hAnsi="Arial" w:cs="Arial"/>
          <w:sz w:val="22"/>
        </w:rPr>
        <w:t>•  </w:t>
      </w:r>
      <w:r>
        <w:rPr>
          <w:rFonts w:ascii="Arial" w:hAnsi="Arial" w:cs="Arial"/>
          <w:b/>
          <w:sz w:val="22"/>
        </w:rPr>
        <w:t>Tier 3</w:t>
      </w:r>
      <w:r>
        <w:rPr>
          <w:rFonts w:ascii="Arial" w:hAnsi="Arial" w:cs="Arial"/>
          <w:sz w:val="22"/>
        </w:rPr>
        <w:t xml:space="preserve"> — new/vanished error signatures, rate spikes. </w:t>
      </w:r>
      <w:r>
        <w:rPr>
          <w:rFonts w:ascii="Arial" w:hAnsi="Arial" w:cs="Arial"/>
          <w:i/>
          <w:sz w:val="22"/>
        </w:rPr>
        <w:t>Method:</w:t>
      </w:r>
      <w:r>
        <w:rPr>
          <w:rFonts w:ascii="Arial" w:hAnsi="Arial" w:cs="Arial"/>
          <w:sz w:val="22"/>
        </w:rPr>
        <w:t xml:space="preserve"> SHA-256 of service + error_type + operation + call path.</w:t>
      </w:r>
    </w:p>
    <w:p w14:paraId="3E33E6C3" w14:textId="77777777" w:rsidR="00163593" w:rsidRDefault="00000000">
      <w:pPr>
        <w:spacing w:after="53"/>
        <w:ind w:left="640"/>
      </w:pPr>
      <w:r>
        <w:rPr>
          <w:rFonts w:ascii="Arial" w:hAnsi="Arial" w:cs="Arial"/>
          <w:sz w:val="22"/>
        </w:rPr>
        <w:t>•  </w:t>
      </w:r>
      <w:r>
        <w:rPr>
          <w:rFonts w:ascii="Arial" w:hAnsi="Arial" w:cs="Arial"/>
          <w:b/>
          <w:sz w:val="22"/>
        </w:rPr>
        <w:t>Tier DB</w:t>
      </w:r>
      <w:r>
        <w:rPr>
          <w:rFonts w:ascii="Arial" w:hAnsi="Arial" w:cs="Arial"/>
          <w:sz w:val="22"/>
        </w:rPr>
        <w:t xml:space="preserve"> — new or slow SQL query templates. </w:t>
      </w:r>
      <w:r>
        <w:rPr>
          <w:rFonts w:ascii="Arial" w:hAnsi="Arial" w:cs="Arial"/>
          <w:i/>
          <w:sz w:val="22"/>
        </w:rPr>
        <w:t>Method:</w:t>
      </w:r>
      <w:r>
        <w:rPr>
          <w:rFonts w:ascii="Arial" w:hAnsi="Arial" w:cs="Arial"/>
          <w:sz w:val="22"/>
        </w:rPr>
        <w:t xml:space="preserve"> normalized query template, z-score vs. Welford baseline.</w:t>
      </w:r>
    </w:p>
    <w:p w14:paraId="68289058" w14:textId="77777777" w:rsidR="00163593" w:rsidRDefault="00000000">
      <w:pPr>
        <w:spacing w:after="213"/>
        <w:ind w:left="640"/>
      </w:pPr>
      <w:r>
        <w:rPr>
          <w:rFonts w:ascii="Arial" w:hAnsi="Arial" w:cs="Arial"/>
          <w:sz w:val="22"/>
        </w:rPr>
        <w:t>•  </w:t>
      </w:r>
      <w:r>
        <w:rPr>
          <w:rFonts w:ascii="Arial" w:hAnsi="Arial" w:cs="Arial"/>
          <w:b/>
          <w:sz w:val="22"/>
        </w:rPr>
        <w:t>Tier C</w:t>
      </w:r>
      <w:r>
        <w:rPr>
          <w:rFonts w:ascii="Arial" w:hAnsi="Arial" w:cs="Arial"/>
          <w:sz w:val="22"/>
        </w:rPr>
        <w:t xml:space="preserve"> — correlated multi-tier incidents. </w:t>
      </w:r>
      <w:r>
        <w:rPr>
          <w:rFonts w:ascii="Arial" w:hAnsi="Arial" w:cs="Arial"/>
          <w:i/>
          <w:sz w:val="22"/>
        </w:rPr>
        <w:t>Method:</w:t>
      </w:r>
      <w:r>
        <w:rPr>
          <w:rFonts w:ascii="Arial" w:hAnsi="Arial" w:cs="Arial"/>
          <w:sz w:val="22"/>
        </w:rPr>
        <w:t xml:space="preserve"> joins Tier 1/2/3 events by service within a time window.</w:t>
      </w:r>
    </w:p>
    <w:p w14:paraId="77366113" w14:textId="77777777" w:rsidR="00163593" w:rsidRDefault="00000000">
      <w:pPr>
        <w:spacing w:after="106"/>
      </w:pPr>
      <w:r>
        <w:rPr>
          <w:rFonts w:ascii="Arial" w:hAnsi="Arial" w:cs="Arial"/>
          <w:b/>
          <w:sz w:val="26"/>
        </w:rPr>
        <w:t>Recommended Architecture Split</w:t>
      </w:r>
    </w:p>
    <w:p w14:paraId="7C36FF53" w14:textId="77777777" w:rsidR="00163593" w:rsidRDefault="00000000">
      <w:pPr>
        <w:spacing w:after="213"/>
      </w:pPr>
      <w:r>
        <w:rPr>
          <w:rFonts w:ascii="Arial" w:hAnsi="Arial" w:cs="Arial"/>
          <w:sz w:val="22"/>
        </w:rPr>
        <w:t>A follow-on architecture review (2026-07-24) refined the approach to avoid duplicating state the backend already owns:</w:t>
      </w:r>
    </w:p>
    <w:p w14:paraId="64EE02DE" w14:textId="77777777" w:rsidR="00163593" w:rsidRDefault="00000000">
      <w:pPr>
        <w:spacing w:after="53"/>
        <w:ind w:left="640"/>
      </w:pPr>
      <w:r>
        <w:rPr>
          <w:rFonts w:ascii="Arial" w:hAnsi="Arial" w:cs="Arial"/>
          <w:sz w:val="22"/>
        </w:rPr>
        <w:t>•  </w:t>
      </w:r>
      <w:r>
        <w:rPr>
          <w:rFonts w:ascii="Arial" w:hAnsi="Arial" w:cs="Arial"/>
          <w:b/>
          <w:sz w:val="22"/>
        </w:rPr>
        <w:t>Keep at the Collector edge:</w:t>
      </w:r>
      <w:r>
        <w:rPr>
          <w:rFonts w:ascii="Arial" w:hAnsi="Arial" w:cs="Arial"/>
          <w:sz w:val="22"/>
        </w:rPr>
        <w:t xml:space="preserve"> single-trace structural detection (fingerprinting, error signatures) — safe by construction, since consistent-hash routing guarantees one pod sees a complete trace regardless of fleet size.</w:t>
      </w:r>
    </w:p>
    <w:p w14:paraId="19F0F842" w14:textId="77777777" w:rsidR="00163593" w:rsidRDefault="00000000">
      <w:pPr>
        <w:spacing w:after="53"/>
        <w:ind w:left="640"/>
      </w:pPr>
      <w:r>
        <w:rPr>
          <w:rFonts w:ascii="Arial" w:hAnsi="Arial" w:cs="Arial"/>
          <w:sz w:val="22"/>
        </w:rPr>
        <w:t>•  </w:t>
      </w:r>
      <w:r>
        <w:rPr>
          <w:rFonts w:ascii="Arial" w:hAnsi="Arial" w:cs="Arial"/>
          <w:b/>
          <w:sz w:val="22"/>
        </w:rPr>
        <w:t>Delegate to the backend:</w:t>
      </w:r>
      <w:r>
        <w:rPr>
          <w:rFonts w:ascii="Arial" w:hAnsi="Arial" w:cs="Arial"/>
          <w:sz w:val="22"/>
        </w:rPr>
        <w:t xml:space="preserve"> aggregate RED/latency/error-rate baselines — query the already-centralized </w:t>
      </w:r>
      <w:r>
        <w:rPr>
          <w:rFonts w:ascii="Courier New" w:hAnsi="Courier New" w:cs="Courier New"/>
          <w:sz w:val="21"/>
        </w:rPr>
        <w:t>service.request</w:t>
      </w:r>
      <w:r>
        <w:rPr>
          <w:rFonts w:ascii="Arial" w:hAnsi="Arial" w:cs="Arial"/>
          <w:sz w:val="22"/>
        </w:rPr>
        <w:t xml:space="preserve"> data in Druid instead of re-deriving it per Collector pod, which fragments under load-balancer rebalancing in multi-instance production fleets.</w:t>
      </w:r>
    </w:p>
    <w:p w14:paraId="4C70CE3F" w14:textId="77777777" w:rsidR="00163593" w:rsidRDefault="00000000">
      <w:pPr>
        <w:spacing w:after="213"/>
        <w:ind w:left="640"/>
      </w:pPr>
      <w:r>
        <w:rPr>
          <w:rFonts w:ascii="Arial" w:hAnsi="Arial" w:cs="Arial"/>
          <w:sz w:val="22"/>
        </w:rPr>
        <w:t>•  </w:t>
      </w:r>
      <w:r>
        <w:rPr>
          <w:rFonts w:ascii="Arial" w:hAnsi="Arial" w:cs="Arial"/>
          <w:b/>
          <w:sz w:val="22"/>
        </w:rPr>
        <w:t>One net-new signal:</w:t>
      </w:r>
      <w:r>
        <w:rPr>
          <w:rFonts w:ascii="Arial" w:hAnsi="Arial" w:cs="Arial"/>
          <w:sz w:val="22"/>
        </w:rPr>
        <w:t xml:space="preserve"> a fingerprint-occurrence counter emitted via the existing SignalFx exporter, to track structural-pattern frequency trends centrally.</w:t>
      </w:r>
    </w:p>
    <w:p w14:paraId="1EA531A9" w14:textId="77777777" w:rsidR="00163593" w:rsidRDefault="00000000">
      <w:pPr>
        <w:spacing w:after="106"/>
      </w:pPr>
      <w:r>
        <w:rPr>
          <w:rFonts w:ascii="Arial" w:hAnsi="Arial" w:cs="Arial"/>
          <w:b/>
          <w:sz w:val="26"/>
        </w:rPr>
        <w:t>Current Validation Status</w:t>
      </w:r>
    </w:p>
    <w:p w14:paraId="426EF404" w14:textId="77777777" w:rsidR="00163593" w:rsidRDefault="00000000">
      <w:pPr>
        <w:spacing w:after="53"/>
        <w:ind w:left="640"/>
      </w:pPr>
      <w:r>
        <w:rPr>
          <w:rFonts w:ascii="Arial" w:hAnsi="Arial" w:cs="Arial"/>
          <w:sz w:val="22"/>
        </w:rPr>
        <w:t>•  </w:t>
      </w:r>
      <w:r>
        <w:rPr>
          <w:rFonts w:ascii="Arial" w:hAnsi="Arial" w:cs="Arial"/>
          <w:b/>
          <w:sz w:val="22"/>
        </w:rPr>
        <w:t>Validated (demoed end-to-end):</w:t>
      </w:r>
      <w:r>
        <w:rPr>
          <w:rFonts w:ascii="Arial" w:hAnsi="Arial" w:cs="Arial"/>
          <w:sz w:val="22"/>
        </w:rPr>
        <w:t xml:space="preserve"> Tier 2 (structural drift) and Tier 3 (error signature drift) — DB outage, service kill, bad deploy, cascading failure, and self-healing baseline scenarios all successful on live k3d clusters.</w:t>
      </w:r>
    </w:p>
    <w:p w14:paraId="35940C34" w14:textId="77777777" w:rsidR="00163593" w:rsidRDefault="00000000">
      <w:pPr>
        <w:spacing w:after="53"/>
        <w:ind w:left="640"/>
      </w:pPr>
      <w:r>
        <w:rPr>
          <w:rFonts w:ascii="Arial" w:hAnsi="Arial" w:cs="Arial"/>
          <w:sz w:val="22"/>
        </w:rPr>
        <w:t>•  </w:t>
      </w:r>
      <w:r>
        <w:rPr>
          <w:rFonts w:ascii="Arial" w:hAnsi="Arial" w:cs="Arial"/>
          <w:b/>
          <w:sz w:val="22"/>
        </w:rPr>
        <w:t>Implemented, not yet live-validated:</w:t>
      </w:r>
      <w:r>
        <w:rPr>
          <w:rFonts w:ascii="Arial" w:hAnsi="Arial" w:cs="Arial"/>
          <w:sz w:val="22"/>
        </w:rPr>
        <w:t xml:space="preserve"> Tier 1 (latency/error-rate z-score anomalies) — coded using the same Welford-baseline pattern already proven for DB query drift, but no live run has yet triggered a latency or error-rate anomaly event.</w:t>
      </w:r>
    </w:p>
    <w:p w14:paraId="0BA4FD10" w14:textId="77777777" w:rsidR="00163593" w:rsidRDefault="00000000">
      <w:pPr>
        <w:spacing w:after="213"/>
        <w:ind w:left="640"/>
      </w:pPr>
      <w:r>
        <w:rPr>
          <w:rFonts w:ascii="Arial" w:hAnsi="Arial" w:cs="Arial"/>
          <w:sz w:val="22"/>
        </w:rPr>
        <w:t>•  </w:t>
      </w:r>
      <w:r>
        <w:rPr>
          <w:rFonts w:ascii="Arial" w:hAnsi="Arial" w:cs="Arial"/>
          <w:b/>
          <w:sz w:val="22"/>
        </w:rPr>
        <w:t>Open architectural question:</w:t>
      </w:r>
      <w:r>
        <w:rPr>
          <w:rFonts w:ascii="Arial" w:hAnsi="Arial" w:cs="Arial"/>
          <w:sz w:val="22"/>
        </w:rPr>
        <w:t xml:space="preserve"> continuity of per-instance accumulated state (missing-service silence tracking, auto-promotion counters) across large multi-instance production fleets under rebalancing — working hypothesis is to move this state to the backend as well, pending a direct architecture review with the GDI team.</w:t>
      </w:r>
    </w:p>
    <w:p w14:paraId="538CFDF1" w14:textId="77777777" w:rsidR="00163593" w:rsidRDefault="00000000">
      <w:pPr>
        <w:spacing w:after="106"/>
      </w:pPr>
      <w:r>
        <w:rPr>
          <w:rFonts w:ascii="Arial" w:hAnsi="Arial" w:cs="Arial"/>
          <w:b/>
          <w:sz w:val="26"/>
        </w:rPr>
        <w:t>Recommendation</w:t>
      </w:r>
    </w:p>
    <w:p w14:paraId="62F6EA0E" w14:textId="77777777" w:rsidR="00163593" w:rsidRDefault="00000000">
      <w:pPr>
        <w:spacing w:after="213"/>
      </w:pPr>
      <w:r>
        <w:rPr>
          <w:rFonts w:ascii="Arial" w:hAnsi="Arial" w:cs="Arial"/>
          <w:sz w:val="22"/>
        </w:rPr>
        <w:lastRenderedPageBreak/>
        <w:t>This framework is a credible path to closing the gap that is currently pushing customers to export trace data into Splunk Cloud. Before any customer-facing commitment, we recommend:</w:t>
      </w:r>
    </w:p>
    <w:p w14:paraId="357DFD51" w14:textId="77777777" w:rsidR="00163593" w:rsidRDefault="00000000">
      <w:pPr>
        <w:spacing w:after="53"/>
        <w:ind w:left="640"/>
      </w:pPr>
      <w:r>
        <w:rPr>
          <w:rFonts w:ascii="Arial" w:hAnsi="Arial" w:cs="Arial"/>
          <w:sz w:val="22"/>
        </w:rPr>
        <w:t>1.  Completing live validation of Tier 1 metric-based anomaly detection (currently the top open item).</w:t>
      </w:r>
    </w:p>
    <w:p w14:paraId="3D6BEB49" w14:textId="77777777" w:rsidR="00163593" w:rsidRDefault="00000000">
      <w:pPr>
        <w:spacing w:after="53"/>
        <w:ind w:left="640"/>
      </w:pPr>
      <w:r>
        <w:rPr>
          <w:rFonts w:ascii="Arial" w:hAnsi="Arial" w:cs="Arial"/>
          <w:sz w:val="22"/>
        </w:rPr>
        <w:t>2.  Confirming the backend-delegation hypothesis for cross-instance state continuity with the GDI team.</w:t>
      </w:r>
    </w:p>
    <w:p w14:paraId="702E27B5" w14:textId="77777777" w:rsidR="00163593" w:rsidRDefault="00000000">
      <w:pPr>
        <w:spacing w:after="213"/>
        <w:ind w:left="640"/>
      </w:pPr>
      <w:r>
        <w:rPr>
          <w:rFonts w:ascii="Arial" w:hAnsi="Arial" w:cs="Arial"/>
          <w:sz w:val="22"/>
        </w:rPr>
        <w:t>3.  Scoping what a productized, backend-native version of this capability (vs. a Collector-deployed add-on) would require, given that RED aggregation already lives centrally in Druid today.</w:t>
      </w:r>
    </w:p>
    <w:sectPr w:rsidR="00163593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C5684B" w14:textId="77777777" w:rsidR="008671EB" w:rsidRDefault="008671EB" w:rsidP="00670AD5">
      <w:pPr>
        <w:spacing w:after="0" w:line="240" w:lineRule="auto"/>
      </w:pPr>
      <w:r>
        <w:separator/>
      </w:r>
    </w:p>
  </w:endnote>
  <w:endnote w:type="continuationSeparator" w:id="0">
    <w:p w14:paraId="23C2E892" w14:textId="77777777" w:rsidR="008671EB" w:rsidRDefault="008671EB" w:rsidP="00670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6D25F0" w14:textId="77777777" w:rsidR="00670AD5" w:rsidRDefault="00670A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9EC386" w14:textId="77777777" w:rsidR="00670AD5" w:rsidRDefault="00670A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5A290C" w14:textId="77777777" w:rsidR="00670AD5" w:rsidRDefault="00670A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4B16C4" w14:textId="77777777" w:rsidR="008671EB" w:rsidRDefault="008671EB" w:rsidP="00670AD5">
      <w:pPr>
        <w:spacing w:after="0" w:line="240" w:lineRule="auto"/>
      </w:pPr>
      <w:r>
        <w:separator/>
      </w:r>
    </w:p>
  </w:footnote>
  <w:footnote w:type="continuationSeparator" w:id="0">
    <w:p w14:paraId="5B0BC35E" w14:textId="77777777" w:rsidR="008671EB" w:rsidRDefault="008671EB" w:rsidP="00670A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3593"/>
    <w:rsid w:val="00163593"/>
    <w:rsid w:val="001C4406"/>
    <w:rsid w:val="00670AD5"/>
    <w:rsid w:val="0086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5594B1"/>
  <w15:docId w15:val="{CF54CE96-511A-BA4A-BF89-B0624B18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70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18E395DE-0332-A145-9115-50723629F29B}">
  <ds:schemaRefs>
    <ds:schemaRef ds:uri="http://schemas.apple.com/cocoa/2006/metadata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784</Words>
  <Characters>4470</Characters>
  <Application>Microsoft Office Word</Application>
  <DocSecurity>0</DocSecurity>
  <Lines>37</Lines>
  <Paragraphs>10</Paragraphs>
  <ScaleCrop>false</ScaleCrop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Bui (marbui)</cp:lastModifiedBy>
  <cp:revision>2</cp:revision>
  <dcterms:created xsi:type="dcterms:W3CDTF">2026-07-31T04:38:00Z</dcterms:created>
  <dcterms:modified xsi:type="dcterms:W3CDTF">2026-07-31T04:39:00Z</dcterms:modified>
</cp:coreProperties>
</file>