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宋体"/>
          <w:b w:val="0"/>
          <w:i w:val="0"/>
          <w:sz w:val="34"/>
        </w:rPr>
        <w:t>AChE/AD 相关候选肽后续机制研究——文献证据基础与实施方案</w:t>
      </w:r>
    </w:p>
    <w:p>
      <w:r>
        <w:rPr>
          <w:rFonts w:ascii="Calibri" w:hAnsi="Calibri" w:eastAsia="宋体"/>
          <w:b/>
          <w:i w:val="0"/>
          <w:sz w:val="21"/>
        </w:rPr>
        <w:t>（基于 Auto-Empirical-Research-Skills 文献综述流程；检索与核验截至 2026-08-02）</w:t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/>
          <w:i w:val="0"/>
          <w:sz w:val="21"/>
        </w:rPr>
        <w:t>核验声明</w:t>
      </w:r>
      <w:r>
        <w:rPr>
          <w:rFonts w:ascii="Calibri" w:hAnsi="Calibri" w:eastAsia="宋体"/>
          <w:b w:val="0"/>
          <w:i w:val="0"/>
          <w:sz w:val="21"/>
        </w:rPr>
        <w:t>：本报告中全部 24 篇文献（14 篇核心 + 10 篇补充）均通过 PubMed E-utilities（esearch/esummary/efetch）逐条核验标题、期刊、年份、卷期页码、DOI 与 PMID，链接均为可访问的 PubMed / doi.org 地址。凡既往资料中记忆有误之处（如 Opazo 2002 的 DOI 应为 `10.1074/jbc.M206428200`、Ayton 2015 标题中 outcomes 为复数、Inestrosa 1996 的 PMID 为 8608006 等）均已按 PubMed 记录纠正。</w:t>
      </w:r>
      <w:r>
        <w:rPr>
          <w:rFonts w:ascii="Calibri" w:hAnsi="Calibri" w:eastAsia="宋体"/>
          <w:b/>
          <w:i w:val="0"/>
          <w:sz w:val="21"/>
        </w:rPr>
        <w:t>未经核验的文献一律未列入。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0 任务与范围</w:t>
      </w:r>
    </w:p>
    <w:p>
      <w:r>
        <w:rPr>
          <w:rFonts w:ascii="Calibri" w:hAnsi="Calibri" w:eastAsia="宋体"/>
          <w:b w:val="0"/>
          <w:i w:val="0"/>
          <w:sz w:val="21"/>
        </w:rPr>
        <w:t>本研究服务于"12 条候选肽与 AChE 外周阴离子位点（PAS）致病靶点对接、并准备分子动力学（MD）"之后续机制研究。现有工作仅覆盖对接与 MD 准备（方案 4 的起点），本报告就以下问题给出文献证据基础与可执行方案：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1. </w:t>
      </w:r>
      <w:r>
        <w:rPr>
          <w:rFonts w:ascii="Calibri" w:hAnsi="Calibri" w:eastAsia="宋体"/>
          <w:b/>
          <w:i w:val="0"/>
          <w:sz w:val="21"/>
        </w:rPr>
        <w:t>Cu/Fe 配位、ROS、脂质过氧化与神经毒性的因果验证路线</w:t>
      </w:r>
      <w:r>
        <w:rPr>
          <w:rFonts w:ascii="Calibri" w:hAnsi="Calibri" w:eastAsia="宋体"/>
          <w:b w:val="0"/>
          <w:i w:val="0"/>
          <w:sz w:val="21"/>
        </w:rPr>
        <w:t>（重点）；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2. </w:t>
      </w:r>
      <w:r>
        <w:rPr>
          <w:rFonts w:ascii="Calibri" w:hAnsi="Calibri" w:eastAsia="宋体"/>
          <w:b/>
          <w:i w:val="0"/>
          <w:sz w:val="21"/>
        </w:rPr>
        <w:t>Aβ42、tau、ApoE4、ferritin/transferrin 的合理定位与实验边界</w:t>
      </w:r>
      <w:r>
        <w:rPr>
          <w:rFonts w:ascii="Calibri" w:hAnsi="Calibri" w:eastAsia="宋体"/>
          <w:b w:val="0"/>
          <w:i w:val="0"/>
          <w:sz w:val="21"/>
        </w:rPr>
        <w:t>；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3. </w:t>
      </w:r>
      <w:r>
        <w:rPr>
          <w:rFonts w:ascii="Calibri" w:hAnsi="Calibri" w:eastAsia="宋体"/>
          <w:b/>
          <w:i w:val="0"/>
          <w:sz w:val="21"/>
        </w:rPr>
        <w:t>AlphaFold 3、多构象采样、MD、MM/GBSA、QM/MM/DFT 的正确使用方式</w:t>
      </w:r>
      <w:r>
        <w:rPr>
          <w:rFonts w:ascii="Calibri" w:hAnsi="Calibri" w:eastAsia="宋体"/>
          <w:b w:val="0"/>
          <w:i w:val="0"/>
          <w:sz w:val="21"/>
        </w:rPr>
        <w:t>；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4. </w:t>
      </w:r>
      <w:r>
        <w:rPr>
          <w:rFonts w:ascii="Calibri" w:hAnsi="Calibri" w:eastAsia="宋体"/>
          <w:b/>
          <w:i w:val="0"/>
          <w:sz w:val="21"/>
        </w:rPr>
        <w:t>12 条肽从初筛到 iPSC 神经元验证的分阶段 Go/No-Go 方案</w:t>
      </w:r>
      <w:r>
        <w:rPr>
          <w:rFonts w:ascii="Calibri" w:hAnsi="Calibri" w:eastAsia="宋体"/>
          <w:b w:val="0"/>
          <w:i w:val="0"/>
          <w:sz w:val="21"/>
        </w:rPr>
        <w:t>；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5. </w:t>
      </w:r>
      <w:r>
        <w:rPr>
          <w:rFonts w:ascii="Calibri" w:hAnsi="Calibri" w:eastAsia="宋体"/>
          <w:b/>
          <w:i w:val="0"/>
          <w:sz w:val="21"/>
        </w:rPr>
        <w:t>14 篇核心 SCI 文献</w:t>
      </w:r>
      <w:r>
        <w:rPr>
          <w:rFonts w:ascii="Calibri" w:hAnsi="Calibri" w:eastAsia="宋体"/>
          <w:b w:val="0"/>
          <w:i w:val="0"/>
          <w:sz w:val="21"/>
        </w:rPr>
        <w:t xml:space="preserve">（含 </w:t>
      </w:r>
      <w:r>
        <w:rPr>
          <w:rFonts w:ascii="Calibri" w:hAnsi="Calibri" w:eastAsia="宋体"/>
          <w:b w:val="0"/>
          <w:i/>
          <w:sz w:val="21"/>
        </w:rPr>
        <w:t>Nature</w:t>
      </w:r>
      <w:r>
        <w:rPr>
          <w:rFonts w:ascii="Calibri" w:hAnsi="Calibri" w:eastAsia="宋体"/>
          <w:b w:val="0"/>
          <w:i w:val="0"/>
          <w:sz w:val="21"/>
        </w:rPr>
        <w:t>、</w:t>
      </w:r>
      <w:r>
        <w:rPr>
          <w:rFonts w:ascii="Calibri" w:hAnsi="Calibri" w:eastAsia="宋体"/>
          <w:b w:val="0"/>
          <w:i/>
          <w:sz w:val="21"/>
        </w:rPr>
        <w:t>Nature Communications</w:t>
      </w:r>
      <w:r>
        <w:rPr>
          <w:rFonts w:ascii="Calibri" w:hAnsi="Calibri" w:eastAsia="宋体"/>
          <w:b w:val="0"/>
          <w:i w:val="0"/>
          <w:sz w:val="21"/>
        </w:rPr>
        <w:t>、</w:t>
      </w:r>
      <w:r>
        <w:rPr>
          <w:rFonts w:ascii="Calibri" w:hAnsi="Calibri" w:eastAsia="宋体"/>
          <w:b w:val="0"/>
          <w:i/>
          <w:sz w:val="21"/>
        </w:rPr>
        <w:t>Neuron</w:t>
      </w:r>
      <w:r>
        <w:rPr>
          <w:rFonts w:ascii="Calibri" w:hAnsi="Calibri" w:eastAsia="宋体"/>
          <w:b w:val="0"/>
          <w:i w:val="0"/>
          <w:sz w:val="21"/>
        </w:rPr>
        <w:t>、</w:t>
      </w:r>
      <w:r>
        <w:rPr>
          <w:rFonts w:ascii="Calibri" w:hAnsi="Calibri" w:eastAsia="宋体"/>
          <w:b w:val="0"/>
          <w:i/>
          <w:sz w:val="21"/>
        </w:rPr>
        <w:t>JBC</w:t>
      </w:r>
      <w:r>
        <w:rPr>
          <w:rFonts w:ascii="Calibri" w:hAnsi="Calibri" w:eastAsia="宋体"/>
          <w:b w:val="0"/>
          <w:i w:val="0"/>
          <w:sz w:val="21"/>
        </w:rPr>
        <w:t>、</w:t>
      </w:r>
      <w:r>
        <w:rPr>
          <w:rFonts w:ascii="Calibri" w:hAnsi="Calibri" w:eastAsia="宋体"/>
          <w:b w:val="0"/>
          <w:i/>
          <w:sz w:val="21"/>
        </w:rPr>
        <w:t>Biochemistry</w:t>
      </w:r>
      <w:r>
        <w:rPr>
          <w:rFonts w:ascii="Calibri" w:hAnsi="Calibri" w:eastAsia="宋体"/>
          <w:b w:val="0"/>
          <w:i w:val="0"/>
          <w:sz w:val="21"/>
        </w:rPr>
        <w:t xml:space="preserve"> 等），附 DOI/PMID 与链接；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6. </w:t>
      </w:r>
      <w:r>
        <w:rPr>
          <w:rFonts w:ascii="Calibri" w:hAnsi="Calibri" w:eastAsia="宋体"/>
          <w:b/>
          <w:i w:val="0"/>
          <w:sz w:val="21"/>
        </w:rPr>
        <w:t>两项关键科学纠偏</w:t>
      </w:r>
      <w:r>
        <w:rPr>
          <w:rFonts w:ascii="Calibri" w:hAnsi="Calibri" w:eastAsia="宋体"/>
          <w:b w:val="0"/>
          <w:i w:val="0"/>
          <w:sz w:val="21"/>
        </w:rPr>
        <w:t>：Zn²⁺ 不能与 Cu/Fe 等同视为 Fenton 型 ROS 金属；ferritin/transferrin 应定位为铁稳态功能节点而非未经验证的"直接致病结合靶点"。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1 保留原文：后续机制研究方案（4.1–4.4）</w:t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 w:val="0"/>
          <w:i w:val="0"/>
          <w:sz w:val="21"/>
        </w:rPr>
        <w:t>以下为课题组原有方案，予以保留；本报告在此基础上补充文献证据与实施方案（第 2–7 节）。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4.1 AlphaFold3/多构象肽结构预测</w:t>
      </w:r>
    </w:p>
    <w:p>
      <w:r>
        <w:rPr>
          <w:rFonts w:ascii="Calibri" w:hAnsi="Calibri" w:eastAsia="宋体"/>
          <w:b w:val="0"/>
          <w:i w:val="0"/>
          <w:sz w:val="21"/>
        </w:rPr>
        <w:t>在后续研究中，将对最终候选短肽和长肽进行结构预测。对于短肽，尤其是 7–15 aa 序列，将生成多个可能构象而不依赖单一静态结构。AlphaFold3 可用于候选肽及其与蛋白质、金属离子或其他生物分子复合物的结构建模。由于短肽具有较高构象柔性，预测结果将通过多构象采样、结构置信度和后续分子动力学进行评估。AlphaFold3 的复合物预测框架可作为后续候选结构建模的参考，但不能替代实验结构测定。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4.2 后续AChE及AD相关靶点分析</w:t>
      </w:r>
    </w:p>
    <w:p>
      <w:r>
        <w:rPr>
          <w:rFonts w:ascii="Calibri" w:hAnsi="Calibri" w:eastAsia="宋体"/>
          <w:b w:val="0"/>
          <w:i w:val="0"/>
          <w:sz w:val="21"/>
        </w:rPr>
        <w:t>后续将对候选肽与 AChE、BChE、Aβ42、tau、ApoE4、ferritin 和 transferrin 的相互作用进行结构分析。AChE 重点考察 CAS、PAS 及 AChE–Aβ 相互作用区域。Aβ 和 tau 相关分析用于评估候选肽对 AD 病理蛋白聚集或构象稳定性的潜在影响。ferritin 和 transferrin 相关分析用于探讨候选肽与铁稳态相关蛋白之间的潜在相互作用。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4.3 后续金属离子和量化计算</w:t>
      </w:r>
    </w:p>
    <w:p>
      <w:r>
        <w:rPr>
          <w:rFonts w:ascii="Calibri" w:hAnsi="Calibri" w:eastAsia="宋体"/>
          <w:b w:val="0"/>
          <w:i w:val="0"/>
          <w:sz w:val="21"/>
        </w:rPr>
        <w:t>后续将重点考察 Cu²⁺、Fe²⁺/Fe³⁺ 和 Zn²⁺。分子对接和结构建模用于筛选潜在配位构象；分子动力学用于分析金属–配位残基距离、配位数和配位稳定性；MM/GBSA 或 MM/PBSA 用于进行相对结合自由能比较。对于稳定的金属配位体系，将进一步采用 QM/MM 或 DFT 分析配位几何、配位能、电荷分布及潜在电子转移特征。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4.4 后续实验验证</w:t>
      </w:r>
    </w:p>
    <w:p>
      <w:r>
        <w:rPr>
          <w:rFonts w:ascii="Calibri" w:hAnsi="Calibri" w:eastAsia="宋体"/>
          <w:b w:val="0"/>
          <w:i w:val="0"/>
          <w:sz w:val="21"/>
        </w:rPr>
        <w:t>后续实验将包括金属结合、Cu/Fe 依赖性 ROS、脂质过氧化、AChE/BChE 酶活、Aβ 聚集和神经细胞毒性评价。计算筛选结果仅用于候选优先级排序；只有当候选肽在金属存在条件下引起 ROS 或脂质过氧化增加，并伴随神经细胞损伤时，才能进一步支持其金属相关促氧化神经毒性作用。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2 重点一：Cu/Fe 配位、ROS、脂质过氧化与神经毒性的因果验证路线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2.1 文献确立的机制链条</w:t>
      </w:r>
    </w:p>
    <w:p>
      <w:r>
        <w:rPr>
          <w:rFonts w:ascii="Calibri" w:hAnsi="Calibri" w:eastAsia="宋体"/>
          <w:b w:val="0"/>
          <w:i w:val="0"/>
          <w:sz w:val="21"/>
        </w:rPr>
        <w:t>现有高分文献已将"金属配位 → 金属还原 → ROS 生成 → 脂质过氧化 → 神经损伤"这条链路的每一环节分别做实，这是本课题可借鉴、可验证的因果骨架：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1. </w:t>
      </w:r>
      <w:r>
        <w:rPr>
          <w:rFonts w:ascii="Calibri" w:hAnsi="Calibri" w:eastAsia="宋体"/>
          <w:b/>
          <w:i w:val="0"/>
          <w:sz w:val="21"/>
        </w:rPr>
        <w:t>金属配位与还原</w:t>
      </w:r>
      <w:r>
        <w:rPr>
          <w:rFonts w:ascii="Calibri" w:hAnsi="Calibri" w:eastAsia="宋体"/>
          <w:b w:val="0"/>
          <w:i w:val="0"/>
          <w:sz w:val="21"/>
        </w:rPr>
        <w:t>：Aβ（及其含 His 的片段）N 端 His6/His13/His14 等残基可配位 Cu²⁺（报道的 Kd 多在纳摩尔至亚微摩尔范围），并使 Cu²⁺ 还原为 Cu⁺、Fe³⁺ 还原为 Fe²⁺。Huang 等（</w:t>
      </w:r>
      <w:r>
        <w:rPr>
          <w:rFonts w:ascii="Calibri" w:hAnsi="Calibri" w:eastAsia="宋体"/>
          <w:b w:val="0"/>
          <w:i/>
          <w:sz w:val="21"/>
        </w:rPr>
        <w:t>Biochemistry</w:t>
      </w:r>
      <w:r>
        <w:rPr>
          <w:rFonts w:ascii="Calibri" w:hAnsi="Calibri" w:eastAsia="宋体"/>
          <w:b w:val="0"/>
          <w:i w:val="0"/>
          <w:sz w:val="21"/>
        </w:rPr>
        <w:t xml:space="preserve">, 1999）用细胞外实验直接证明 </w:t>
      </w:r>
      <w:r>
        <w:rPr>
          <w:rFonts w:ascii="Calibri" w:hAnsi="Calibri" w:eastAsia="宋体"/>
          <w:b/>
          <w:i w:val="0"/>
          <w:sz w:val="21"/>
        </w:rPr>
        <w:t>Aβ 通过金属离子还原产生 H₂O₂</w:t>
      </w:r>
      <w:r>
        <w:rPr>
          <w:rFonts w:ascii="Calibri" w:hAnsi="Calibri" w:eastAsia="宋体"/>
          <w:b w:val="0"/>
          <w:i w:val="0"/>
          <w:sz w:val="21"/>
        </w:rPr>
        <w:t xml:space="preserve"> [C7]；其后续 JBC 工作进一步显示 </w:t>
      </w:r>
      <w:r>
        <w:rPr>
          <w:rFonts w:ascii="Calibri" w:hAnsi="Calibri" w:eastAsia="宋体"/>
          <w:b/>
          <w:i w:val="0"/>
          <w:sz w:val="21"/>
        </w:rPr>
        <w:t>Cu(II) 剂量依赖地增强 Aβ 的细胞毒性，且毒性强度与无细胞体系中的 H₂O₂ 产量、金属还原能力定量相关</w:t>
      </w:r>
      <w:r>
        <w:rPr>
          <w:rFonts w:ascii="Calibri" w:hAnsi="Calibri" w:eastAsia="宋体"/>
          <w:b w:val="0"/>
          <w:i w:val="0"/>
          <w:sz w:val="21"/>
        </w:rPr>
        <w:t>（Aβ42 &gt; Aβ40 ≫ 鼠 Aβ40）[S3]。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2. </w:t>
      </w:r>
      <w:r>
        <w:rPr>
          <w:rFonts w:ascii="Calibri" w:hAnsi="Calibri" w:eastAsia="宋体"/>
          <w:b/>
          <w:i w:val="0"/>
          <w:sz w:val="21"/>
        </w:rPr>
        <w:t>催化性 H₂O₂ 生成</w:t>
      </w:r>
      <w:r>
        <w:rPr>
          <w:rFonts w:ascii="Calibri" w:hAnsi="Calibri" w:eastAsia="宋体"/>
          <w:b w:val="0"/>
          <w:i w:val="0"/>
          <w:sz w:val="21"/>
        </w:rPr>
        <w:t>：Opazo 等（</w:t>
      </w:r>
      <w:r>
        <w:rPr>
          <w:rFonts w:ascii="Calibri" w:hAnsi="Calibri" w:eastAsia="宋体"/>
          <w:b w:val="0"/>
          <w:i/>
          <w:sz w:val="21"/>
        </w:rPr>
        <w:t>J Biol Chem</w:t>
      </w:r>
      <w:r>
        <w:rPr>
          <w:rFonts w:ascii="Calibri" w:hAnsi="Calibri" w:eastAsia="宋体"/>
          <w:b w:val="0"/>
          <w:i w:val="0"/>
          <w:sz w:val="21"/>
        </w:rPr>
        <w:t>, 2002）证明 Aβ 具有"类金属酶"活性——在 Cu 存在下可催化多巴胺、胆固醇等生理还原剂持续产生神经毒性 H₂O₂（对 Cu 依赖、可被 Cu 螯合抑制）[C5]。这为"微量金属 + 生理还原底物 → 持续 ROS"提供了机制模板：</w:t>
      </w:r>
      <w:r>
        <w:rPr>
          <w:rFonts w:ascii="Calibri" w:hAnsi="Calibri" w:eastAsia="宋体"/>
          <w:b/>
          <w:i w:val="0"/>
          <w:sz w:val="21"/>
        </w:rPr>
        <w:t>肽–金属复合物只要具备氧化还原循环能力，即可成为稳态 ROS 发生器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3. </w:t>
      </w:r>
      <w:r>
        <w:rPr>
          <w:rFonts w:ascii="Calibri" w:hAnsi="Calibri" w:eastAsia="宋体"/>
          <w:b/>
          <w:i w:val="0"/>
          <w:sz w:val="21"/>
        </w:rPr>
        <w:t>Fenton/Haber–Weiss 化学</w:t>
      </w:r>
      <w:r>
        <w:rPr>
          <w:rFonts w:ascii="Calibri" w:hAnsi="Calibri" w:eastAsia="宋体"/>
          <w:b w:val="0"/>
          <w:i w:val="0"/>
          <w:sz w:val="21"/>
        </w:rPr>
        <w:t>：Cu⁺/Fe²⁺ 与 H₂O₂ 发生 Fenton 型反应生成羟基自由基（•OH）——这是对脂质、蛋白、DNA 氧化修饰最强的物种。Cheignon 等（</w:t>
      </w:r>
      <w:r>
        <w:rPr>
          <w:rFonts w:ascii="Calibri" w:hAnsi="Calibri" w:eastAsia="宋体"/>
          <w:b w:val="0"/>
          <w:i/>
          <w:sz w:val="21"/>
        </w:rPr>
        <w:t>Redox Biol</w:t>
      </w:r>
      <w:r>
        <w:rPr>
          <w:rFonts w:ascii="Calibri" w:hAnsi="Calibri" w:eastAsia="宋体"/>
          <w:b w:val="0"/>
          <w:i w:val="0"/>
          <w:sz w:val="21"/>
        </w:rPr>
        <w:t>, 2018）系统综述了 Aβ–Cu/Fe 的氧化还原循环、H₂O₂ 与 •OH 生成及其与 AD 氧化应激的关系 [S8]；Hureau &amp; Faller（</w:t>
      </w:r>
      <w:r>
        <w:rPr>
          <w:rFonts w:ascii="Calibri" w:hAnsi="Calibri" w:eastAsia="宋体"/>
          <w:b w:val="0"/>
          <w:i/>
          <w:sz w:val="21"/>
        </w:rPr>
        <w:t>Biochimie</w:t>
      </w:r>
      <w:r>
        <w:rPr>
          <w:rFonts w:ascii="Calibri" w:hAnsi="Calibri" w:eastAsia="宋体"/>
          <w:b w:val="0"/>
          <w:i w:val="0"/>
          <w:sz w:val="21"/>
        </w:rPr>
        <w:t>, 2009）从配位结构角度阐明 Cu–Aβ 产 ROS 的机制及其结构决定因素 [S6]。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4. </w:t>
      </w:r>
      <w:r>
        <w:rPr>
          <w:rFonts w:ascii="Calibri" w:hAnsi="Calibri" w:eastAsia="宋体"/>
          <w:b/>
          <w:i w:val="0"/>
          <w:sz w:val="21"/>
        </w:rPr>
        <w:t>脂质过氧化</w:t>
      </w:r>
      <w:r>
        <w:rPr>
          <w:rFonts w:ascii="Calibri" w:hAnsi="Calibri" w:eastAsia="宋体"/>
          <w:b w:val="0"/>
          <w:i w:val="0"/>
          <w:sz w:val="21"/>
        </w:rPr>
        <w:t>：•OH 攻击多不饱和脂肪酸引发链式脂质过氧化，生成 4-羟基壬烯醛（4-HNE）、丙二醛（MDA）等毒性醛类，后者共价修饰蛋白（4-HNE-蛋白加合物）。Butterfield &amp; Lauderback（</w:t>
      </w:r>
      <w:r>
        <w:rPr>
          <w:rFonts w:ascii="Calibri" w:hAnsi="Calibri" w:eastAsia="宋体"/>
          <w:b w:val="0"/>
          <w:i/>
          <w:sz w:val="21"/>
        </w:rPr>
        <w:t>Free Radic Biol Med</w:t>
      </w:r>
      <w:r>
        <w:rPr>
          <w:rFonts w:ascii="Calibri" w:hAnsi="Calibri" w:eastAsia="宋体"/>
          <w:b w:val="0"/>
          <w:i w:val="0"/>
          <w:sz w:val="21"/>
        </w:rPr>
        <w:t>, 2002）总结了 AD 脑中脂质过氧化与蛋白氧化的病理证据，并将其与 Aβ 相关的自由基氧化应激联系起来 [S4]。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5. </w:t>
      </w:r>
      <w:r>
        <w:rPr>
          <w:rFonts w:ascii="Calibri" w:hAnsi="Calibri" w:eastAsia="宋体"/>
          <w:b/>
          <w:i w:val="0"/>
          <w:sz w:val="21"/>
        </w:rPr>
        <w:t>神经毒性读出</w:t>
      </w:r>
      <w:r>
        <w:rPr>
          <w:rFonts w:ascii="Calibri" w:hAnsi="Calibri" w:eastAsia="宋体"/>
          <w:b w:val="0"/>
          <w:i w:val="0"/>
          <w:sz w:val="21"/>
        </w:rPr>
        <w:t>：Walsh 等（</w:t>
      </w:r>
      <w:r>
        <w:rPr>
          <w:rFonts w:ascii="Calibri" w:hAnsi="Calibri" w:eastAsia="宋体"/>
          <w:b w:val="0"/>
          <w:i/>
          <w:sz w:val="21"/>
        </w:rPr>
        <w:t>Nature</w:t>
      </w:r>
      <w:r>
        <w:rPr>
          <w:rFonts w:ascii="Calibri" w:hAnsi="Calibri" w:eastAsia="宋体"/>
          <w:b w:val="0"/>
          <w:i w:val="0"/>
          <w:sz w:val="21"/>
        </w:rPr>
        <w:t xml:space="preserve">, 2002）证明天然分泌的 </w:t>
      </w:r>
      <w:r>
        <w:rPr>
          <w:rFonts w:ascii="Calibri" w:hAnsi="Calibri" w:eastAsia="宋体"/>
          <w:b/>
          <w:i w:val="0"/>
          <w:sz w:val="21"/>
        </w:rPr>
        <w:t>Aβ 寡聚体在体内（大鼠海马）抑制长时程增强（LTP）</w:t>
      </w:r>
      <w:r>
        <w:rPr>
          <w:rFonts w:ascii="Calibri" w:hAnsi="Calibri" w:eastAsia="宋体"/>
          <w:b w:val="0"/>
          <w:i w:val="0"/>
          <w:sz w:val="21"/>
        </w:rPr>
        <w:t>，确立"可溶性寡聚体—突触毒性"这一功能性读出 [C2]；Huang 等（JBC, 1999）则直接给出"Cu 依赖 H₂O₂ 与细胞毒性相关"的因果证据 [S3]。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2.2 建议的因果验证路线（按证据等级递进）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层级</w:t>
            </w:r>
          </w:p>
        </w:tc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关键实验</w:t>
            </w:r>
          </w:p>
        </w:tc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核心文献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L1 化学证据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肽–金属配位与还原活性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ITC/UV–vis 滴定（Kd、化学计量）；EPR 定 Cu²⁺ 配位环境；bathocuproine/ferrozine 法测 Cu⁺/Fe²⁺ 生成速率；Amplex Red/过氧化物酶偶联法测 H₂O₂ 产量；氧化还原电位（循环伏安）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[C5][C7][S8]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L2 分子证据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自由基种类与脂质损伤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EPR 自旋捕集（•OH/O₂•⁻）；荧光/比色脂质过氧化（BODIPY 581/591 C11、TBARS/MDA）；4-HNE 蛋白加合物 Western blot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[S4][S8]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L3 细胞证据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神经元表型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SH-SY5Y/PC12/iPSC 神经元：MTT/CCK-8、LDH、膜完整性；DCFH-DA/MitoSOX（胞内 ROS/线粒体 ROS）；BODIPY C11 氧化比率流式/成像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[S3][S8]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L4 因果操纵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反向验证（最关键）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① 金属螯合剂（Cu：bathocuproine、TTM；Fe：去铁胺/去铁酮）；② 过氧化氢酶清除 H₂O₂；③ 抗氧化剂（NAC、维生素 E）；④ Chelex 处理缓冲液 + 无金属对照肽；⑤ 细胞铁/铜稳态基因操纵（FTH1、ATP7A 等，可选）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[C5][S3][S7]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L5 整合判据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因果性判定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金属剂量依赖、时间顺序（ROS 先于脂质过氧化先于死亡）、干预可逆转表型、无金属条件下无显著效应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[C5][S8]</w:t>
            </w:r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因果判定的操作性标准（建议写入方案）</w:t>
      </w:r>
      <w:r>
        <w:rPr>
          <w:rFonts w:ascii="Calibri" w:hAnsi="Calibri" w:eastAsia="宋体"/>
          <w:b w:val="0"/>
          <w:i w:val="0"/>
          <w:sz w:val="21"/>
        </w:rPr>
        <w:t>：只有当 ① 效应依赖 Cu/Fe（剂量-反应）；② ROS/脂质过氧化信号在时间上先于细胞损伤；③ 螯合剂、过氧化氢酶或抗氧化剂能够逆转或消除表型时，才支持"金属相关促氧化神经毒性"这一因果解释。这与原方案 4.4 的表述一致，并给出可执行的对照矩阵。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3 重点二：Aβ42、tau、ApoE4、ferritin/transferrin 的合理定位与实验边界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3.1 各靶点定位与证据等级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靶点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科学定位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证据等级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建议实验边界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核心文献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Aβ42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AD 核心病理蛋白；可溶性寡聚体为突触毒性主因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强（体内功能性证据：LTP 抑制）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体外：ThT/浊度/EM/AUC 聚集实验 ± 金属；细胞：寡聚体水平（WB/寡聚体抗体）与 Aβ42/Aβ40 比值；结论限定"体外聚集/构象调节"，不做体内因果断言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[C2][C7]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tau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NFT 主要组分；致病机制为"播种–招募"扩增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中-强（细胞播种证据充分）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探索性：ThT/超速离心 + 细胞播种报告系统（FRET/BiFC biosensor）；仅在显示直接结合/聚集调节后再深化；无必要做 tau 激酶活性测定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[C6]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ApoE4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最强遗传风险因子；多效性（脂代谢、Aβ 清除、神经修复、铁稳态调控）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遗传学强、机制复杂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功能读出优先：ApoE2/E3/E4 异构体对照下的脂化/结合实验、Aβ 清除实验；仅异构体特异效应才具解释力；对接仅作假设生成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[C12][S5][C3]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ferritin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脑铁储存蛋白；CSF ferritin 是 AD 进展与 APOE 关联的可测通路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强（前瞻队列）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功能节点而非结合靶点：细胞铁含量（ICP-MS/ferrozine）、H/L 亚基比例、labile iron pool（calcein 探针）、TfR1/ferroportin 表达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[C3][C8][C9]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transferrin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脑铁转运载体（Tf–TfR1 介导摄取）；脑内铁稳态枢纽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强（综述共识）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同上，功能读出（Tf 饱和度、TfR1 介导摄取）；结构对接仅作假设生成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[C9][C8]</w:t>
            </w:r>
          </w:p>
        </w:tc>
      </w:tr>
    </w:tbl>
    <w:p>
      <w:pPr>
        <w:spacing w:after="40"/>
      </w:pPr>
      <w:r>
        <w:rPr>
          <w:sz w:val="4"/>
        </w:rPr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3.2 关键文献要点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Aβ42</w:t>
      </w:r>
      <w:r>
        <w:rPr>
          <w:rFonts w:ascii="Calibri" w:hAnsi="Calibri" w:eastAsia="宋体"/>
          <w:b w:val="0"/>
          <w:i w:val="0"/>
          <w:sz w:val="21"/>
        </w:rPr>
        <w:t>：Walsh 2002（</w:t>
      </w:r>
      <w:r>
        <w:rPr>
          <w:rFonts w:ascii="Calibri" w:hAnsi="Calibri" w:eastAsia="宋体"/>
          <w:b w:val="0"/>
          <w:i/>
          <w:sz w:val="21"/>
        </w:rPr>
        <w:t>Nature</w:t>
      </w:r>
      <w:r>
        <w:rPr>
          <w:rFonts w:ascii="Calibri" w:hAnsi="Calibri" w:eastAsia="宋体"/>
          <w:b w:val="0"/>
          <w:i w:val="0"/>
          <w:sz w:val="21"/>
        </w:rPr>
        <w:t>）——自然分泌寡聚体在无单体与纤维的条件下即可抑制大鼠海马 LTP，且 γ-分泌酶抑制剂阻断寡聚体形成后可逆转该效应 [C2]。这提示：</w:t>
      </w:r>
      <w:r>
        <w:rPr>
          <w:rFonts w:ascii="Calibri" w:hAnsi="Calibri" w:eastAsia="宋体"/>
          <w:b/>
          <w:i w:val="0"/>
          <w:sz w:val="21"/>
        </w:rPr>
        <w:t>任何候选肽的"抗/促 Aβ 聚集"效应若要转化为功能性结论，必须落到寡聚体水平的功能读出（突触可塑性或细胞表型）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tau</w:t>
      </w:r>
      <w:r>
        <w:rPr>
          <w:rFonts w:ascii="Calibri" w:hAnsi="Calibri" w:eastAsia="宋体"/>
          <w:b w:val="0"/>
          <w:i w:val="0"/>
          <w:sz w:val="21"/>
        </w:rPr>
        <w:t>：Guo &amp; Lee 2011（</w:t>
      </w:r>
      <w:r>
        <w:rPr>
          <w:rFonts w:ascii="Calibri" w:hAnsi="Calibri" w:eastAsia="宋体"/>
          <w:b w:val="0"/>
          <w:i/>
          <w:sz w:val="21"/>
        </w:rPr>
        <w:t>J Biol Chem</w:t>
      </w:r>
      <w:r>
        <w:rPr>
          <w:rFonts w:ascii="Calibri" w:hAnsi="Calibri" w:eastAsia="宋体"/>
          <w:b w:val="0"/>
          <w:i w:val="0"/>
          <w:sz w:val="21"/>
        </w:rPr>
        <w:t>）——微量预成形 tau 纤维（pffs）即可通过胞吞进入细胞、招募可溶性 tau 形成 NFT 样包涵体，确立"播种-招募"模型 [C6]。候选肽若涉及 tau，最合理的定位是"对 tau 播种/聚集的体外调节"，且需先排除非特异效应。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ApoE4</w:t>
      </w:r>
      <w:r>
        <w:rPr>
          <w:rFonts w:ascii="Calibri" w:hAnsi="Calibri" w:eastAsia="宋体"/>
          <w:b w:val="0"/>
          <w:i w:val="0"/>
          <w:sz w:val="21"/>
        </w:rPr>
        <w:t>：Strittmatter 1993（</w:t>
      </w:r>
      <w:r>
        <w:rPr>
          <w:rFonts w:ascii="Calibri" w:hAnsi="Calibri" w:eastAsia="宋体"/>
          <w:b w:val="0"/>
          <w:i/>
          <w:sz w:val="21"/>
        </w:rPr>
        <w:t>PNAS</w:t>
      </w:r>
      <w:r>
        <w:rPr>
          <w:rFonts w:ascii="Calibri" w:hAnsi="Calibri" w:eastAsia="宋体"/>
          <w:b w:val="0"/>
          <w:i w:val="0"/>
          <w:sz w:val="21"/>
        </w:rPr>
        <w:t>）确立 ApoE4 等位基因在晚发家族性 AD 中频率升高并与 Aβ 高亲和结合 [S5]；Huang &amp; Mahley 2014（</w:t>
      </w:r>
      <w:r>
        <w:rPr>
          <w:rFonts w:ascii="Calibri" w:hAnsi="Calibri" w:eastAsia="宋体"/>
          <w:b w:val="0"/>
          <w:i/>
          <w:sz w:val="21"/>
        </w:rPr>
        <w:t>Neurobiol Dis</w:t>
      </w:r>
      <w:r>
        <w:rPr>
          <w:rFonts w:ascii="Calibri" w:hAnsi="Calibri" w:eastAsia="宋体"/>
          <w:b w:val="0"/>
          <w:i w:val="0"/>
          <w:sz w:val="21"/>
        </w:rPr>
        <w:t>）系统阐明 ApoE 异构体的结构差异（domain interaction）、在脂代谢、Aβ 清除、tau 磷酸化与神经修复中的多效性 [C12]；Ayton 2015（</w:t>
      </w:r>
      <w:r>
        <w:rPr>
          <w:rFonts w:ascii="Calibri" w:hAnsi="Calibri" w:eastAsia="宋体"/>
          <w:b w:val="0"/>
          <w:i/>
          <w:sz w:val="21"/>
        </w:rPr>
        <w:t>Nat Commun</w:t>
      </w:r>
      <w:r>
        <w:rPr>
          <w:rFonts w:ascii="Calibri" w:hAnsi="Calibri" w:eastAsia="宋体"/>
          <w:b w:val="0"/>
          <w:i w:val="0"/>
          <w:sz w:val="21"/>
        </w:rPr>
        <w:t xml:space="preserve">）进一步显示 </w:t>
      </w:r>
      <w:r>
        <w:rPr>
          <w:rFonts w:ascii="Calibri" w:hAnsi="Calibri" w:eastAsia="宋体"/>
          <w:b/>
          <w:i w:val="0"/>
          <w:sz w:val="21"/>
        </w:rPr>
        <w:t>APOE 基因型调控 CSF ferritin 水平，CSF ferritin 预测 MCI→AD 转化与认知下降</w:t>
      </w:r>
      <w:r>
        <w:rPr>
          <w:rFonts w:ascii="Calibri" w:hAnsi="Calibri" w:eastAsia="宋体"/>
          <w:b w:val="0"/>
          <w:i w:val="0"/>
          <w:sz w:val="21"/>
        </w:rPr>
        <w:t xml:space="preserve"> [C3]——这是"APOE–铁稳态–AD 结局"的桥梁证据，也直接支持 3.3 中对 ferritin 的功能节点定位。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ferritin/transferrin 与脑铁代谢</w:t>
      </w:r>
      <w:r>
        <w:rPr>
          <w:rFonts w:ascii="Calibri" w:hAnsi="Calibri" w:eastAsia="宋体"/>
          <w:b w:val="0"/>
          <w:i w:val="0"/>
          <w:sz w:val="21"/>
        </w:rPr>
        <w:t>：Zecca 2004（</w:t>
      </w:r>
      <w:r>
        <w:rPr>
          <w:rFonts w:ascii="Calibri" w:hAnsi="Calibri" w:eastAsia="宋体"/>
          <w:b w:val="0"/>
          <w:i/>
          <w:sz w:val="21"/>
        </w:rPr>
        <w:t>Nat Rev Neurosci</w:t>
      </w:r>
      <w:r>
        <w:rPr>
          <w:rFonts w:ascii="Calibri" w:hAnsi="Calibri" w:eastAsia="宋体"/>
          <w:b w:val="0"/>
          <w:i w:val="0"/>
          <w:sz w:val="21"/>
        </w:rPr>
        <w:t>）与 Ward 2014（</w:t>
      </w:r>
      <w:r>
        <w:rPr>
          <w:rFonts w:ascii="Calibri" w:hAnsi="Calibri" w:eastAsia="宋体"/>
          <w:b w:val="0"/>
          <w:i/>
          <w:sz w:val="21"/>
        </w:rPr>
        <w:t>Lancet Neurol</w:t>
      </w:r>
      <w:r>
        <w:rPr>
          <w:rFonts w:ascii="Calibri" w:hAnsi="Calibri" w:eastAsia="宋体"/>
          <w:b w:val="0"/>
          <w:i w:val="0"/>
          <w:sz w:val="21"/>
        </w:rPr>
        <w:t>）给出脑铁代谢完整网络：Tf–TfR1 摄取、ferritin 储存、ferroportin/铜蓝蛋白释放、非转铁蛋白结合铁（NTBI）等，并综述铁累积与氧化应激、神经退行性疾病的关系 [C8][C9]。</w:t>
      </w:r>
      <w:r>
        <w:rPr>
          <w:rFonts w:ascii="Calibri" w:hAnsi="Calibri" w:eastAsia="宋体"/>
          <w:b/>
          <w:i w:val="0"/>
          <w:sz w:val="21"/>
        </w:rPr>
        <w:t>ferritin/transferrin 是"铁稳态的功能节点"，文献中并不支持将其当作与 Aβ/AChE 并列的"直接致病结合靶点"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3.3 对原方案 4.2 的修订建议（重要）</w:t>
      </w:r>
    </w:p>
    <w:p>
      <w:r>
        <w:rPr>
          <w:rFonts w:ascii="Calibri" w:hAnsi="Calibri" w:eastAsia="宋体"/>
          <w:b w:val="0"/>
          <w:i w:val="0"/>
          <w:sz w:val="21"/>
        </w:rPr>
        <w:t>原方案将 ferritin/transferrin 与 Aβ42、tau、ApoE4 并列作"结构分析靶点"。建议按文献证据改为</w:t>
      </w:r>
      <w:r>
        <w:rPr>
          <w:rFonts w:ascii="Calibri" w:hAnsi="Calibri" w:eastAsia="宋体"/>
          <w:b/>
          <w:i w:val="0"/>
          <w:sz w:val="21"/>
        </w:rPr>
        <w:t>两级设计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1. </w:t>
      </w:r>
      <w:r>
        <w:rPr>
          <w:rFonts w:ascii="Calibri" w:hAnsi="Calibri" w:eastAsia="宋体"/>
          <w:b/>
          <w:i w:val="0"/>
          <w:sz w:val="21"/>
        </w:rPr>
        <w:t>主靶点（有强文献支撑）</w:t>
      </w:r>
      <w:r>
        <w:rPr>
          <w:rFonts w:ascii="Calibri" w:hAnsi="Calibri" w:eastAsia="宋体"/>
          <w:b w:val="0"/>
          <w:i w:val="0"/>
          <w:sz w:val="21"/>
        </w:rPr>
        <w:t>：AChE/BChE（酶活 + PAS 位点）、Aβ42（聚集/寡聚体）。这两者与 AD 病理的关联最直接、读出最成熟。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2. </w:t>
      </w:r>
      <w:r>
        <w:rPr>
          <w:rFonts w:ascii="Calibri" w:hAnsi="Calibri" w:eastAsia="宋体"/>
          <w:b/>
          <w:i w:val="0"/>
          <w:sz w:val="21"/>
        </w:rPr>
        <w:t>功能节点（替代"直接结合靶点"表述）</w:t>
      </w:r>
      <w:r>
        <w:rPr>
          <w:rFonts w:ascii="Calibri" w:hAnsi="Calibri" w:eastAsia="宋体"/>
          <w:b w:val="0"/>
          <w:i w:val="0"/>
          <w:sz w:val="21"/>
        </w:rPr>
        <w:t>：ferritin/transferrin——不宣称为"未经验证的直接致病结合靶点"，而是评估候选肽对铁稳态读出（细胞铁含量、labile iron pool、ferritin 亚基、TfR1 表达）的影响；若体外出现与铁蛋白/转铁蛋白的分子对接命中，仅作为假设生成输入，必须由上述功能实验裁决。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3. </w:t>
      </w:r>
      <w:r>
        <w:rPr>
          <w:rFonts w:ascii="Calibri" w:hAnsi="Calibri" w:eastAsia="宋体"/>
          <w:b/>
          <w:i w:val="0"/>
          <w:sz w:val="21"/>
        </w:rPr>
        <w:t>探索性靶点（明确边界）</w:t>
      </w:r>
      <w:r>
        <w:rPr>
          <w:rFonts w:ascii="Calibri" w:hAnsi="Calibri" w:eastAsia="宋体"/>
          <w:b w:val="0"/>
          <w:i w:val="0"/>
          <w:sz w:val="21"/>
        </w:rPr>
        <w:t>：tau、ApoE4——先做直接结合/聚集证据，再考虑深化；不做无证据支撑的强关联断言。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4 重点三：AlphaFold 3、多构象采样、MD、MM/GBSA、QM/MM/DFT 的正确使用方式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4.1 AlphaFold 3（AF3）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能力</w:t>
      </w:r>
      <w:r>
        <w:rPr>
          <w:rFonts w:ascii="Calibri" w:hAnsi="Calibri" w:eastAsia="宋体"/>
          <w:b w:val="0"/>
          <w:i w:val="0"/>
          <w:sz w:val="21"/>
        </w:rPr>
        <w:t>：AF3 采用扩散式架构，可联合预测蛋白质–核酸–小分子–离子–修饰残基复合物结构；其蛋白–配体相互作用精度显著优于此前专用对接工具，抗体-抗原精度也超过 AlphaFold-Multimer v2.3（Abramson 等，</w:t>
      </w:r>
      <w:r>
        <w:rPr>
          <w:rFonts w:ascii="Calibri" w:hAnsi="Calibri" w:eastAsia="宋体"/>
          <w:b w:val="0"/>
          <w:i/>
          <w:sz w:val="21"/>
        </w:rPr>
        <w:t>Nature</w:t>
      </w:r>
      <w:r>
        <w:rPr>
          <w:rFonts w:ascii="Calibri" w:hAnsi="Calibri" w:eastAsia="宋体"/>
          <w:b w:val="0"/>
          <w:i w:val="0"/>
          <w:sz w:val="21"/>
        </w:rPr>
        <w:t>, 2024）[C1]。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正确用法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1. 输入：肽序列 + 靶蛋白序列（AChE/BChE 等）；金属离子与配体以 SMILES/离子形式加入——但 </w:t>
      </w:r>
      <w:r>
        <w:rPr>
          <w:rFonts w:ascii="Calibri" w:hAnsi="Calibri" w:eastAsia="宋体"/>
          <w:b/>
          <w:i w:val="0"/>
          <w:sz w:val="21"/>
        </w:rPr>
        <w:t>AF3 对金属离子的处理能力有限，金属配位几何常不可靠，输出需逐条人工检查</w:t>
      </w:r>
      <w:r>
        <w:rPr>
          <w:rFonts w:ascii="Calibri" w:hAnsi="Calibri" w:eastAsia="宋体"/>
          <w:b w:val="0"/>
          <w:i w:val="0"/>
          <w:sz w:val="21"/>
        </w:rPr>
        <w:t>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2. 输出解读：以 ipTM/pTM、界面 pLDDT、PAE 为依据；低置信区域不得作为结论；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3. </w:t>
      </w:r>
      <w:r>
        <w:rPr>
          <w:rFonts w:ascii="Calibri" w:hAnsi="Calibri" w:eastAsia="宋体"/>
          <w:b/>
          <w:i w:val="0"/>
          <w:sz w:val="21"/>
        </w:rPr>
        <w:t>多构象采样</w:t>
      </w:r>
      <w:r>
        <w:rPr>
          <w:rFonts w:ascii="Calibri" w:hAnsi="Calibri" w:eastAsia="宋体"/>
          <w:b w:val="0"/>
          <w:i w:val="0"/>
          <w:sz w:val="21"/>
        </w:rPr>
        <w:t>：多次 seed + 温度/随机采样生成构象集合（ensemble），按 RMSD/PAE 聚类，而非报告单一结构——短肽（7–15 aa）构象柔性大，单结构必然失真；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4. 边界：AF3 给出的是"折叠/复合物结构假设"，不提供结合亲和力、动力学与电子结构信息；对 intrinsically disordered 短肽（如 Aβ 片段）置信度低；</w:t>
      </w:r>
      <w:r>
        <w:rPr>
          <w:rFonts w:ascii="Calibri" w:hAnsi="Calibri" w:eastAsia="宋体"/>
          <w:b/>
          <w:i w:val="0"/>
          <w:sz w:val="21"/>
        </w:rPr>
        <w:t>可作为建模参考，不能替代实验结构测定</w:t>
      </w:r>
      <w:r>
        <w:rPr>
          <w:rFonts w:ascii="Calibri" w:hAnsi="Calibri" w:eastAsia="宋体"/>
          <w:b w:val="0"/>
          <w:i w:val="0"/>
          <w:sz w:val="21"/>
        </w:rPr>
        <w:t>（与原方案 4.1 一致）。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建议工作流：AF3 多构象采样 → 聚类选择代表性复合物 → 作为 MD 起点；AF3 评分仅用于候选排序。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4.2 分子动力学（MD）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依据：Hollingsworth &amp; Dror（</w:t>
      </w:r>
      <w:r>
        <w:rPr>
          <w:rFonts w:ascii="Calibri" w:hAnsi="Calibri" w:eastAsia="宋体"/>
          <w:b w:val="0"/>
          <w:i/>
          <w:sz w:val="21"/>
        </w:rPr>
        <w:t>Neuron</w:t>
      </w:r>
      <w:r>
        <w:rPr>
          <w:rFonts w:ascii="Calibri" w:hAnsi="Calibri" w:eastAsia="宋体"/>
          <w:b w:val="0"/>
          <w:i w:val="0"/>
          <w:sz w:val="21"/>
        </w:rPr>
        <w:t>, 2018）是 MD 在神经科学/药物发现中正确使用的权威综述：MD 提供原子级时间分辨的构象行为，适合回答"结合是否稳定、哪个残基接触、构象如何演化"等问题 [S9]。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正确做法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1. 显式溶剂（TIP3P/OPC 水 + 生理离子强度），能量最小化 → 平衡（NVT→NPT）→ 生产运行；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2. </w:t>
      </w:r>
      <w:r>
        <w:rPr>
          <w:rFonts w:ascii="Calibri" w:hAnsi="Calibri" w:eastAsia="宋体"/>
          <w:b/>
          <w:i w:val="0"/>
          <w:sz w:val="21"/>
        </w:rPr>
        <w:t>重复 ≥3 次独立运行</w:t>
      </w:r>
      <w:r>
        <w:rPr>
          <w:rFonts w:ascii="Calibri" w:hAnsi="Calibri" w:eastAsia="宋体"/>
          <w:b w:val="0"/>
          <w:i w:val="0"/>
          <w:sz w:val="21"/>
        </w:rPr>
        <w:t>，用 RMSD/RMSF、接触残基驻留时间、氢键/盐桥占有率、自由能面（PCA/umbrella 可选）判断收敛；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3. 力场：蛋白 ff14SB/ff19SB；</w:t>
      </w:r>
      <w:r>
        <w:rPr>
          <w:rFonts w:ascii="Calibri" w:hAnsi="Calibri" w:eastAsia="宋体"/>
          <w:b/>
          <w:i w:val="0"/>
          <w:sz w:val="21"/>
        </w:rPr>
        <w:t>过渡金属（Cu²⁺、Fe²⁺/Fe³⁺、Zn²⁺）需要专用非键参数（如 12-6-4 LJ 参数或 QM 拟合参数），默认参数对金属配位会失效</w:t>
      </w:r>
      <w:r>
        <w:rPr>
          <w:rFonts w:ascii="Calibri" w:hAnsi="Calibri" w:eastAsia="宋体"/>
          <w:b w:val="0"/>
          <w:i w:val="0"/>
          <w:sz w:val="21"/>
        </w:rPr>
        <w:t>——这是本课题最容易踩坑处；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4. 分析：金属–配位残基（His/His/His、Cys/Met 等）距离时间序列、配位数与第一/第二配位层驻留、金属逸出事件。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边界</w:t>
      </w:r>
      <w:r>
        <w:rPr>
          <w:rFonts w:ascii="Calibri" w:hAnsi="Calibri" w:eastAsia="宋体"/>
          <w:b w:val="0"/>
          <w:i w:val="0"/>
          <w:sz w:val="21"/>
        </w:rPr>
        <w:t>：经典 MD 无法描述键的断裂/形成、氧化还原反应、电子转移——这些必须交给 QM/MM 或 DFT。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4.3 MM/GBSA 与 MM/PBSA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依据：Genheden &amp; Ryde（</w:t>
      </w:r>
      <w:r>
        <w:rPr>
          <w:rFonts w:ascii="Calibri" w:hAnsi="Calibri" w:eastAsia="宋体"/>
          <w:b w:val="0"/>
          <w:i/>
          <w:sz w:val="21"/>
        </w:rPr>
        <w:t>Expert Opin Drug Discov</w:t>
      </w:r>
      <w:r>
        <w:rPr>
          <w:rFonts w:ascii="Calibri" w:hAnsi="Calibri" w:eastAsia="宋体"/>
          <w:b w:val="0"/>
          <w:i w:val="0"/>
          <w:sz w:val="21"/>
        </w:rPr>
        <w:t>, 2015）对 MM/PBSA–GBSA 的系统评价：方法介于经验打分与严格自由能微扰之间，适用于</w:t>
      </w:r>
      <w:r>
        <w:rPr>
          <w:rFonts w:ascii="Calibri" w:hAnsi="Calibri" w:eastAsia="宋体"/>
          <w:b/>
          <w:i w:val="0"/>
          <w:sz w:val="21"/>
        </w:rPr>
        <w:t>同一受体-同系列配体的相对排序</w:t>
      </w:r>
      <w:r>
        <w:rPr>
          <w:rFonts w:ascii="Calibri" w:hAnsi="Calibri" w:eastAsia="宋体"/>
          <w:b w:val="0"/>
          <w:i w:val="0"/>
          <w:sz w:val="21"/>
        </w:rPr>
        <w:t>；但存在明显近似——缺构象熵、忽略结合位点水分子数目与自由能，且方法变体多、性能随体系差异大 [C14]。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正确用法与边界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1. 必须基于平衡后的 MD 轨迹做系综平均，而非单帧结构；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2. </w:t>
      </w:r>
      <w:r>
        <w:rPr>
          <w:rFonts w:ascii="Calibri" w:hAnsi="Calibri" w:eastAsia="宋体"/>
          <w:b/>
          <w:i w:val="0"/>
          <w:sz w:val="21"/>
        </w:rPr>
        <w:t>仅用于相对排序</w:t>
      </w:r>
      <w:r>
        <w:rPr>
          <w:rFonts w:ascii="Calibri" w:hAnsi="Calibri" w:eastAsia="宋体"/>
          <w:b w:val="0"/>
          <w:i w:val="0"/>
          <w:sz w:val="21"/>
        </w:rPr>
        <w:t>（如 12 条肽两两比较），不得报为绝对结合自由能；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3. </w:t>
      </w:r>
      <w:r>
        <w:rPr>
          <w:rFonts w:ascii="Calibri" w:hAnsi="Calibri" w:eastAsia="宋体"/>
          <w:b/>
          <w:i w:val="0"/>
          <w:sz w:val="21"/>
        </w:rPr>
        <w:t>含金属配位键的体系慎用</w:t>
      </w:r>
      <w:r>
        <w:rPr>
          <w:rFonts w:ascii="Calibri" w:hAnsi="Calibri" w:eastAsia="宋体"/>
          <w:b w:val="0"/>
          <w:i w:val="0"/>
          <w:sz w:val="21"/>
        </w:rPr>
        <w:t>：MM 无法描述配位键形成/断裂，建议对金属位点改用 QM/MM 或加 QM 校正（SQM/分块），或至少与实验（ITC 测 Kd）做平行校准；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4. 结论需以实验亲和力或活性数据校正后才有意义。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4.4 QM/MM 与 DFT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依据：Senn &amp; Thiel（</w:t>
      </w:r>
      <w:r>
        <w:rPr>
          <w:rFonts w:ascii="Calibri" w:hAnsi="Calibri" w:eastAsia="宋体"/>
          <w:b w:val="0"/>
          <w:i/>
          <w:sz w:val="21"/>
        </w:rPr>
        <w:t>Angew Chem Int Ed</w:t>
      </w:r>
      <w:r>
        <w:rPr>
          <w:rFonts w:ascii="Calibri" w:hAnsi="Calibri" w:eastAsia="宋体"/>
          <w:b w:val="0"/>
          <w:i w:val="0"/>
          <w:sz w:val="21"/>
        </w:rPr>
        <w:t>, 2009）为 QM/MM 方法的权威综述：对活性区域（金属 + 配体 + 第一配位层残基）用 QM 描述，其余用 MM，从而在合理成本下处理反应与电子过程 [C13]。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正确用法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1. QM 区应包含金属离子 + 直接配位残基/配体 + 关键第二层（如参与质子转移的残基）；分层或 ONIOM 方案；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2. 泛函/基组选择需针对过渡金属与色散作用校准（如 ωB97X-D、M06-2X 或加 D3 色散校正）；明确自旋态（Cu²⁺ d⁹；Fe²⁺/Fe³⁺ 高/低自旋）；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3. 输出：配位几何优化、配位能、电荷/自旋布居、氧化还原电位、电子转移倾向（与 Marcus 理论结合可选）；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4. </w:t>
      </w:r>
      <w:r>
        <w:rPr>
          <w:rFonts w:ascii="Calibri" w:hAnsi="Calibri" w:eastAsia="宋体"/>
          <w:b/>
          <w:i w:val="0"/>
          <w:sz w:val="21"/>
        </w:rPr>
        <w:t>必须与实验光谱（EPR、UV–vis、XAS、循环伏安）对照校准</w:t>
      </w:r>
      <w:r>
        <w:rPr>
          <w:rFonts w:ascii="Calibri" w:hAnsi="Calibri" w:eastAsia="宋体"/>
          <w:b w:val="0"/>
          <w:i w:val="0"/>
          <w:sz w:val="21"/>
        </w:rPr>
        <w:t>——DFT 对过渡金属自旋态与色散的误差不可忽略。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适用顺序（建议）：对接/AF3 筛构象 → MD 验证稳定性与配位驻留 → MM/GBSA 相对排序 → 对排名靠前的稳定金属配位体系做 QM/MM/DFT（配位几何、氧化态、电子转移）→ 实验光谱校准。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4.5 计算–实验证据等级小结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计算方法</w:t>
            </w:r>
          </w:p>
        </w:tc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可回答的问题</w:t>
            </w:r>
          </w:p>
        </w:tc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不可回答的问题</w:t>
            </w:r>
          </w:p>
        </w:tc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正确角色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AlphaFold 3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复合物结构假设、界面残基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亲和力、动力学、金属配位准确性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构象生成与排序起点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MD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结合稳定性、柔性、配位驻留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反应、电子转移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动态验证与筛选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MM/GBSA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同系列相对排序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绝对亲和力、配位键体系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排序（需实验校准）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QM/MM/DFT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配位几何、氧化态、电子转移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大尺度构象采样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终局电子结构分析（需光谱校准）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实验（ITC/EPR/光谱）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真值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——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裁决一切计算结论</w:t>
            </w:r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5 重点四：12 条肽从初筛到 iPSC 神经元验证的分阶段 Go/No-Go 方案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5.1 总体漏斗（建议 12 → 8 → 4 → 2 → 1–2 条先导肽）</w:t>
      </w:r>
    </w:p>
    <w:p>
      <w:r>
        <w:rPr>
          <w:rFonts w:ascii="Calibri" w:hAnsi="Calibri" w:eastAsia="宋体"/>
          <w:b w:val="0"/>
          <w:i w:val="0"/>
          <w:sz w:val="21"/>
        </w:rPr>
        <w:t>每阶段输出"进入下一阶段的候选子集"，并设置</w:t>
      </w:r>
      <w:r>
        <w:rPr>
          <w:rFonts w:ascii="Calibri" w:hAnsi="Calibri" w:eastAsia="宋体"/>
          <w:b/>
          <w:i w:val="0"/>
          <w:sz w:val="21"/>
        </w:rPr>
        <w:t>可否决的 No-Go 判据</w:t>
      </w:r>
      <w:r>
        <w:rPr>
          <w:rFonts w:ascii="Calibri" w:hAnsi="Calibri" w:eastAsia="宋体"/>
          <w:b w:val="0"/>
          <w:i w:val="0"/>
          <w:sz w:val="21"/>
        </w:rPr>
        <w:t>，避免资源浪费在无金属/无酶活响应的序列上。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5.2 分阶段方案与判据</w:t>
      </w:r>
    </w:p>
    <w:p>
      <w:r>
        <w:rPr>
          <w:rFonts w:ascii="Calibri" w:hAnsi="Calibri" w:eastAsia="宋体"/>
          <w:b/>
          <w:i w:val="0"/>
          <w:sz w:val="21"/>
        </w:rPr>
        <w:t>Stage 0 — 计算初筛（现状：已完成 AChE-PAS 对接 + MD 准备）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输入：12 条候选肽（7–15 aa 短肽 + 长肽）。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输出：AChE PAS 结合模式（PAS 关键残基：Trp286、Tyr72、Tyr124、Asp74 等）、对接打分、MD 稳定性（RMSD 平台、PAS 位点驻留、接触矩阵）、ADMET/毒性预测。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Go</w:t>
      </w:r>
      <w:r>
        <w:rPr>
          <w:rFonts w:ascii="Calibri" w:hAnsi="Calibri" w:eastAsia="宋体"/>
          <w:b w:val="0"/>
          <w:i w:val="0"/>
          <w:sz w:val="21"/>
        </w:rPr>
        <w:t>：MD 稳定（RMSD 达平台）、PAS 关键残基接触保持、无毒性预警 → 12→8。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No-Go</w:t>
      </w:r>
      <w:r>
        <w:rPr>
          <w:rFonts w:ascii="Calibri" w:hAnsi="Calibri" w:eastAsia="宋体"/>
          <w:b w:val="0"/>
          <w:i w:val="0"/>
          <w:sz w:val="21"/>
        </w:rPr>
        <w:t>：MD 中肽脱离 PAS 或无特异结合模式 → 淘汰，不再合成。</w:t>
      </w:r>
    </w:p>
    <w:p>
      <w:r>
        <w:rPr>
          <w:rFonts w:ascii="Calibri" w:hAnsi="Calibri" w:eastAsia="宋体"/>
          <w:b/>
          <w:i w:val="0"/>
          <w:sz w:val="21"/>
        </w:rPr>
        <w:t>Stage 1 — 化学合成与体外生化表征（4–8 周）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指标：纯度（HPLC ≥95%）、溶解度、血清/缓冲液稳定性；金属结合（ITC/UV–vis：Cu²⁺/Fe²⁺/Zn²⁺ 的 Kd 与化学计量）；金属还原与 H₂O₂ 生成（无细胞体系）；AChE/BChE 酶活（Ellman 法）；Aβ42 聚集 ± 金属（ThT/EM）。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Go</w:t>
      </w:r>
      <w:r>
        <w:rPr>
          <w:rFonts w:ascii="Calibri" w:hAnsi="Calibri" w:eastAsia="宋体"/>
          <w:b w:val="0"/>
          <w:i w:val="0"/>
          <w:sz w:val="21"/>
        </w:rPr>
        <w:t>：≥2 项独立阳性读出，例如：金属依赖 H₂O₂ 生成 ≥2× 对照肽（且可被螯合剂抑制）；或 AChE/BChE 活性调节 IC50 &lt;50 μM；或 Aβ42 聚集调节 ≥30%（±金属矩阵一致）。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No-Go</w:t>
      </w:r>
      <w:r>
        <w:rPr>
          <w:rFonts w:ascii="Calibri" w:hAnsi="Calibri" w:eastAsia="宋体"/>
          <w:b w:val="0"/>
          <w:i w:val="0"/>
          <w:sz w:val="21"/>
        </w:rPr>
        <w:t>：无金属结合、无 ROS、无酶活/聚集效应 → 终止该肽。</w:t>
      </w:r>
    </w:p>
    <w:p>
      <w:r>
        <w:rPr>
          <w:rFonts w:ascii="Calibri" w:hAnsi="Calibri" w:eastAsia="宋体"/>
          <w:b/>
          <w:i w:val="0"/>
          <w:sz w:val="21"/>
        </w:rPr>
        <w:t>Stage 2 — 神经元细胞模型（4–6 周）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模型：SH-SY5Y / PC12 / 原代皮层神经元。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指标：细胞活力（MTT/LDH）；胞内 ROS（DCFH-DA）与线粒体 ROS（MitoSOX）；脂质过氧化（BODIPY C11 氧化比率、4-HNE 加合物 WB）；</w:t>
      </w:r>
      <w:r>
        <w:rPr>
          <w:rFonts w:ascii="Calibri" w:hAnsi="Calibri" w:eastAsia="宋体"/>
          <w:b/>
          <w:i w:val="0"/>
          <w:sz w:val="21"/>
        </w:rPr>
        <w:t>金属矩阵</w:t>
      </w:r>
      <w:r>
        <w:rPr>
          <w:rFonts w:ascii="Calibri" w:hAnsi="Calibri" w:eastAsia="宋体"/>
          <w:b w:val="0"/>
          <w:i w:val="0"/>
          <w:sz w:val="21"/>
        </w:rPr>
        <w:t>：±Cu²⁺/Fe²⁺、±螯合剂、±过氧化氢酶/抗氧化剂。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Go</w:t>
      </w:r>
      <w:r>
        <w:rPr>
          <w:rFonts w:ascii="Calibri" w:hAnsi="Calibri" w:eastAsia="宋体"/>
          <w:b w:val="0"/>
          <w:i w:val="0"/>
          <w:sz w:val="21"/>
        </w:rPr>
        <w:t>：金属依赖的"ROS↑ + 脂质过氧化↑ + 细胞损伤"三联表型，且螯合剂/过氧化氢酶/抗氧化剂可逆转 → 8→4。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No-Go</w:t>
      </w:r>
      <w:r>
        <w:rPr>
          <w:rFonts w:ascii="Calibri" w:hAnsi="Calibri" w:eastAsia="宋体"/>
          <w:b w:val="0"/>
          <w:i w:val="0"/>
          <w:sz w:val="21"/>
        </w:rPr>
        <w:t>：无金属依赖表型，或仅有与金属无关的非特异毒性 → 终止。</w:t>
      </w:r>
    </w:p>
    <w:p>
      <w:r>
        <w:rPr>
          <w:rFonts w:ascii="Calibri" w:hAnsi="Calibri" w:eastAsia="宋体"/>
          <w:b/>
          <w:i w:val="0"/>
          <w:sz w:val="21"/>
        </w:rPr>
        <w:t>Stage 3 — iPSC 神经元验证（6–12 个月）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依据：iPSC 来源神经元可重现 AD 关键表型——Israel 等（</w:t>
      </w:r>
      <w:r>
        <w:rPr>
          <w:rFonts w:ascii="Calibri" w:hAnsi="Calibri" w:eastAsia="宋体"/>
          <w:b w:val="0"/>
          <w:i/>
          <w:sz w:val="21"/>
        </w:rPr>
        <w:t>Nature</w:t>
      </w:r>
      <w:r>
        <w:rPr>
          <w:rFonts w:ascii="Calibri" w:hAnsi="Calibri" w:eastAsia="宋体"/>
          <w:b w:val="0"/>
          <w:i w:val="0"/>
          <w:sz w:val="21"/>
        </w:rPr>
        <w:t>, 2012）证明家族性 AD（APP 复制、PS1 突变）患者的 iPSC 神经元表现出 Aβ42 升高、p-tau 增加与 GSK-3β 激活，且 β/γ-分泌酶抑制剂可降低 p-tau [S1]；Kondo 等（</w:t>
      </w:r>
      <w:r>
        <w:rPr>
          <w:rFonts w:ascii="Calibri" w:hAnsi="Calibri" w:eastAsia="宋体"/>
          <w:b w:val="0"/>
          <w:i/>
          <w:sz w:val="21"/>
        </w:rPr>
        <w:t>Cell Stem Cell</w:t>
      </w:r>
      <w:r>
        <w:rPr>
          <w:rFonts w:ascii="Calibri" w:hAnsi="Calibri" w:eastAsia="宋体"/>
          <w:b w:val="0"/>
          <w:i w:val="0"/>
          <w:sz w:val="21"/>
        </w:rPr>
        <w:t>, 2013）证明 fAD iPSC 神经元出现细胞内 Aβ 积累与内质网/高尔基体应激、氧化应激表型，且对药物反应存在差异 [S2]。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设计：等基因/异基因对照（健康 donor；可选 APOE3/4 敲入系、fAD 突变系）；分化 &gt;60 天成熟神经元；读出包括 Aβ42/Aβ40（ELISA/MSD）、p-tau、ROS（CellROX/MitoSOX）、脂质过氧化（BODIPY/4-HNE）、神经突网络（MAP2/βIII-tubulin）、突触标志（PSD95/SYN1）、功能（MEA 或钙成像）、细胞活力。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Go</w:t>
      </w:r>
      <w:r>
        <w:rPr>
          <w:rFonts w:ascii="Calibri" w:hAnsi="Calibri" w:eastAsia="宋体"/>
          <w:b w:val="0"/>
          <w:i w:val="0"/>
          <w:sz w:val="21"/>
        </w:rPr>
        <w:t>：金属存在下 ROS/脂质过氧化增加并伴随神经元损伤、无金属时低毒（与原方案 4.4 的因果标准一致）→ 确定 1–2 条先导肽，进入先导优化。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No-Go</w:t>
      </w:r>
      <w:r>
        <w:rPr>
          <w:rFonts w:ascii="Calibri" w:hAnsi="Calibri" w:eastAsia="宋体"/>
          <w:b w:val="0"/>
          <w:i w:val="0"/>
          <w:sz w:val="21"/>
        </w:rPr>
        <w:t>：iPSC 神经元上无金属依赖表型，或毒性不伴随氧化损伤机制 → 终止该项目/转向其他机制假说。</w:t>
      </w:r>
    </w:p>
    <w:p>
      <w:r>
        <w:rPr>
          <w:rFonts w:ascii="Calibri" w:hAnsi="Calibri" w:eastAsia="宋体"/>
          <w:b/>
          <w:i w:val="0"/>
          <w:sz w:val="21"/>
        </w:rPr>
        <w:t>Stage 4 — 体内/转化（非本阶段范围）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前置条件：Stage 3 满足 Go 且机制链条完整（金属依赖、可干预逆转）。体内研究（APP/PS1 或 APOE4 小鼠、铁/铜负荷模型）需另行方案与伦理审批，本阶段不承诺。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5.3 Go/No-Go 判据汇总表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阶段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时间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关键指标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Go 判据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No-Go 判据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0 计算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已完成/2–4 周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对接 + MD 稳定性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PAS 特异结合、MD 稳定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无 PAS 结合、MD 发散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1 生化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4–8 周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纯度、金属结合、H₂O₂、AChE/BChE、Aβ42 聚集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≥2 项独立阳性读出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全部阴性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2 细胞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4–6 周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活力、ROS、脂质过氧化、金属矩阵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金属依赖三联表型 + 干预逆转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无金属依赖或非特异毒性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3 iPSC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6–12 月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Aβ、p-tau、ROS、脂质过氧化、网络/功能、活力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金属依赖损伤 + 氧化机制一致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无表型或机制不符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4 体内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后续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认知/病理/铁稳态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先满足 0–3 全部 Go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——</w:t>
            </w:r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6 特别提示（关键科学纠偏）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6.1 Zn²⁺ 不是 Fenton 型 ROS 金属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化学依据</w:t>
      </w:r>
      <w:r>
        <w:rPr>
          <w:rFonts w:ascii="Calibri" w:hAnsi="Calibri" w:eastAsia="宋体"/>
          <w:b w:val="0"/>
          <w:i w:val="0"/>
          <w:sz w:val="21"/>
        </w:rPr>
        <w:t>：Zn²⁺ 为 d¹⁰ 闭壳层离子，氧化还原惰性，</w:t>
      </w:r>
      <w:r>
        <w:rPr>
          <w:rFonts w:ascii="Calibri" w:hAnsi="Calibri" w:eastAsia="宋体"/>
          <w:b/>
          <w:i w:val="0"/>
          <w:sz w:val="21"/>
        </w:rPr>
        <w:t>无法像 Cu²⁺/Cu⁺、Fe³⁺/Fe²⁺ 那样进行单电子氧化还原循环</w:t>
      </w:r>
      <w:r>
        <w:rPr>
          <w:rFonts w:ascii="Calibri" w:hAnsi="Calibri" w:eastAsia="宋体"/>
          <w:b w:val="0"/>
          <w:i w:val="0"/>
          <w:sz w:val="21"/>
        </w:rPr>
        <w:t>，因此不能直接催化 Fenton/Haber–Weiss 反应生成 ROS。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文献定位</w:t>
      </w:r>
      <w:r>
        <w:rPr>
          <w:rFonts w:ascii="Calibri" w:hAnsi="Calibri" w:eastAsia="宋体"/>
          <w:b w:val="0"/>
          <w:i w:val="0"/>
          <w:sz w:val="21"/>
        </w:rPr>
        <w:t>：Sensi 等（</w:t>
      </w:r>
      <w:r>
        <w:rPr>
          <w:rFonts w:ascii="Calibri" w:hAnsi="Calibri" w:eastAsia="宋体"/>
          <w:b w:val="0"/>
          <w:i/>
          <w:sz w:val="21"/>
        </w:rPr>
        <w:t>Nat Rev Neurosci</w:t>
      </w:r>
      <w:r>
        <w:rPr>
          <w:rFonts w:ascii="Calibri" w:hAnsi="Calibri" w:eastAsia="宋体"/>
          <w:b w:val="0"/>
          <w:i w:val="0"/>
          <w:sz w:val="21"/>
        </w:rPr>
        <w:t>, 2009）将 Zn 定位为 CNS 的关键信号离子，其病理机制是谷氨酸能兴奋毒性、线粒体功能障碍、锌稳态失调及 Zn–Aβ 相互作用（促进 Aβ 聚集）等，</w:t>
      </w:r>
      <w:r>
        <w:rPr>
          <w:rFonts w:ascii="Calibri" w:hAnsi="Calibri" w:eastAsia="宋体"/>
          <w:b/>
          <w:i w:val="0"/>
          <w:sz w:val="21"/>
        </w:rPr>
        <w:t>并非"Zn–Fenton 产 ROS"</w:t>
      </w:r>
      <w:r>
        <w:rPr>
          <w:rFonts w:ascii="Calibri" w:hAnsi="Calibri" w:eastAsia="宋体"/>
          <w:b w:val="0"/>
          <w:i w:val="0"/>
          <w:sz w:val="21"/>
        </w:rPr>
        <w:t xml:space="preserve"> [C10]。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实验含义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1. 方案 4.3 中 Zn²⁺ 与 Cu²⁺/Fe²⁺ 并列考察是合理的（配位化学层面），但 </w:t>
      </w:r>
      <w:r>
        <w:rPr>
          <w:rFonts w:ascii="Calibri" w:hAnsi="Calibri" w:eastAsia="宋体"/>
          <w:b/>
          <w:i w:val="0"/>
          <w:sz w:val="21"/>
        </w:rPr>
        <w:t>ROS/脂质过氧化机制表述必须将 Zn 与 Cu/Fe 区分</w:t>
      </w:r>
      <w:r>
        <w:rPr>
          <w:rFonts w:ascii="Calibri" w:hAnsi="Calibri" w:eastAsia="宋体"/>
          <w:b w:val="0"/>
          <w:i w:val="0"/>
          <w:sz w:val="21"/>
        </w:rPr>
        <w:t>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2. Zn²⁺ 组应作为"聚集/配位/毒性对照"，若 Zn 组出现 ROS 增加，应寻求其他机制解释（如线粒体损伤、能量耗竭的继发效应），</w:t>
      </w:r>
      <w:r>
        <w:rPr>
          <w:rFonts w:ascii="Calibri" w:hAnsi="Calibri" w:eastAsia="宋体"/>
          <w:b/>
          <w:i w:val="0"/>
          <w:sz w:val="21"/>
        </w:rPr>
        <w:t>不得写作"Zn 介导 Fenton 反应"</w:t>
      </w:r>
      <w:r>
        <w:rPr>
          <w:rFonts w:ascii="Calibri" w:hAnsi="Calibri" w:eastAsia="宋体"/>
          <w:b w:val="0"/>
          <w:i w:val="0"/>
          <w:sz w:val="21"/>
        </w:rPr>
        <w:t>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3. 文献中亦有 Zn 竞争 Cu 位点而抑制 Cu–Aβ 产 ROS 的机制讨论 [S6]，设计金属矩阵时 Zn 可作为 Cu 的竞争性对照。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6.2 ferritin/transferrin 优先作为铁稳态功能节点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文献依据</w:t>
      </w:r>
      <w:r>
        <w:rPr>
          <w:rFonts w:ascii="Calibri" w:hAnsi="Calibri" w:eastAsia="宋体"/>
          <w:b w:val="0"/>
          <w:i w:val="0"/>
          <w:sz w:val="21"/>
        </w:rPr>
        <w:t>：脑铁代谢网络中，transferrin 经 Tf–TfR1 介导神经元/胶质细胞铁摄取，ferritin（H/L 亚基）负责铁的储存与解毒，ferroportin/铜蓝蛋白介导释放 [C8][C9]；CSF ferritin 水平预测 AD 结局并受 APOE 调控 [C3]。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定位建议</w:t>
      </w:r>
      <w:r>
        <w:rPr>
          <w:rFonts w:ascii="Calibri" w:hAnsi="Calibri" w:eastAsia="宋体"/>
          <w:b w:val="0"/>
          <w:i w:val="0"/>
          <w:sz w:val="21"/>
        </w:rPr>
        <w:t>：在方案 4.2 中，ferritin/transferrin 应从"直接致病结合靶点（与 AChE、Aβ 并列）"降格为</w:t>
      </w:r>
      <w:r>
        <w:rPr>
          <w:rFonts w:ascii="Calibri" w:hAnsi="Calibri" w:eastAsia="宋体"/>
          <w:b/>
          <w:i w:val="0"/>
          <w:sz w:val="21"/>
        </w:rPr>
        <w:t>铁稳态功能节点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1. 结构/对接分析仅作假设生成；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2. 主实验改为功能读出：细胞内铁含量（ICP-MS/ferrozine）、labile iron pool（calcein/FRET 探针）、ferritin H/L 蛋白与亚基比、TfR1/ferroportin 表达、转铁蛋白饱和度；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3. 只有当候选肽显著改变上述功能指标时，才讨论其铁稳态相关作用；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4. 避免在缺乏功能证据时宣称"候选肽与 ferritin/transferrin 直接结合致病"。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7 参考文献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 xml:space="preserve">7.1 核心文献（14 篇，含 </w:t>
      </w:r>
      <w:r>
        <w:rPr>
          <w:rFonts w:ascii="Calibri" w:hAnsi="Calibri" w:eastAsia="宋体"/>
          <w:b w:val="0"/>
          <w:i/>
          <w:sz w:val="25"/>
        </w:rPr>
        <w:t>Nature</w:t>
      </w:r>
      <w:r>
        <w:rPr>
          <w:rFonts w:ascii="Calibri" w:hAnsi="Calibri" w:eastAsia="宋体"/>
          <w:b w:val="0"/>
          <w:i w:val="0"/>
          <w:sz w:val="25"/>
        </w:rPr>
        <w:t>、</w:t>
      </w:r>
      <w:r>
        <w:rPr>
          <w:rFonts w:ascii="Calibri" w:hAnsi="Calibri" w:eastAsia="宋体"/>
          <w:b w:val="0"/>
          <w:i/>
          <w:sz w:val="25"/>
        </w:rPr>
        <w:t>Nature Communications</w:t>
      </w:r>
      <w:r>
        <w:rPr>
          <w:rFonts w:ascii="Calibri" w:hAnsi="Calibri" w:eastAsia="宋体"/>
          <w:b w:val="0"/>
          <w:i w:val="0"/>
          <w:sz w:val="25"/>
        </w:rPr>
        <w:t>、</w:t>
      </w:r>
      <w:r>
        <w:rPr>
          <w:rFonts w:ascii="Calibri" w:hAnsi="Calibri" w:eastAsia="宋体"/>
          <w:b w:val="0"/>
          <w:i/>
          <w:sz w:val="25"/>
        </w:rPr>
        <w:t>Neuron</w:t>
      </w:r>
      <w:r>
        <w:rPr>
          <w:rFonts w:ascii="Calibri" w:hAnsi="Calibri" w:eastAsia="宋体"/>
          <w:b w:val="0"/>
          <w:i w:val="0"/>
          <w:sz w:val="25"/>
        </w:rPr>
        <w:t>、</w:t>
      </w:r>
      <w:r>
        <w:rPr>
          <w:rFonts w:ascii="Calibri" w:hAnsi="Calibri" w:eastAsia="宋体"/>
          <w:b w:val="0"/>
          <w:i/>
          <w:sz w:val="25"/>
        </w:rPr>
        <w:t>JBC</w:t>
      </w:r>
      <w:r>
        <w:rPr>
          <w:rFonts w:ascii="Calibri" w:hAnsi="Calibri" w:eastAsia="宋体"/>
          <w:b w:val="0"/>
          <w:i w:val="0"/>
          <w:sz w:val="25"/>
        </w:rPr>
        <w:t>、</w:t>
      </w:r>
      <w:r>
        <w:rPr>
          <w:rFonts w:ascii="Calibri" w:hAnsi="Calibri" w:eastAsia="宋体"/>
          <w:b w:val="0"/>
          <w:i/>
          <w:sz w:val="25"/>
        </w:rPr>
        <w:t>Biochemistry</w:t>
      </w:r>
      <w:r>
        <w:rPr>
          <w:rFonts w:ascii="Calibri" w:hAnsi="Calibri" w:eastAsia="宋体"/>
          <w:b w:val="0"/>
          <w:i w:val="0"/>
          <w:sz w:val="25"/>
        </w:rPr>
        <w:t xml:space="preserve"> 等）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#</w:t>
            </w:r>
          </w:p>
        </w:tc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文献（期刊 年；卷:页）</w:t>
            </w:r>
          </w:p>
        </w:tc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C1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Abramson J, et al. Accurate structure prediction of biomolecular interactions with AlphaFold 3.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Nature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2024; 630:493-500.</w:t>
            </w:r>
          </w:p>
        </w:tc>
        <w:tc>
          <w:tcPr>
            <w:tcW w:type="dxa" w:w="2436"/>
          </w:tcPr>
          <w:p>
            <w:hyperlink r:id="rId9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10.1038/s41586-024-07487-w</w:t>
              </w:r>
            </w:hyperlink>
          </w:p>
        </w:tc>
        <w:tc>
          <w:tcPr>
            <w:tcW w:type="dxa" w:w="2436"/>
          </w:tcPr>
          <w:p>
            <w:hyperlink r:id="rId10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38718835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C2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Walsh DM, et al. Naturally secreted oligomers of amyloid beta protein potently inhibit hippocampal long-term potentiation in vivo.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Nature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2002; 416:535-539.</w:t>
            </w:r>
          </w:p>
        </w:tc>
        <w:tc>
          <w:tcPr>
            <w:tcW w:type="dxa" w:w="2436"/>
          </w:tcPr>
          <w:p>
            <w:hyperlink r:id="rId11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10.1038/416535a</w:t>
              </w:r>
            </w:hyperlink>
          </w:p>
        </w:tc>
        <w:tc>
          <w:tcPr>
            <w:tcW w:type="dxa" w:w="2436"/>
          </w:tcPr>
          <w:p>
            <w:hyperlink r:id="rId12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11932745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C3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Ayton S, Faux NG, Bush AI; Alzheimer's Disease Neuroimaging Initiative. Ferritin levels in the cerebrospinal fluid predict Alzheimer's disease outcomes and are regulated by APOE.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Nature Communications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2015; 6:6760.</w:t>
            </w:r>
          </w:p>
        </w:tc>
        <w:tc>
          <w:tcPr>
            <w:tcW w:type="dxa" w:w="2436"/>
          </w:tcPr>
          <w:p>
            <w:hyperlink r:id="rId13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10.1038/ncomms7760</w:t>
              </w:r>
            </w:hyperlink>
          </w:p>
        </w:tc>
        <w:tc>
          <w:tcPr>
            <w:tcW w:type="dxa" w:w="2436"/>
          </w:tcPr>
          <w:p>
            <w:hyperlink r:id="rId14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25988319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C4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Inestrosa NC, et al. Acetylcholinesterase accelerates assembly of amyloid-beta-peptides into Alzheimer's fibrils: possible role of the peripheral site of the enzyme.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Neuron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1996; 16:881-891.</w:t>
            </w:r>
          </w:p>
        </w:tc>
        <w:tc>
          <w:tcPr>
            <w:tcW w:type="dxa" w:w="2436"/>
          </w:tcPr>
          <w:p>
            <w:hyperlink r:id="rId15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10.1016/S0896-6273(00)80108-7</w:t>
              </w:r>
            </w:hyperlink>
            <w:r>
              <w:rPr>
                <w:rFonts w:ascii="Calibri" w:hAnsi="Calibri" w:eastAsia="宋体"/>
                <w:b w:val="0"/>
                <w:i w:val="0"/>
                <w:sz w:val="18"/>
              </w:rPr>
              <w:t>80108-7)</w:t>
            </w:r>
          </w:p>
        </w:tc>
        <w:tc>
          <w:tcPr>
            <w:tcW w:type="dxa" w:w="2436"/>
          </w:tcPr>
          <w:p>
            <w:hyperlink r:id="rId16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8608006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C5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Opazo C, et al. Metalloenzyme-like activity of Alzheimer's disease beta-amyloid. Cu-dependent catalytic conversion of dopamine, cholesterol, and biological reducing agents to neurotoxic H₂O₂.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J Biol Chem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2002; 277:40302-40308.</w:t>
            </w:r>
          </w:p>
        </w:tc>
        <w:tc>
          <w:tcPr>
            <w:tcW w:type="dxa" w:w="2436"/>
          </w:tcPr>
          <w:p>
            <w:hyperlink r:id="rId17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10.1074/jbc.M206428200</w:t>
              </w:r>
            </w:hyperlink>
          </w:p>
        </w:tc>
        <w:tc>
          <w:tcPr>
            <w:tcW w:type="dxa" w:w="2436"/>
          </w:tcPr>
          <w:p>
            <w:hyperlink r:id="rId18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12192006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C6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Guo JL, Lee VM. Seeding of normal Tau by pathological Tau conformers drives pathogenesis of Alzheimer-like tangles.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J Biol Chem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2011; 286:15317-15331.</w:t>
            </w:r>
          </w:p>
        </w:tc>
        <w:tc>
          <w:tcPr>
            <w:tcW w:type="dxa" w:w="2436"/>
          </w:tcPr>
          <w:p>
            <w:hyperlink r:id="rId19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10.1074/jbc.M110.209296</w:t>
              </w:r>
            </w:hyperlink>
          </w:p>
        </w:tc>
        <w:tc>
          <w:tcPr>
            <w:tcW w:type="dxa" w:w="2436"/>
          </w:tcPr>
          <w:p>
            <w:hyperlink r:id="rId20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21372138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C7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Huang X, et al. The A beta peptide of Alzheimer's disease directly produces hydrogen peroxide through metal ion reduction.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Biochemistry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1999; 38:7609-7616.</w:t>
            </w:r>
          </w:p>
        </w:tc>
        <w:tc>
          <w:tcPr>
            <w:tcW w:type="dxa" w:w="2436"/>
          </w:tcPr>
          <w:p>
            <w:hyperlink r:id="rId21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10.1021/bi990438f</w:t>
              </w:r>
            </w:hyperlink>
          </w:p>
        </w:tc>
        <w:tc>
          <w:tcPr>
            <w:tcW w:type="dxa" w:w="2436"/>
          </w:tcPr>
          <w:p>
            <w:hyperlink r:id="rId22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10386999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C8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Zecca L, Youdim MB, Riederer P, Connor JR, Crichton RR. Iron, brain ageing and neurodegenerative disorders.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Nat Rev Neurosci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2004; 5:863-873.</w:t>
            </w:r>
          </w:p>
        </w:tc>
        <w:tc>
          <w:tcPr>
            <w:tcW w:type="dxa" w:w="2436"/>
          </w:tcPr>
          <w:p>
            <w:hyperlink r:id="rId23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10.1038/nrn1537</w:t>
              </w:r>
            </w:hyperlink>
          </w:p>
        </w:tc>
        <w:tc>
          <w:tcPr>
            <w:tcW w:type="dxa" w:w="2436"/>
          </w:tcPr>
          <w:p>
            <w:hyperlink r:id="rId24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15496864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C9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Ward RJ, Zucca FA, Duyn JH, Crichton RR, Zecca L. The role of iron in brain ageing and neurodegenerative disorders.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Lancet Neurology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2014; 13:1045-1060.</w:t>
            </w:r>
          </w:p>
        </w:tc>
        <w:tc>
          <w:tcPr>
            <w:tcW w:type="dxa" w:w="2436"/>
          </w:tcPr>
          <w:p>
            <w:hyperlink r:id="rId25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10.1016/S1474-4422(14)70117-6</w:t>
              </w:r>
            </w:hyperlink>
            <w:r>
              <w:rPr>
                <w:rFonts w:ascii="Calibri" w:hAnsi="Calibri" w:eastAsia="宋体"/>
                <w:b w:val="0"/>
                <w:i w:val="0"/>
                <w:sz w:val="18"/>
              </w:rPr>
              <w:t>70117-6)</w:t>
            </w:r>
          </w:p>
        </w:tc>
        <w:tc>
          <w:tcPr>
            <w:tcW w:type="dxa" w:w="2436"/>
          </w:tcPr>
          <w:p>
            <w:hyperlink r:id="rId26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25231526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C10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Sensi SL, Paoletti P, Bush AI, Sekler I. Zinc in the physiology and pathology of the CNS.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Nat Rev Neurosci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2009; 10:780-791.</w:t>
            </w:r>
          </w:p>
        </w:tc>
        <w:tc>
          <w:tcPr>
            <w:tcW w:type="dxa" w:w="2436"/>
          </w:tcPr>
          <w:p>
            <w:hyperlink r:id="rId27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10.1038/nrn2734</w:t>
              </w:r>
            </w:hyperlink>
          </w:p>
        </w:tc>
        <w:tc>
          <w:tcPr>
            <w:tcW w:type="dxa" w:w="2436"/>
          </w:tcPr>
          <w:p>
            <w:hyperlink r:id="rId28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19826435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C11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Darvesh S, Hopkins DA, Geula C. Neurobiology of butyrylcholinesterase.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Nat Rev Neurosci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2003; 4:131-138.</w:t>
            </w:r>
          </w:p>
        </w:tc>
        <w:tc>
          <w:tcPr>
            <w:tcW w:type="dxa" w:w="2436"/>
          </w:tcPr>
          <w:p>
            <w:hyperlink r:id="rId29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10.1038/nrn1035</w:t>
              </w:r>
            </w:hyperlink>
          </w:p>
        </w:tc>
        <w:tc>
          <w:tcPr>
            <w:tcW w:type="dxa" w:w="2436"/>
          </w:tcPr>
          <w:p>
            <w:hyperlink r:id="rId30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12563284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C12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Huang Y, Mahley RW. Apolipoprotein E: structure and function in lipid metabolism, neurobiology, and Alzheimer's diseases.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Neurobiol Dis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2014; 72 Pt A:3-12.</w:t>
            </w:r>
          </w:p>
        </w:tc>
        <w:tc>
          <w:tcPr>
            <w:tcW w:type="dxa" w:w="2436"/>
          </w:tcPr>
          <w:p>
            <w:hyperlink r:id="rId31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10.1016/j.nbd.2014.08.025</w:t>
              </w:r>
            </w:hyperlink>
          </w:p>
        </w:tc>
        <w:tc>
          <w:tcPr>
            <w:tcW w:type="dxa" w:w="2436"/>
          </w:tcPr>
          <w:p>
            <w:hyperlink r:id="rId32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25173806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C13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Senn HM, Thiel W. QM/MM methods for biomolecular systems.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Angew Chem Int Ed Engl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2009; 48:1198-1229.</w:t>
            </w:r>
          </w:p>
        </w:tc>
        <w:tc>
          <w:tcPr>
            <w:tcW w:type="dxa" w:w="2436"/>
          </w:tcPr>
          <w:p>
            <w:hyperlink r:id="rId33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10.1002/anie.200802019</w:t>
              </w:r>
            </w:hyperlink>
          </w:p>
        </w:tc>
        <w:tc>
          <w:tcPr>
            <w:tcW w:type="dxa" w:w="2436"/>
          </w:tcPr>
          <w:p>
            <w:hyperlink r:id="rId34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19173328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C14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Genheden S, Ryde U. The MM/PBSA and MM/GBSA methods to estimate ligand-binding affinities.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Expert Opin Drug Discov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2015; 10:449-461.</w:t>
            </w:r>
          </w:p>
        </w:tc>
        <w:tc>
          <w:tcPr>
            <w:tcW w:type="dxa" w:w="2436"/>
          </w:tcPr>
          <w:p>
            <w:hyperlink r:id="rId35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10.1517/17460441.2015.1032936</w:t>
              </w:r>
            </w:hyperlink>
          </w:p>
        </w:tc>
        <w:tc>
          <w:tcPr>
            <w:tcW w:type="dxa" w:w="2436"/>
          </w:tcPr>
          <w:p>
            <w:hyperlink r:id="rId36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25835573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7.2 补充文献（10 篇，供深入检索与写作引用）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#</w:t>
            </w:r>
          </w:p>
        </w:tc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文献（期刊 年；卷:页）</w:t>
            </w:r>
          </w:p>
        </w:tc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S1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Israel MA, et al. Probing sporadic and familial Alzheimer's disease using induced pluripotent stem cells.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Nature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2012; 482:216-220.</w:t>
            </w:r>
          </w:p>
        </w:tc>
        <w:tc>
          <w:tcPr>
            <w:tcW w:type="dxa" w:w="2436"/>
          </w:tcPr>
          <w:p>
            <w:hyperlink r:id="rId37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10.1038/nature10821</w:t>
              </w:r>
            </w:hyperlink>
          </w:p>
        </w:tc>
        <w:tc>
          <w:tcPr>
            <w:tcW w:type="dxa" w:w="2436"/>
          </w:tcPr>
          <w:p>
            <w:hyperlink r:id="rId38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22278060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S2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Kondo T, et al. Modeling Alzheimer's disease with iPSCs reveals stress phenotypes associated with intracellular Aβ and differential drug responsiveness.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Cell Stem Cell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2013; 12:487-496.</w:t>
            </w:r>
          </w:p>
        </w:tc>
        <w:tc>
          <w:tcPr>
            <w:tcW w:type="dxa" w:w="2436"/>
          </w:tcPr>
          <w:p>
            <w:hyperlink r:id="rId39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10.1016/j.stem.2013.01.009</w:t>
              </w:r>
            </w:hyperlink>
          </w:p>
        </w:tc>
        <w:tc>
          <w:tcPr>
            <w:tcW w:type="dxa" w:w="2436"/>
          </w:tcPr>
          <w:p>
            <w:hyperlink r:id="rId40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23434393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S3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Huang X, et al. Cu(II) potentiation of Alzheimer abeta neurotoxicity. Correlation with cell-free hydrogen peroxide production and metal reduction.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J Biol Chem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1999; 274:37111-37116.</w:t>
            </w:r>
          </w:p>
        </w:tc>
        <w:tc>
          <w:tcPr>
            <w:tcW w:type="dxa" w:w="2436"/>
          </w:tcPr>
          <w:p>
            <w:hyperlink r:id="rId41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10.1074/jbc.274.52.37111</w:t>
              </w:r>
            </w:hyperlink>
          </w:p>
        </w:tc>
        <w:tc>
          <w:tcPr>
            <w:tcW w:type="dxa" w:w="2436"/>
          </w:tcPr>
          <w:p>
            <w:hyperlink r:id="rId42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10601271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S4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Butterfield DA, Lauderback CM. Lipid peroxidation and protein oxidation in Alzheimer's disease brain: potential causes and consequences involving amyloid beta-peptide-associated free radical oxidative stress.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Free Radic Biol Med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2002; 32:1050-1060.</w:t>
            </w:r>
          </w:p>
        </w:tc>
        <w:tc>
          <w:tcPr>
            <w:tcW w:type="dxa" w:w="2436"/>
          </w:tcPr>
          <w:p>
            <w:hyperlink r:id="rId43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10.1016/S0891-5849(02)00794-3</w:t>
              </w:r>
            </w:hyperlink>
            <w:r>
              <w:rPr>
                <w:rFonts w:ascii="Calibri" w:hAnsi="Calibri" w:eastAsia="宋体"/>
                <w:b w:val="0"/>
                <w:i w:val="0"/>
                <w:sz w:val="18"/>
              </w:rPr>
              <w:t>00794-3)</w:t>
            </w:r>
          </w:p>
        </w:tc>
        <w:tc>
          <w:tcPr>
            <w:tcW w:type="dxa" w:w="2436"/>
          </w:tcPr>
          <w:p>
            <w:hyperlink r:id="rId44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12031889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S5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Strittmatter WJ, et al. Apolipoprotein E: high-avidity binding to beta-amyloid and increased frequency of type 4 allele in late-onset familial Alzheimer disease.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Proc Natl Acad Sci USA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1993; 90:1977-1981.</w:t>
            </w:r>
          </w:p>
        </w:tc>
        <w:tc>
          <w:tcPr>
            <w:tcW w:type="dxa" w:w="2436"/>
          </w:tcPr>
          <w:p>
            <w:hyperlink r:id="rId45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10.1073/pnas.90.5.1977</w:t>
              </w:r>
            </w:hyperlink>
          </w:p>
        </w:tc>
        <w:tc>
          <w:tcPr>
            <w:tcW w:type="dxa" w:w="2436"/>
          </w:tcPr>
          <w:p>
            <w:hyperlink r:id="rId46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8446617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S6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Hureau C, Faller P. Abeta-mediated ROS production by Cu ions: structural insights, mechanisms and relevance to Alzheimer's disease.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Biochimie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2009; 91:1212-1217.</w:t>
            </w:r>
          </w:p>
        </w:tc>
        <w:tc>
          <w:tcPr>
            <w:tcW w:type="dxa" w:w="2436"/>
          </w:tcPr>
          <w:p>
            <w:hyperlink r:id="rId47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10.1016/j.biochi.2009.03.013</w:t>
              </w:r>
            </w:hyperlink>
          </w:p>
        </w:tc>
        <w:tc>
          <w:tcPr>
            <w:tcW w:type="dxa" w:w="2436"/>
          </w:tcPr>
          <w:p>
            <w:hyperlink r:id="rId48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19332103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S7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Greenough MA, Camakaris J, Bush AI. Metal dyshomeostasis and oxidative stress in Alzheimer's disease.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Neurochem Int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2013; 62:540-555.</w:t>
            </w:r>
          </w:p>
        </w:tc>
        <w:tc>
          <w:tcPr>
            <w:tcW w:type="dxa" w:w="2436"/>
          </w:tcPr>
          <w:p>
            <w:hyperlink r:id="rId49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10.1016/j.neuint.2012.08.014</w:t>
              </w:r>
            </w:hyperlink>
          </w:p>
        </w:tc>
        <w:tc>
          <w:tcPr>
            <w:tcW w:type="dxa" w:w="2436"/>
          </w:tcPr>
          <w:p>
            <w:hyperlink r:id="rId50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22982299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S8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Cheignon C, et al. Oxidative stress and the amyloid beta peptide in Alzheimer's disease.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Redox Biol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2018; 14:450-464.</w:t>
            </w:r>
          </w:p>
        </w:tc>
        <w:tc>
          <w:tcPr>
            <w:tcW w:type="dxa" w:w="2436"/>
          </w:tcPr>
          <w:p>
            <w:hyperlink r:id="rId51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10.1016/j.redox.2017.10.014</w:t>
              </w:r>
            </w:hyperlink>
          </w:p>
        </w:tc>
        <w:tc>
          <w:tcPr>
            <w:tcW w:type="dxa" w:w="2436"/>
          </w:tcPr>
          <w:p>
            <w:hyperlink r:id="rId52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29080524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S9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Hollingsworth SA, Dror RO. Molecular Dynamics Simulation for All.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Neuron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2018; 99:1129-1143.</w:t>
            </w:r>
          </w:p>
        </w:tc>
        <w:tc>
          <w:tcPr>
            <w:tcW w:type="dxa" w:w="2436"/>
          </w:tcPr>
          <w:p>
            <w:hyperlink r:id="rId53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10.1016/j.neuron.2018.08.011</w:t>
              </w:r>
            </w:hyperlink>
          </w:p>
        </w:tc>
        <w:tc>
          <w:tcPr>
            <w:tcW w:type="dxa" w:w="2436"/>
          </w:tcPr>
          <w:p>
            <w:hyperlink r:id="rId54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30236283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S10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Alvarez A, Opazo C, Alarcon R, Garrido J, Inestrosa NC. Acetylcholinesterase promotes the aggregation of amyloid-beta-peptide fragments by forming a complex with the growing fibrils.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J Mol Biol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1997; 272:348-361.</w:t>
            </w:r>
          </w:p>
        </w:tc>
        <w:tc>
          <w:tcPr>
            <w:tcW w:type="dxa" w:w="2436"/>
          </w:tcPr>
          <w:p>
            <w:hyperlink r:id="rId55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10.1006/jmbi.1997.1245</w:t>
              </w:r>
            </w:hyperlink>
          </w:p>
        </w:tc>
        <w:tc>
          <w:tcPr>
            <w:tcW w:type="dxa" w:w="2436"/>
          </w:tcPr>
          <w:p>
            <w:hyperlink r:id="rId56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9325095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 w:val="0"/>
          <w:i w:val="0"/>
          <w:sz w:val="21"/>
        </w:rPr>
        <w:t>S10 与本课题直接相关：AChE 可促进 Aβ(12–28) 与 Aβ(25–35) 片段聚集（而对 Aβ(1–16) 无效），提示 AChE–短肽相互作用存在序列特异性——可作为候选肽对接/聚集实验的阳性对照框架。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8 方法学与局限性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1. </w:t>
      </w:r>
      <w:r>
        <w:rPr>
          <w:rFonts w:ascii="Calibri" w:hAnsi="Calibri" w:eastAsia="宋体"/>
          <w:b/>
          <w:i w:val="0"/>
          <w:sz w:val="21"/>
        </w:rPr>
        <w:t>检索策略</w:t>
      </w:r>
      <w:r>
        <w:rPr>
          <w:rFonts w:ascii="Calibri" w:hAnsi="Calibri" w:eastAsia="宋体"/>
          <w:b w:val="0"/>
          <w:i w:val="0"/>
          <w:sz w:val="21"/>
        </w:rPr>
        <w:t>：按 AERS 文献综述流程，先确定 5 个重点概念（Cu/Fe–ROS–脂质过氧化–神经毒性；Aβ42/tau/ApoE4/ferritin/transferrin 定位；AlphaFold3/MD/MM-GBSA/QM-MM 方法学；iPSC 神经元验证；Zn 非 Fenton 金属）生成关键词，再以"作者+标题关键词+年份"组合在 PubMed 检索，优先选择高影响力期刊（</w:t>
      </w:r>
      <w:r>
        <w:rPr>
          <w:rFonts w:ascii="Calibri" w:hAnsi="Calibri" w:eastAsia="宋体"/>
          <w:b w:val="0"/>
          <w:i/>
          <w:sz w:val="21"/>
        </w:rPr>
        <w:t>Nature</w:t>
      </w:r>
      <w:r>
        <w:rPr>
          <w:rFonts w:ascii="Calibri" w:hAnsi="Calibri" w:eastAsia="宋体"/>
          <w:b w:val="0"/>
          <w:i w:val="0"/>
          <w:sz w:val="21"/>
        </w:rPr>
        <w:t>、</w:t>
      </w:r>
      <w:r>
        <w:rPr>
          <w:rFonts w:ascii="Calibri" w:hAnsi="Calibri" w:eastAsia="宋体"/>
          <w:b w:val="0"/>
          <w:i/>
          <w:sz w:val="21"/>
        </w:rPr>
        <w:t>Nat Commun</w:t>
      </w:r>
      <w:r>
        <w:rPr>
          <w:rFonts w:ascii="Calibri" w:hAnsi="Calibri" w:eastAsia="宋体"/>
          <w:b w:val="0"/>
          <w:i w:val="0"/>
          <w:sz w:val="21"/>
        </w:rPr>
        <w:t>、</w:t>
      </w:r>
      <w:r>
        <w:rPr>
          <w:rFonts w:ascii="Calibri" w:hAnsi="Calibri" w:eastAsia="宋体"/>
          <w:b w:val="0"/>
          <w:i/>
          <w:sz w:val="21"/>
        </w:rPr>
        <w:t>Neuron</w:t>
      </w:r>
      <w:r>
        <w:rPr>
          <w:rFonts w:ascii="Calibri" w:hAnsi="Calibri" w:eastAsia="宋体"/>
          <w:b w:val="0"/>
          <w:i w:val="0"/>
          <w:sz w:val="21"/>
        </w:rPr>
        <w:t>、</w:t>
      </w:r>
      <w:r>
        <w:rPr>
          <w:rFonts w:ascii="Calibri" w:hAnsi="Calibri" w:eastAsia="宋体"/>
          <w:b w:val="0"/>
          <w:i/>
          <w:sz w:val="21"/>
        </w:rPr>
        <w:t>JBC</w:t>
      </w:r>
      <w:r>
        <w:rPr>
          <w:rFonts w:ascii="Calibri" w:hAnsi="Calibri" w:eastAsia="宋体"/>
          <w:b w:val="0"/>
          <w:i w:val="0"/>
          <w:sz w:val="21"/>
        </w:rPr>
        <w:t>、</w:t>
      </w:r>
      <w:r>
        <w:rPr>
          <w:rFonts w:ascii="Calibri" w:hAnsi="Calibri" w:eastAsia="宋体"/>
          <w:b w:val="0"/>
          <w:i/>
          <w:sz w:val="21"/>
        </w:rPr>
        <w:t>Biochemistry</w:t>
      </w:r>
      <w:r>
        <w:rPr>
          <w:rFonts w:ascii="Calibri" w:hAnsi="Calibri" w:eastAsia="宋体"/>
          <w:b w:val="0"/>
          <w:i w:val="0"/>
          <w:sz w:val="21"/>
        </w:rPr>
        <w:t>、</w:t>
      </w:r>
      <w:r>
        <w:rPr>
          <w:rFonts w:ascii="Calibri" w:hAnsi="Calibri" w:eastAsia="宋体"/>
          <w:b w:val="0"/>
          <w:i/>
          <w:sz w:val="21"/>
        </w:rPr>
        <w:t>Nat Rev Neurosci</w:t>
      </w:r>
      <w:r>
        <w:rPr>
          <w:rFonts w:ascii="Calibri" w:hAnsi="Calibri" w:eastAsia="宋体"/>
          <w:b w:val="0"/>
          <w:i w:val="0"/>
          <w:sz w:val="21"/>
        </w:rPr>
        <w:t>、</w:t>
      </w:r>
      <w:r>
        <w:rPr>
          <w:rFonts w:ascii="Calibri" w:hAnsi="Calibri" w:eastAsia="宋体"/>
          <w:b w:val="0"/>
          <w:i/>
          <w:sz w:val="21"/>
        </w:rPr>
        <w:t>Lancet Neurol</w:t>
      </w:r>
      <w:r>
        <w:rPr>
          <w:rFonts w:ascii="Calibri" w:hAnsi="Calibri" w:eastAsia="宋体"/>
          <w:b w:val="0"/>
          <w:i w:val="0"/>
          <w:sz w:val="21"/>
        </w:rPr>
        <w:t xml:space="preserve"> 等）与高被引文献。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2. </w:t>
      </w:r>
      <w:r>
        <w:rPr>
          <w:rFonts w:ascii="Calibri" w:hAnsi="Calibri" w:eastAsia="宋体"/>
          <w:b/>
          <w:i w:val="0"/>
          <w:sz w:val="21"/>
        </w:rPr>
        <w:t>核验方式</w:t>
      </w:r>
      <w:r>
        <w:rPr>
          <w:rFonts w:ascii="Calibri" w:hAnsi="Calibri" w:eastAsia="宋体"/>
          <w:b w:val="0"/>
          <w:i w:val="0"/>
          <w:sz w:val="21"/>
        </w:rPr>
        <w:t>：所有 DOI/PMID 经 PubMed E-utilities 记录比对；DOI 链接基于 PubMed 登记的官方 DOI 构造（doi.org 解析地址），未使用任何未经核验的引用。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3. </w:t>
      </w:r>
      <w:r>
        <w:rPr>
          <w:rFonts w:ascii="Calibri" w:hAnsi="Calibri" w:eastAsia="宋体"/>
          <w:b/>
          <w:i w:val="0"/>
          <w:sz w:val="21"/>
        </w:rPr>
        <w:t>局限性</w:t>
      </w:r>
      <w:r>
        <w:rPr>
          <w:rFonts w:ascii="Calibri" w:hAnsi="Calibri" w:eastAsia="宋体"/>
          <w:b w:val="0"/>
          <w:i w:val="0"/>
          <w:sz w:val="21"/>
        </w:rPr>
        <w:t>：本报告主要基于摘要、综述与领域共识性证据，未逐篇全文精读；文献检索截至 2026-08-02；对文献结论的转述以原文为准，若用于论文写作请核对原文表述。Go/No-Go 判据中的具体阈值（如 ≥2×、IC50 &lt;50 μM、≥30%）为建议值，应由课题组根据前期数据与文献基准（如 Aβ–Cu 的 Kd、已知 ROS 肽对照）最终确定。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i.org/10.1038/s41586-024-07487-w" TargetMode="External"/><Relationship Id="rId10" Type="http://schemas.openxmlformats.org/officeDocument/2006/relationships/hyperlink" Target="https://pubmed.ncbi.nlm.nih.gov/38718835/" TargetMode="External"/><Relationship Id="rId11" Type="http://schemas.openxmlformats.org/officeDocument/2006/relationships/hyperlink" Target="https://doi.org/10.1038/416535a" TargetMode="External"/><Relationship Id="rId12" Type="http://schemas.openxmlformats.org/officeDocument/2006/relationships/hyperlink" Target="https://pubmed.ncbi.nlm.nih.gov/11932745/" TargetMode="External"/><Relationship Id="rId13" Type="http://schemas.openxmlformats.org/officeDocument/2006/relationships/hyperlink" Target="https://doi.org/10.1038/ncomms7760" TargetMode="External"/><Relationship Id="rId14" Type="http://schemas.openxmlformats.org/officeDocument/2006/relationships/hyperlink" Target="https://pubmed.ncbi.nlm.nih.gov/25988319/" TargetMode="External"/><Relationship Id="rId15" Type="http://schemas.openxmlformats.org/officeDocument/2006/relationships/hyperlink" Target="https://doi.org/10.1016/S0896-6273(00" TargetMode="External"/><Relationship Id="rId16" Type="http://schemas.openxmlformats.org/officeDocument/2006/relationships/hyperlink" Target="https://pubmed.ncbi.nlm.nih.gov/8608006/" TargetMode="External"/><Relationship Id="rId17" Type="http://schemas.openxmlformats.org/officeDocument/2006/relationships/hyperlink" Target="https://doi.org/10.1074/jbc.M206428200" TargetMode="External"/><Relationship Id="rId18" Type="http://schemas.openxmlformats.org/officeDocument/2006/relationships/hyperlink" Target="https://pubmed.ncbi.nlm.nih.gov/12192006/" TargetMode="External"/><Relationship Id="rId19" Type="http://schemas.openxmlformats.org/officeDocument/2006/relationships/hyperlink" Target="https://doi.org/10.1074/jbc.M110.209296" TargetMode="External"/><Relationship Id="rId20" Type="http://schemas.openxmlformats.org/officeDocument/2006/relationships/hyperlink" Target="https://pubmed.ncbi.nlm.nih.gov/21372138/" TargetMode="External"/><Relationship Id="rId21" Type="http://schemas.openxmlformats.org/officeDocument/2006/relationships/hyperlink" Target="https://doi.org/10.1021/bi990438f" TargetMode="External"/><Relationship Id="rId22" Type="http://schemas.openxmlformats.org/officeDocument/2006/relationships/hyperlink" Target="https://pubmed.ncbi.nlm.nih.gov/10386999/" TargetMode="External"/><Relationship Id="rId23" Type="http://schemas.openxmlformats.org/officeDocument/2006/relationships/hyperlink" Target="https://doi.org/10.1038/nrn1537" TargetMode="External"/><Relationship Id="rId24" Type="http://schemas.openxmlformats.org/officeDocument/2006/relationships/hyperlink" Target="https://pubmed.ncbi.nlm.nih.gov/15496864/" TargetMode="External"/><Relationship Id="rId25" Type="http://schemas.openxmlformats.org/officeDocument/2006/relationships/hyperlink" Target="https://doi.org/10.1016/S1474-4422(14" TargetMode="External"/><Relationship Id="rId26" Type="http://schemas.openxmlformats.org/officeDocument/2006/relationships/hyperlink" Target="https://pubmed.ncbi.nlm.nih.gov/25231526/" TargetMode="External"/><Relationship Id="rId27" Type="http://schemas.openxmlformats.org/officeDocument/2006/relationships/hyperlink" Target="https://doi.org/10.1038/nrn2734" TargetMode="External"/><Relationship Id="rId28" Type="http://schemas.openxmlformats.org/officeDocument/2006/relationships/hyperlink" Target="https://pubmed.ncbi.nlm.nih.gov/19826435/" TargetMode="External"/><Relationship Id="rId29" Type="http://schemas.openxmlformats.org/officeDocument/2006/relationships/hyperlink" Target="https://doi.org/10.1038/nrn1035" TargetMode="External"/><Relationship Id="rId30" Type="http://schemas.openxmlformats.org/officeDocument/2006/relationships/hyperlink" Target="https://pubmed.ncbi.nlm.nih.gov/12563284/" TargetMode="External"/><Relationship Id="rId31" Type="http://schemas.openxmlformats.org/officeDocument/2006/relationships/hyperlink" Target="https://doi.org/10.1016/j.nbd.2014.08.025" TargetMode="External"/><Relationship Id="rId32" Type="http://schemas.openxmlformats.org/officeDocument/2006/relationships/hyperlink" Target="https://pubmed.ncbi.nlm.nih.gov/25173806/" TargetMode="External"/><Relationship Id="rId33" Type="http://schemas.openxmlformats.org/officeDocument/2006/relationships/hyperlink" Target="https://doi.org/10.1002/anie.200802019" TargetMode="External"/><Relationship Id="rId34" Type="http://schemas.openxmlformats.org/officeDocument/2006/relationships/hyperlink" Target="https://pubmed.ncbi.nlm.nih.gov/19173328/" TargetMode="External"/><Relationship Id="rId35" Type="http://schemas.openxmlformats.org/officeDocument/2006/relationships/hyperlink" Target="https://doi.org/10.1517/17460441.2015.1032936" TargetMode="External"/><Relationship Id="rId36" Type="http://schemas.openxmlformats.org/officeDocument/2006/relationships/hyperlink" Target="https://pubmed.ncbi.nlm.nih.gov/25835573/" TargetMode="External"/><Relationship Id="rId37" Type="http://schemas.openxmlformats.org/officeDocument/2006/relationships/hyperlink" Target="https://doi.org/10.1038/nature10821" TargetMode="External"/><Relationship Id="rId38" Type="http://schemas.openxmlformats.org/officeDocument/2006/relationships/hyperlink" Target="https://pubmed.ncbi.nlm.nih.gov/22278060/" TargetMode="External"/><Relationship Id="rId39" Type="http://schemas.openxmlformats.org/officeDocument/2006/relationships/hyperlink" Target="https://doi.org/10.1016/j.stem.2013.01.009" TargetMode="External"/><Relationship Id="rId40" Type="http://schemas.openxmlformats.org/officeDocument/2006/relationships/hyperlink" Target="https://pubmed.ncbi.nlm.nih.gov/23434393/" TargetMode="External"/><Relationship Id="rId41" Type="http://schemas.openxmlformats.org/officeDocument/2006/relationships/hyperlink" Target="https://doi.org/10.1074/jbc.274.52.37111" TargetMode="External"/><Relationship Id="rId42" Type="http://schemas.openxmlformats.org/officeDocument/2006/relationships/hyperlink" Target="https://pubmed.ncbi.nlm.nih.gov/10601271/" TargetMode="External"/><Relationship Id="rId43" Type="http://schemas.openxmlformats.org/officeDocument/2006/relationships/hyperlink" Target="https://doi.org/10.1016/S0891-5849(02" TargetMode="External"/><Relationship Id="rId44" Type="http://schemas.openxmlformats.org/officeDocument/2006/relationships/hyperlink" Target="https://pubmed.ncbi.nlm.nih.gov/12031889/" TargetMode="External"/><Relationship Id="rId45" Type="http://schemas.openxmlformats.org/officeDocument/2006/relationships/hyperlink" Target="https://doi.org/10.1073/pnas.90.5.1977" TargetMode="External"/><Relationship Id="rId46" Type="http://schemas.openxmlformats.org/officeDocument/2006/relationships/hyperlink" Target="https://pubmed.ncbi.nlm.nih.gov/8446617/" TargetMode="External"/><Relationship Id="rId47" Type="http://schemas.openxmlformats.org/officeDocument/2006/relationships/hyperlink" Target="https://doi.org/10.1016/j.biochi.2009.03.013" TargetMode="External"/><Relationship Id="rId48" Type="http://schemas.openxmlformats.org/officeDocument/2006/relationships/hyperlink" Target="https://pubmed.ncbi.nlm.nih.gov/19332103/" TargetMode="External"/><Relationship Id="rId49" Type="http://schemas.openxmlformats.org/officeDocument/2006/relationships/hyperlink" Target="https://doi.org/10.1016/j.neuint.2012.08.014" TargetMode="External"/><Relationship Id="rId50" Type="http://schemas.openxmlformats.org/officeDocument/2006/relationships/hyperlink" Target="https://pubmed.ncbi.nlm.nih.gov/22982299/" TargetMode="External"/><Relationship Id="rId51" Type="http://schemas.openxmlformats.org/officeDocument/2006/relationships/hyperlink" Target="https://doi.org/10.1016/j.redox.2017.10.014" TargetMode="External"/><Relationship Id="rId52" Type="http://schemas.openxmlformats.org/officeDocument/2006/relationships/hyperlink" Target="https://pubmed.ncbi.nlm.nih.gov/29080524/" TargetMode="External"/><Relationship Id="rId53" Type="http://schemas.openxmlformats.org/officeDocument/2006/relationships/hyperlink" Target="https://doi.org/10.1016/j.neuron.2018.08.011" TargetMode="External"/><Relationship Id="rId54" Type="http://schemas.openxmlformats.org/officeDocument/2006/relationships/hyperlink" Target="https://pubmed.ncbi.nlm.nih.gov/30236283/" TargetMode="External"/><Relationship Id="rId55" Type="http://schemas.openxmlformats.org/officeDocument/2006/relationships/hyperlink" Target="https://doi.org/10.1006/jmbi.1997.1245" TargetMode="External"/><Relationship Id="rId56" Type="http://schemas.openxmlformats.org/officeDocument/2006/relationships/hyperlink" Target="https://pubmed.ncbi.nlm.nih.gov/932509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AChE/AD 相关候选肽后续机制研究——文献证据基础与实施方案</dc:title>
  <dc:subject>Cu/Fe-ROS-脂质过氧化-神经毒性；Aβ/tau/ApoE4/ferritin/transferrin 定位；计算结构生物学方法学；12 肽 Go/No-Go 方案</dc:subject>
  <dc:creator>Auto-Empirical-Research-Skills (AERS)</dc:creator>
  <cp:keywords>AChE, PAS, Aβ42, tau, ApoE4, ferritin, transferrin, Cu, Fe, Zn, ROS, AlphaFold3, MD, MM/GBSA, QM/MM, iPSC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