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宋体"/>
          <w:b w:val="0"/>
          <w:i w:val="0"/>
          <w:sz w:val="34"/>
        </w:rPr>
        <w:t>AChE/AD 相关候选肽后续机制研究——理论计算文献证据与实施方案</w:t>
      </w:r>
    </w:p>
    <w:p>
      <w:r>
        <w:rPr>
          <w:rFonts w:ascii="Calibri" w:hAnsi="Calibri" w:eastAsia="宋体"/>
          <w:b/>
          <w:i w:val="0"/>
          <w:sz w:val="21"/>
        </w:rPr>
        <w:t>（基于 Auto-Empirical-Research-Skills 文献综述流程；检索与核验截至 2026-08-02；本版仅含理论计算，不含实验验证章节）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核验声明</w:t>
      </w:r>
      <w:r>
        <w:rPr>
          <w:rFonts w:ascii="Calibri" w:hAnsi="Calibri" w:eastAsia="宋体"/>
          <w:b w:val="0"/>
          <w:i w:val="0"/>
          <w:sz w:val="21"/>
        </w:rPr>
        <w:t>：本报告中全部文献均通过 PubMed E-utilities（esearch/esummary/efetch）逐条核验标题、期刊、年份、卷期页码、DOI 与 PMID。链接均为可访问的 PubMed / doi.org 地址。</w:t>
      </w:r>
      <w:r>
        <w:rPr>
          <w:rFonts w:ascii="Calibri" w:hAnsi="Calibri" w:eastAsia="宋体"/>
          <w:b/>
          <w:i w:val="0"/>
          <w:sz w:val="21"/>
        </w:rPr>
        <w:t>未经核验的文献一律未列入。</w:t>
      </w:r>
    </w:p>
    <w:p>
      <w:r>
        <w:rPr>
          <w:rFonts w:ascii="Calibri" w:hAnsi="Calibri" w:eastAsia="宋体"/>
          <w:b w:val="0"/>
          <w:i w:val="0"/>
          <w:sz w:val="21"/>
        </w:rPr>
        <w:t>&gt;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版本说明（相对上一版）</w:t>
      </w:r>
      <w:r>
        <w:rPr>
          <w:rFonts w:ascii="Calibri" w:hAnsi="Calibri" w:eastAsia="宋体"/>
          <w:b w:val="0"/>
          <w:i w:val="0"/>
          <w:sz w:val="21"/>
        </w:rPr>
        <w:t>：① 按课题组现状，</w:t>
      </w:r>
      <w:r>
        <w:rPr>
          <w:rFonts w:ascii="Calibri" w:hAnsi="Calibri" w:eastAsia="宋体"/>
          <w:b/>
          <w:i w:val="0"/>
          <w:sz w:val="21"/>
        </w:rPr>
        <w:t>全文仅保留理论计算内容</w:t>
      </w:r>
      <w:r>
        <w:rPr>
          <w:rFonts w:ascii="Calibri" w:hAnsi="Calibri" w:eastAsia="宋体"/>
          <w:b w:val="0"/>
          <w:i w:val="0"/>
          <w:sz w:val="21"/>
        </w:rPr>
        <w:t>，删除原因果验证实验路线、细胞/iPSC 实验、Stage 1–4 实验 Go/No-Go 等全部实验章节；② 新增对 Wang 等（</w:t>
      </w:r>
      <w:r>
        <w:rPr>
          <w:rFonts w:ascii="Calibri" w:hAnsi="Calibri" w:eastAsia="宋体"/>
          <w:b w:val="0"/>
          <w:i/>
          <w:sz w:val="21"/>
        </w:rPr>
        <w:t>ACS Chem Neurosci</w:t>
      </w:r>
      <w:r>
        <w:rPr>
          <w:rFonts w:ascii="Calibri" w:hAnsi="Calibri" w:eastAsia="宋体"/>
          <w:b w:val="0"/>
          <w:i w:val="0"/>
          <w:sz w:val="21"/>
        </w:rPr>
        <w:t>, 2024）的文献适用性裁决——</w:t>
      </w:r>
      <w:r>
        <w:rPr>
          <w:rFonts w:ascii="Calibri" w:hAnsi="Calibri" w:eastAsia="宋体"/>
          <w:b/>
          <w:i w:val="0"/>
          <w:sz w:val="21"/>
        </w:rPr>
        <w:t>该文不能作为“毒性肽”主证据</w:t>
      </w:r>
      <w:r>
        <w:rPr>
          <w:rFonts w:ascii="Calibri" w:hAnsi="Calibri" w:eastAsia="宋体"/>
          <w:b w:val="0"/>
          <w:i w:val="0"/>
          <w:sz w:val="21"/>
        </w:rPr>
        <w:t>；③ 原方案 4.1–4.3（计算部分）全文保留，4.4（实验验证）仅作边界说明、不展开。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0 任务与范围</w:t>
      </w:r>
    </w:p>
    <w:p>
      <w:r>
        <w:rPr>
          <w:rFonts w:ascii="Calibri" w:hAnsi="Calibri" w:eastAsia="宋体"/>
          <w:b w:val="0"/>
          <w:i w:val="0"/>
          <w:sz w:val="21"/>
        </w:rPr>
        <w:t>本研究服务于“12 条候选肽与 AChE 外周阴离子位点（PAS）致病靶点对接、并准备分子动力学（MD）”之后续</w:t>
      </w:r>
      <w:r>
        <w:rPr>
          <w:rFonts w:ascii="Calibri" w:hAnsi="Calibri" w:eastAsia="宋体"/>
          <w:b/>
          <w:i w:val="0"/>
          <w:sz w:val="21"/>
        </w:rPr>
        <w:t>理论计算</w:t>
      </w:r>
      <w:r>
        <w:rPr>
          <w:rFonts w:ascii="Calibri" w:hAnsi="Calibri" w:eastAsia="宋体"/>
          <w:b w:val="0"/>
          <w:i w:val="0"/>
          <w:sz w:val="21"/>
        </w:rPr>
        <w:t>机制研究。现有工作仅覆盖对接与 MD 准备。本报告范围严格限定为：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原方案 4.1–4.3 保留</w:t>
      </w:r>
      <w:r>
        <w:rPr>
          <w:rFonts w:ascii="Calibri" w:hAnsi="Calibri" w:eastAsia="宋体"/>
          <w:b w:val="0"/>
          <w:i w:val="0"/>
          <w:sz w:val="21"/>
        </w:rPr>
        <w:t>（AF3/多构象、靶点结构分析、金属离子与量化计算）；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Aβ42、tau、ApoE4、ferritin/transferrin 在计算层面的合理定位与边界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AlphaFold 3、多构象采样、MD、MM/GBSA、QM/MM/DFT 的正确使用方式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12 条肽的计算筛选漏斗与计算侧 Go/No-Go</w:t>
      </w:r>
      <w:r>
        <w:rPr>
          <w:rFonts w:ascii="Calibri" w:hAnsi="Calibri" w:eastAsia="宋体"/>
          <w:b w:val="0"/>
          <w:i w:val="0"/>
          <w:sz w:val="21"/>
        </w:rPr>
        <w:t>（不含合成/细胞/体内）；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5. </w:t>
      </w:r>
      <w:r>
        <w:rPr>
          <w:rFonts w:ascii="Calibri" w:hAnsi="Calibri" w:eastAsia="宋体"/>
          <w:b/>
          <w:i w:val="0"/>
          <w:sz w:val="21"/>
        </w:rPr>
        <w:t>对 Wang 等 2024（</w:t>
      </w:r>
      <w:r>
        <w:rPr>
          <w:rFonts w:ascii="Calibri" w:hAnsi="Calibri" w:eastAsia="宋体"/>
          <w:b/>
          <w:i/>
          <w:sz w:val="21"/>
        </w:rPr>
        <w:t>ACS Chem Neurosci</w:t>
      </w:r>
      <w:r>
        <w:rPr>
          <w:rFonts w:ascii="Calibri" w:hAnsi="Calibri" w:eastAsia="宋体"/>
          <w:b/>
          <w:i w:val="0"/>
          <w:sz w:val="21"/>
        </w:rPr>
        <w:t>）能否作为“毒性肽”依据的明确裁决</w:t>
      </w:r>
      <w:r>
        <w:rPr>
          <w:rFonts w:ascii="Calibri" w:hAnsi="Calibri" w:eastAsia="宋体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6. </w:t>
      </w:r>
      <w:r>
        <w:rPr>
          <w:rFonts w:ascii="Calibri" w:hAnsi="Calibri" w:eastAsia="宋体"/>
          <w:b/>
          <w:i w:val="0"/>
          <w:sz w:val="21"/>
        </w:rPr>
        <w:t>两项关键科学纠偏（计算表述层面）</w:t>
      </w:r>
      <w:r>
        <w:rPr>
          <w:rFonts w:ascii="Calibri" w:hAnsi="Calibri" w:eastAsia="宋体"/>
          <w:b w:val="0"/>
          <w:i w:val="0"/>
          <w:sz w:val="21"/>
        </w:rPr>
        <w:t>：Zn²⁺ 不能与 Cu/Fe 等同视为 Fenton 型 ROS 金属；ferritin/transferrin 优先作为铁稳态功能节点而非未经验证的“直接致病结合靶点”。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明确不在本版范围内</w:t>
      </w:r>
      <w:r>
        <w:rPr>
          <w:rFonts w:ascii="Calibri" w:hAnsi="Calibri" w:eastAsia="宋体"/>
          <w:b w:val="0"/>
          <w:i w:val="0"/>
          <w:sz w:val="21"/>
        </w:rPr>
        <w:t>：金属结合实验、ROS/脂质过氧化测定、酶活、聚集实验、细胞毒性、iPSC 与体内验证。原方案 4.4 的因果标准（“只有当候选肽在金属存在下引起 ROS/脂质过氧化增加并伴随神经损伤时，才支持金属相关促氧化神经毒性”）仍作为</w:t>
      </w:r>
      <w:r>
        <w:rPr>
          <w:rFonts w:ascii="Calibri" w:hAnsi="Calibri" w:eastAsia="宋体"/>
          <w:b/>
          <w:i w:val="0"/>
          <w:sz w:val="21"/>
        </w:rPr>
        <w:t>未来实验裁决原则</w:t>
      </w:r>
      <w:r>
        <w:rPr>
          <w:rFonts w:ascii="Calibri" w:hAnsi="Calibri" w:eastAsia="宋体"/>
          <w:b w:val="0"/>
          <w:i w:val="0"/>
          <w:sz w:val="21"/>
        </w:rPr>
        <w:t>写在边界处，但本版不展开任何实验设计。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 保留原文：后续机制研究方案（4.1–4.3 计算部分；4.4 仅边界）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以下为课题组原有方案。4.1–4.3 全文保留并作为本版实施主体；4.4 因本课题现阶段“只有理论计算”而不展开，仅保留原文作为未来边界。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4.1 AlphaFold3/多构象肽结构预测</w:t>
      </w:r>
    </w:p>
    <w:p>
      <w:r>
        <w:rPr>
          <w:rFonts w:ascii="Calibri" w:hAnsi="Calibri" w:eastAsia="宋体"/>
          <w:b w:val="0"/>
          <w:i w:val="0"/>
          <w:sz w:val="21"/>
        </w:rPr>
        <w:t>在后续研究中，将对最终候选短肽和长肽进行结构预测。对于短肽，尤其是 7–15 aa 序列，将生成多个可能构象而不依赖单一静态结构。AlphaFold3 可用于候选肽及其与蛋白质、金属离子或其他生物分子复合物的结构建模。由于短肽具有较高构象柔性，预测结果将通过多构象采样、结构置信度和后续分子动力学进行评估。AlphaFold3 的复合物预测框架可作为后续候选结构建模的参考，但不能替代实验结构测定。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4.2 后续AChE及AD相关靶点分析</w:t>
      </w:r>
    </w:p>
    <w:p>
      <w:r>
        <w:rPr>
          <w:rFonts w:ascii="Calibri" w:hAnsi="Calibri" w:eastAsia="宋体"/>
          <w:b w:val="0"/>
          <w:i w:val="0"/>
          <w:sz w:val="21"/>
        </w:rPr>
        <w:t>后续将对候选肽与 AChE、BChE、Aβ42、tau、ApoE4、ferritin 和 transferrin 的相互作用进行结构分析。AChE 重点考察 CAS、PAS 及 AChE–Aβ 相互作用区域。Aβ 和 tau 相关分析用于评估候选肽对 AD 病理蛋白聚集或构象稳定性的潜在影响。ferritin 和 transferrin 相关分析用于探讨候选肽与铁稳态相关蛋白之间的潜在相互作用。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4.3 后续金属离子和量化计算</w:t>
      </w:r>
    </w:p>
    <w:p>
      <w:r>
        <w:rPr>
          <w:rFonts w:ascii="Calibri" w:hAnsi="Calibri" w:eastAsia="宋体"/>
          <w:b w:val="0"/>
          <w:i w:val="0"/>
          <w:sz w:val="21"/>
        </w:rPr>
        <w:t>后续将重点考察 Cu²⁺、Fe²⁺/Fe³⁺ 和 Zn²⁺。分子对接和结构建模用于筛选潜在配位构象；分子动力学用于分析金属–配位残基距离、配位数和配位稳定性；MM/GBSA 或 MM/PBSA 用于进行相对结合自由能比较。对于稳定的金属配位体系，将进一步采用 QM/MM 或 DFT 分析配位几何、配位能、电荷分布及潜在电子转移特征。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4.4 后续实验验证（本版不展开，仅保留原文作边界）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后续实验将包括金属结合、Cu/Fe 依赖性 ROS、脂质过氧化、AChE/BChE 酶活、Aβ 聚集和神经细胞毒性评价。计算筛选结果仅用于候选优先级排序；只有当候选肽在金属存在条件下引起 ROS 或脂质过氧化增加，并伴随神经细胞损伤时，才能进一步支持其金属相关促氧化神经毒性作用。</w:t>
      </w:r>
    </w:p>
    <w:p>
      <w:r>
        <w:rPr>
          <w:rFonts w:ascii="Calibri" w:hAnsi="Calibri" w:eastAsia="宋体"/>
          <w:b w:val="0"/>
          <w:i w:val="0"/>
          <w:sz w:val="21"/>
        </w:rPr>
        <w:t>&gt;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本版裁决</w:t>
      </w:r>
      <w:r>
        <w:rPr>
          <w:rFonts w:ascii="Calibri" w:hAnsi="Calibri" w:eastAsia="宋体"/>
          <w:b w:val="0"/>
          <w:i w:val="0"/>
          <w:sz w:val="21"/>
        </w:rPr>
        <w:t>：当前交付物与工作流止于计算优先级排序；任何“毒性肽 / 促氧化神经毒性”的因果结论</w:t>
      </w:r>
      <w:r>
        <w:rPr>
          <w:rFonts w:ascii="Calibri" w:hAnsi="Calibri" w:eastAsia="宋体"/>
          <w:b/>
          <w:i w:val="0"/>
          <w:sz w:val="21"/>
        </w:rPr>
        <w:t>不得</w:t>
      </w:r>
      <w:r>
        <w:rPr>
          <w:rFonts w:ascii="Calibri" w:hAnsi="Calibri" w:eastAsia="宋体"/>
          <w:b w:val="0"/>
          <w:i w:val="0"/>
          <w:sz w:val="21"/>
        </w:rPr>
        <w:t>仅由对接、MD、MM/GBSA 或 QM/MM 得出。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2 文献裁决：Wang 等 2024（</w:t>
      </w:r>
      <w:r>
        <w:rPr>
          <w:rFonts w:ascii="Calibri" w:hAnsi="Calibri" w:eastAsia="宋体"/>
          <w:b w:val="0"/>
          <w:i/>
          <w:sz w:val="28"/>
        </w:rPr>
        <w:t>ACS Chem Neurosci</w:t>
      </w:r>
      <w:r>
        <w:rPr>
          <w:rFonts w:ascii="Calibri" w:hAnsi="Calibri" w:eastAsia="宋体"/>
          <w:b w:val="0"/>
          <w:i w:val="0"/>
          <w:sz w:val="28"/>
        </w:rPr>
        <w:t>）能否作为“毒性肽”依据？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2.1 文献身份（已核验）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Wang D, Wang G, Wang X, Ren Z, Jia C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标题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Native Mass Spectrometry-Centric Approaches Revealed That Neuropeptides Frequently Interact with Amyloid-β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ACS Chemical Neuroscience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2024; 15(15):2719-2728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10.1021/acschemneuro.4c00075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39066700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通讯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Jia C / Ren Z（国家蛋白质科学中心·北京 / 安徽医科大学）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2.2 该文实际证明了什么</w:t>
      </w:r>
    </w:p>
    <w:p>
      <w:r>
        <w:rPr>
          <w:rFonts w:ascii="Calibri" w:hAnsi="Calibri" w:eastAsia="宋体"/>
          <w:b w:val="0"/>
          <w:i w:val="0"/>
          <w:sz w:val="21"/>
        </w:rPr>
        <w:t>按 PubMed 摘要与公开报道可核验的结论：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互作普遍性（主结论）</w:t>
      </w:r>
      <w:r>
        <w:rPr>
          <w:rFonts w:ascii="Calibri" w:hAnsi="Calibri" w:eastAsia="宋体"/>
          <w:b w:val="0"/>
          <w:i w:val="0"/>
          <w:sz w:val="21"/>
        </w:rPr>
        <w:t>：12 条神经肽中 6 条（leptin、kisspeptin、cerebellin、bradykinin、SHLP2、substance P）在非变性质谱气相中与 Aβ 形成非共价异二聚体——支持“神经肽–Aβ 互作并不罕见”。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聚集方向双向</w:t>
      </w:r>
      <w:r>
        <w:rPr>
          <w:rFonts w:ascii="Calibri" w:hAnsi="Calibri" w:eastAsia="宋体"/>
          <w:b w:val="0"/>
          <w:i w:val="0"/>
          <w:sz w:val="21"/>
        </w:rPr>
        <w:t xml:space="preserve">：ThT/凝胶显示 kisspeptin </w:t>
      </w:r>
      <w:r>
        <w:rPr>
          <w:rFonts w:ascii="Calibri" w:hAnsi="Calibri" w:eastAsia="宋体"/>
          <w:b/>
          <w:i w:val="0"/>
          <w:sz w:val="21"/>
        </w:rPr>
        <w:t>加速</w:t>
      </w:r>
      <w:r>
        <w:rPr>
          <w:rFonts w:ascii="Calibri" w:hAnsi="Calibri" w:eastAsia="宋体"/>
          <w:b w:val="0"/>
          <w:i w:val="0"/>
          <w:sz w:val="21"/>
        </w:rPr>
        <w:t xml:space="preserve"> Aβ 聚集；leptin、cerebellin </w:t>
      </w:r>
      <w:r>
        <w:rPr>
          <w:rFonts w:ascii="Calibri" w:hAnsi="Calibri" w:eastAsia="宋体"/>
          <w:b/>
          <w:i w:val="0"/>
          <w:sz w:val="21"/>
        </w:rPr>
        <w:t>抑制</w:t>
      </w:r>
      <w:r>
        <w:rPr>
          <w:rFonts w:ascii="Calibri" w:hAnsi="Calibri" w:eastAsia="宋体"/>
          <w:b w:val="0"/>
          <w:i w:val="0"/>
          <w:sz w:val="21"/>
        </w:rPr>
        <w:t xml:space="preserve"> Aβ 聚集。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细胞毒性方向以保护为主</w:t>
      </w:r>
      <w:r>
        <w:rPr>
          <w:rFonts w:ascii="Calibri" w:hAnsi="Calibri" w:eastAsia="宋体"/>
          <w:b w:val="0"/>
          <w:i w:val="0"/>
          <w:sz w:val="21"/>
        </w:rPr>
        <w:t>：leptin、cerebellin 减弱 Aβ 诱导的细胞毒性；leptin 可通过</w:t>
      </w:r>
      <w:r>
        <w:rPr>
          <w:rFonts w:ascii="Calibri" w:hAnsi="Calibri" w:eastAsia="宋体"/>
          <w:b/>
          <w:i w:val="0"/>
          <w:sz w:val="21"/>
        </w:rPr>
        <w:t>螯合 Cu(II)</w:t>
      </w:r>
      <w:r>
        <w:rPr>
          <w:rFonts w:ascii="Calibri" w:hAnsi="Calibri" w:eastAsia="宋体"/>
          <w:b w:val="0"/>
          <w:i w:val="0"/>
          <w:sz w:val="21"/>
        </w:rPr>
        <w:t xml:space="preserve"> 从 Cu–Aβ 中夺铜，从而减弱 Cu 相关毒性。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计算仅为辅助</w:t>
      </w:r>
      <w:r>
        <w:rPr>
          <w:rFonts w:ascii="Calibri" w:hAnsi="Calibri" w:eastAsia="宋体"/>
          <w:b w:val="0"/>
          <w:i w:val="0"/>
          <w:sz w:val="21"/>
        </w:rPr>
        <w:t>：作者用 HDOCK 对接推测 leptin/kisspeptin/cerebellin 与 Aβ 的界面残基（如 leptin 的 Cys2/His3/Tyr6 等），属于</w:t>
      </w:r>
      <w:r>
        <w:rPr>
          <w:rFonts w:ascii="Calibri" w:hAnsi="Calibri" w:eastAsia="宋体"/>
          <w:b/>
          <w:i w:val="0"/>
          <w:sz w:val="21"/>
        </w:rPr>
        <w:t>假设生成</w:t>
      </w:r>
      <w:r>
        <w:rPr>
          <w:rFonts w:ascii="Calibri" w:hAnsi="Calibri" w:eastAsia="宋体"/>
          <w:b w:val="0"/>
          <w:i w:val="0"/>
          <w:sz w:val="21"/>
        </w:rPr>
        <w:t>，并非毒性机制的独立证明。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2.3 明确裁决：</w:t>
      </w:r>
      <w:r>
        <w:rPr>
          <w:rFonts w:ascii="Calibri" w:hAnsi="Calibri" w:eastAsia="宋体"/>
          <w:b/>
          <w:i w:val="0"/>
          <w:sz w:val="25"/>
        </w:rPr>
        <w:t>不能作为“毒性肽”主依据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问题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裁决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理由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能否证明“神经肽/候选肽本身是毒性肽”？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否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文中阳性功能读出主要是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抑制聚集 + 降低细胞毒性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（leptin、cerebellin）；主体叙事是保护/抑制剂，不是毒性肽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能否证明“肽–Aβ 互作普遍存在”？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是（有限）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6/12 在 native MS 下形成复合物，可作为“短肽与 Aβ 结合并非个例”的旁证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能否证明“肽可双向调节 Aβ 聚集”？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是（旁证）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kisspeptin 促聚集、leptin/cerebellin 抑聚集；说明互作≠毒性，方向必须单独判定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能否证明“Cu 螯合可减轻 Cu–Aβ 毒性”？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是（机制旁证）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leptin 的 Cu 螯合叙事与本课题 Cu 矩阵相关，但指向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保护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，与“毒性肽”相反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对接（HDOCK）能否独立支持毒性？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否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对接只给界面假说；该文自身也用实验（ThT、凝胶、MTT、Cu 滴定）裁决功能方向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对本课题 12 条候选肽的直接外推？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否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序列、长度、来源均不同；不得把 leptin 等神经肽结论迁移为候选肽的毒性标签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一句话结论</w:t>
      </w:r>
      <w:r>
        <w:rPr>
          <w:rFonts w:ascii="Calibri" w:hAnsi="Calibri" w:eastAsia="宋体"/>
          <w:b w:val="0"/>
          <w:i w:val="0"/>
          <w:sz w:val="21"/>
        </w:rPr>
        <w:t>：Wang 2024 是“</w:t>
      </w:r>
      <w:r>
        <w:rPr>
          <w:rFonts w:ascii="Calibri" w:hAnsi="Calibri" w:eastAsia="宋体"/>
          <w:b/>
          <w:i w:val="0"/>
          <w:sz w:val="21"/>
        </w:rPr>
        <w:t>神经肽–Aβ 互作 + 聚集调节（双向）+ 部分保护/Cu 螯合</w:t>
      </w:r>
      <w:r>
        <w:rPr>
          <w:rFonts w:ascii="Calibri" w:hAnsi="Calibri" w:eastAsia="宋体"/>
          <w:b w:val="0"/>
          <w:i w:val="0"/>
          <w:sz w:val="21"/>
        </w:rPr>
        <w:t>”的证据，</w:t>
      </w:r>
      <w:r>
        <w:rPr>
          <w:rFonts w:ascii="Calibri" w:hAnsi="Calibri" w:eastAsia="宋体"/>
          <w:b/>
          <w:i w:val="0"/>
          <w:sz w:val="21"/>
        </w:rPr>
        <w:t>不是</w:t>
      </w:r>
      <w:r>
        <w:rPr>
          <w:rFonts w:ascii="Calibri" w:hAnsi="Calibri" w:eastAsia="宋体"/>
          <w:b w:val="0"/>
          <w:i w:val="0"/>
          <w:sz w:val="21"/>
        </w:rPr>
        <w:t xml:space="preserve">“毒性肽”证据。若课题组需要支撑“候选肽具金属相关促氧化神经毒性”，必须回到 Cu/Fe–Aβ 氧化还原与 H₂O₂ 文献（Huang 1999 </w:t>
      </w:r>
      <w:r>
        <w:rPr>
          <w:rFonts w:ascii="Calibri" w:hAnsi="Calibri" w:eastAsia="宋体"/>
          <w:b w:val="0"/>
          <w:i/>
          <w:sz w:val="21"/>
        </w:rPr>
        <w:t>Biochemistry</w:t>
      </w:r>
      <w:r>
        <w:rPr>
          <w:rFonts w:ascii="Calibri" w:hAnsi="Calibri" w:eastAsia="宋体"/>
          <w:b w:val="0"/>
          <w:i w:val="0"/>
          <w:sz w:val="21"/>
        </w:rPr>
        <w:t xml:space="preserve">；Opazo 2002 </w:t>
      </w:r>
      <w:r>
        <w:rPr>
          <w:rFonts w:ascii="Calibri" w:hAnsi="Calibri" w:eastAsia="宋体"/>
          <w:b w:val="0"/>
          <w:i/>
          <w:sz w:val="21"/>
        </w:rPr>
        <w:t>JBC</w:t>
      </w:r>
      <w:r>
        <w:rPr>
          <w:rFonts w:ascii="Calibri" w:hAnsi="Calibri" w:eastAsia="宋体"/>
          <w:b w:val="0"/>
          <w:i w:val="0"/>
          <w:sz w:val="21"/>
        </w:rPr>
        <w:t xml:space="preserve">；Cheignon 2018 </w:t>
      </w:r>
      <w:r>
        <w:rPr>
          <w:rFonts w:ascii="Calibri" w:hAnsi="Calibri" w:eastAsia="宋体"/>
          <w:b w:val="0"/>
          <w:i/>
          <w:sz w:val="21"/>
        </w:rPr>
        <w:t>Redox Biol</w:t>
      </w:r>
      <w:r>
        <w:rPr>
          <w:rFonts w:ascii="Calibri" w:hAnsi="Calibri" w:eastAsia="宋体"/>
          <w:b w:val="0"/>
          <w:i w:val="0"/>
          <w:sz w:val="21"/>
        </w:rPr>
        <w:t xml:space="preserve"> 等），且最终仍需实验因果链——</w:t>
      </w:r>
      <w:r>
        <w:rPr>
          <w:rFonts w:ascii="Calibri" w:hAnsi="Calibri" w:eastAsia="宋体"/>
          <w:b/>
          <w:i w:val="0"/>
          <w:sz w:val="21"/>
        </w:rPr>
        <w:t>这些均超出本版“仅理论计算”范围，此处只标明文献指向，不展开实验。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2.4 该文对本课题</w:t>
      </w:r>
      <w:r>
        <w:rPr>
          <w:rFonts w:ascii="Calibri" w:hAnsi="Calibri" w:eastAsia="宋体"/>
          <w:b/>
          <w:i w:val="0"/>
          <w:sz w:val="25"/>
        </w:rPr>
        <w:t>计算工作</w:t>
      </w:r>
      <w:r>
        <w:rPr>
          <w:rFonts w:ascii="Calibri" w:hAnsi="Calibri" w:eastAsia="宋体"/>
          <w:b w:val="0"/>
          <w:i w:val="0"/>
          <w:sz w:val="25"/>
        </w:rPr>
        <w:t>的可用之处（有限采纳）</w:t>
      </w:r>
    </w:p>
    <w:p>
      <w:r>
        <w:rPr>
          <w:rFonts w:ascii="Calibri" w:hAnsi="Calibri" w:eastAsia="宋体"/>
          <w:b w:val="0"/>
          <w:i w:val="0"/>
          <w:sz w:val="21"/>
        </w:rPr>
        <w:t>在剔除“毒性肽”误用后，该文对计算侧仍有三点可借鉴：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假设生成模板</w:t>
      </w:r>
      <w:r>
        <w:rPr>
          <w:rFonts w:ascii="Calibri" w:hAnsi="Calibri" w:eastAsia="宋体"/>
          <w:b w:val="0"/>
          <w:i w:val="0"/>
          <w:sz w:val="21"/>
        </w:rPr>
        <w:t>：肽–Aβ 对接应报告界面残基、接触距离阈值（文中 &lt;4 Å）、多模型排序，而不是单一最优构象当结论；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功能方向不可由对接推断</w:t>
      </w:r>
      <w:r>
        <w:rPr>
          <w:rFonts w:ascii="Calibri" w:hAnsi="Calibri" w:eastAsia="宋体"/>
          <w:b w:val="0"/>
          <w:i w:val="0"/>
          <w:sz w:val="21"/>
        </w:rPr>
        <w:t>：同一套“能结合”的肽，既可促聚集也可抑聚集——计算打分高≠毒性，也不=保护；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金属维度要单独建模</w:t>
      </w:r>
      <w:r>
        <w:rPr>
          <w:rFonts w:ascii="Calibri" w:hAnsi="Calibri" w:eastAsia="宋体"/>
          <w:b w:val="0"/>
          <w:i w:val="0"/>
          <w:sz w:val="21"/>
        </w:rPr>
        <w:t xml:space="preserve">：若讨论 Cu，应构建肽–Cu、Aβ–Cu、肽–Cu–Aβ 竞争/夺铜模型，而不是只做无金属对接；leptin 的“夺铜”叙事提醒：计算上要比较 </w:t>
      </w:r>
      <w:r>
        <w:rPr>
          <w:rFonts w:ascii="Calibri" w:hAnsi="Calibri" w:eastAsia="宋体"/>
          <w:b/>
          <w:i w:val="0"/>
          <w:sz w:val="21"/>
        </w:rPr>
        <w:t>肽对 Cu 的配位能力 vs Aβ 对 Cu 的配位能力</w:t>
      </w:r>
      <w:r>
        <w:rPr>
          <w:rFonts w:ascii="Calibri" w:hAnsi="Calibri" w:eastAsia="宋体"/>
          <w:b w:val="0"/>
          <w:i w:val="0"/>
          <w:sz w:val="21"/>
        </w:rPr>
        <w:t>（QM/MM 或金属专用 MD），否则无法讨论螯合假说。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引用规范建议</w:t>
      </w:r>
      <w:r>
        <w:rPr>
          <w:rFonts w:ascii="Calibri" w:hAnsi="Calibri" w:eastAsia="宋体"/>
          <w:b w:val="0"/>
          <w:i w:val="0"/>
          <w:sz w:val="21"/>
        </w:rPr>
        <w:t>：若在计算报告/论文中引用 Wang 2024，建议表述为“支持神经肽与 Aβ 非共价互作的高频性，并提示聚集调节方向需实验判定”；</w:t>
      </w:r>
      <w:r>
        <w:rPr>
          <w:rFonts w:ascii="Calibri" w:hAnsi="Calibri" w:eastAsia="宋体"/>
          <w:b/>
          <w:i w:val="0"/>
          <w:sz w:val="21"/>
        </w:rPr>
        <w:t>禁止</w:t>
      </w:r>
      <w:r>
        <w:rPr>
          <w:rFonts w:ascii="Calibri" w:hAnsi="Calibri" w:eastAsia="宋体"/>
          <w:b w:val="0"/>
          <w:i w:val="0"/>
          <w:sz w:val="21"/>
        </w:rPr>
        <w:t>表述为“证明了毒性肽机制”或“可作为候选肽神经毒性的文献依据”。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3 计算靶点定位：AChE/BChE、Aβ42、tau、ApoE4、ferritin/transferrin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3.1 各靶点在</w:t>
      </w:r>
      <w:r>
        <w:rPr>
          <w:rFonts w:ascii="Calibri" w:hAnsi="Calibri" w:eastAsia="宋体"/>
          <w:b/>
          <w:i w:val="0"/>
          <w:sz w:val="25"/>
        </w:rPr>
        <w:t>理论计算</w:t>
      </w:r>
      <w:r>
        <w:rPr>
          <w:rFonts w:ascii="Calibri" w:hAnsi="Calibri" w:eastAsia="宋体"/>
          <w:b w:val="0"/>
          <w:i w:val="0"/>
          <w:sz w:val="25"/>
        </w:rPr>
        <w:t>中的定位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靶点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计算定位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可做的计算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不可做的断言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核心文献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AChE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主靶点（已有 PAS 对接）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CAS/PAS/ gorge 结合模式；Trp286、Tyr72、Tyr124、Asp74 等接触；与 Aβ 共结合区的空间关系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不得由对接直接断言“致病”或“毒性”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[C4][C11][S10]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BChE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主靶点（选择性对照）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与 AChE 的选择性比较（相对 MM/GBSA）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不得外推临床胆碱酯酶疗效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[C11]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Aβ42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主病理相关蛋白（计算）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肽–Aβ 单体/寡聚界面；金属–Aβ–肽三元模型；聚集相关构象（有限）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不得由对接断言促/抑聚集或神经毒性（Wang 2024 已证明方向可相反）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[C2][C7][N1]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tau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探索性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肽–tau 片段对接/MD；仅作假设生成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无结合稳定性证据前不做播种/病理断言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[C6]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ApoE4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探索性（异构体对照）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ApoE3 vs E4 的差异界面；脂化状态需声明模型简化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不得由单次对接解释遗传风险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[C12][S5]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ferritin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铁稳态功能节点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（非直接致病结合靶点）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表面口袋/铁释放相关区域的探索性对接；假设生成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禁止写成与 AChE/Aβ 并列的“致病结合靶点”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[C3][C8][C9]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transferrin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铁稳态功能节点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Tf/TfR1 相关界面的探索性建模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同上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[C8][C9]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3.2 对原方案 4.2 的计算侧修订建议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主计算靶点</w:t>
      </w:r>
      <w:r>
        <w:rPr>
          <w:rFonts w:ascii="Calibri" w:hAnsi="Calibri" w:eastAsia="宋体"/>
          <w:b w:val="0"/>
          <w:i w:val="0"/>
          <w:sz w:val="21"/>
        </w:rPr>
        <w:t>：AChE/BChE（PAS/CAS + 选择性）、Aβ42（±Cu/Fe 金属矩阵）。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功能节点（降级）</w:t>
      </w:r>
      <w:r>
        <w:rPr>
          <w:rFonts w:ascii="Calibri" w:hAnsi="Calibri" w:eastAsia="宋体"/>
          <w:b w:val="0"/>
          <w:i w:val="0"/>
          <w:sz w:val="21"/>
        </w:rPr>
        <w:t>：ferritin/transferrin——对接命中只进入“假设列表”，不进入主结论句；报告中明确标注“功能节点 / 假设生成”。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探索性靶点</w:t>
      </w:r>
      <w:r>
        <w:rPr>
          <w:rFonts w:ascii="Calibri" w:hAnsi="Calibri" w:eastAsia="宋体"/>
          <w:b w:val="0"/>
          <w:i w:val="0"/>
          <w:sz w:val="21"/>
        </w:rPr>
        <w:t>：tau、ApoE4——仅在主靶点计算完成且资源允许时进行；输出单独附录，不与主结论混写。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AChE–Aβ 轴线</w:t>
      </w:r>
      <w:r>
        <w:rPr>
          <w:rFonts w:ascii="Calibri" w:hAnsi="Calibri" w:eastAsia="宋体"/>
          <w:b w:val="0"/>
          <w:i w:val="0"/>
          <w:sz w:val="21"/>
        </w:rPr>
        <w:t>：Inestrosa 1996 证明 AChE 经 PAS 加速 Aβ 纤维组装 [C4]；Alvarez 1997 显示对 Aβ 片段的序列特异性 [S10]。计算上优先做：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候选肽–AChE PAS；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Aβ 片段–AChE PAS；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肽是否与 Aβ 竞争同一 PAS 表位（重叠接触残基分析）；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而非无差别的“七靶点并行对接”。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3.3 Wang 2024 与 Aβ 计算的衔接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若对候选肽做 Aβ 对接，采用与 Wang 2024 类似的</w:t>
      </w:r>
      <w:r>
        <w:rPr>
          <w:rFonts w:ascii="Calibri" w:hAnsi="Calibri" w:eastAsia="宋体"/>
          <w:b/>
          <w:i w:val="0"/>
          <w:sz w:val="21"/>
        </w:rPr>
        <w:t>多模型 + 界面残基表</w:t>
      </w:r>
      <w:r>
        <w:rPr>
          <w:rFonts w:ascii="Calibri" w:hAnsi="Calibri" w:eastAsia="宋体"/>
          <w:b w:val="0"/>
          <w:i w:val="0"/>
          <w:sz w:val="21"/>
        </w:rPr>
        <w:t>输出格式，便于与文献对照。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同时在方法学中写明：Wang 2024 中结合肽功能方向相反，故本课题 </w:t>
      </w:r>
      <w:r>
        <w:rPr>
          <w:rFonts w:ascii="Calibri" w:hAnsi="Calibri" w:eastAsia="宋体"/>
          <w:b/>
          <w:i w:val="0"/>
          <w:sz w:val="21"/>
        </w:rPr>
        <w:t>Aβ 对接结果只用于构象假设与优先级排序，不标注“毒性/保护”标签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4 AlphaFold 3、多构象、MD、MM/GBSA、QM/MM/DFT 的正确使用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4.1 AlphaFold 3（AF3）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能力</w:t>
      </w:r>
      <w:r>
        <w:rPr>
          <w:rFonts w:ascii="Calibri" w:hAnsi="Calibri" w:eastAsia="宋体"/>
          <w:b w:val="0"/>
          <w:i w:val="0"/>
          <w:sz w:val="21"/>
        </w:rPr>
        <w:t>：AF3 采用扩散式架构，可联合预测蛋白质–核酸–小分子–离子–修饰残基复合物；蛋白–配体与抗体-抗原精度显著提升（Abramson 等，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, 2024）[C1]。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正确用法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输入：肽序列 + 靶蛋白序列；金属以离子/配位形式加入时，</w:t>
      </w:r>
      <w:r>
        <w:rPr>
          <w:rFonts w:ascii="Calibri" w:hAnsi="Calibri" w:eastAsia="宋体"/>
          <w:b/>
          <w:i w:val="0"/>
          <w:sz w:val="21"/>
        </w:rPr>
        <w:t>必须人工检查配位几何</w:t>
      </w:r>
      <w:r>
        <w:rPr>
          <w:rFonts w:ascii="Calibri" w:hAnsi="Calibri" w:eastAsia="宋体"/>
          <w:b w:val="0"/>
          <w:i w:val="0"/>
          <w:sz w:val="21"/>
        </w:rPr>
        <w:t>（AF3 对过渡金属不可靠）；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解读：ipTM/pTM、界面 pLDDT、PAE；低置信区不得写入结论；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</w:t>
      </w:r>
      <w:r>
        <w:rPr>
          <w:rFonts w:ascii="Calibri" w:hAnsi="Calibri" w:eastAsia="宋体"/>
          <w:b/>
          <w:i w:val="0"/>
          <w:sz w:val="21"/>
        </w:rPr>
        <w:t>多构象采样</w:t>
      </w:r>
      <w:r>
        <w:rPr>
          <w:rFonts w:ascii="Calibri" w:hAnsi="Calibri" w:eastAsia="宋体"/>
          <w:b w:val="0"/>
          <w:i w:val="0"/>
          <w:sz w:val="21"/>
        </w:rPr>
        <w:t>：多 seed 生成 ensemble，按 RMSD/PAE 聚类——短肽（7–15 aa）禁止只报单结构；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边界：AF3 = 结构假设生成器，</w:t>
      </w:r>
      <w:r>
        <w:rPr>
          <w:rFonts w:ascii="Calibri" w:hAnsi="Calibri" w:eastAsia="宋体"/>
          <w:b/>
          <w:i w:val="0"/>
          <w:sz w:val="21"/>
        </w:rPr>
        <w:t>不提供亲和力、动力学、氧化还原或毒性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工作流：AF3 多构象 → 聚类代表性复合物 → MD 起点；AF3 分仅用于排序。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4.2 分子动力学（MD）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依据：Hollingsworth &amp; Dror（</w:t>
      </w:r>
      <w:r>
        <w:rPr>
          <w:rFonts w:ascii="Calibri" w:hAnsi="Calibri" w:eastAsia="宋体"/>
          <w:b w:val="0"/>
          <w:i/>
          <w:sz w:val="21"/>
        </w:rPr>
        <w:t>Neuron</w:t>
      </w:r>
      <w:r>
        <w:rPr>
          <w:rFonts w:ascii="Calibri" w:hAnsi="Calibri" w:eastAsia="宋体"/>
          <w:b w:val="0"/>
          <w:i w:val="0"/>
          <w:sz w:val="21"/>
        </w:rPr>
        <w:t>, 2018）[S9]。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正确做法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显式溶剂 + 生理离子强度；最小化 → NVT/NPT 平衡 → 生产运行；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</w:t>
      </w:r>
      <w:r>
        <w:rPr>
          <w:rFonts w:ascii="Calibri" w:hAnsi="Calibri" w:eastAsia="宋体"/>
          <w:b/>
          <w:i w:val="0"/>
          <w:sz w:val="21"/>
        </w:rPr>
        <w:t>≥3 次独立重复</w:t>
      </w:r>
      <w:r>
        <w:rPr>
          <w:rFonts w:ascii="Calibri" w:hAnsi="Calibri" w:eastAsia="宋体"/>
          <w:b w:val="0"/>
          <w:i w:val="0"/>
          <w:sz w:val="21"/>
        </w:rPr>
        <w:t>；RMSD/RMSF、接触驻留、氢键/盐桥占有率；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力场：ff14SB/ff19SB；</w:t>
      </w:r>
      <w:r>
        <w:rPr>
          <w:rFonts w:ascii="Calibri" w:hAnsi="Calibri" w:eastAsia="宋体"/>
          <w:b/>
          <w:i w:val="0"/>
          <w:sz w:val="21"/>
        </w:rPr>
        <w:t>Cu²⁺/Fe²⁺/Fe³⁺/Zn²⁺ 必须使用金属专用参数</w:t>
      </w:r>
      <w:r>
        <w:rPr>
          <w:rFonts w:ascii="Calibri" w:hAnsi="Calibri" w:eastAsia="宋体"/>
          <w:b w:val="0"/>
          <w:i w:val="0"/>
          <w:sz w:val="21"/>
        </w:rPr>
        <w:t>（如 12-6-4 或 QM 拟合），默认参数对配位常失效；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金属分析：配位残基距离时间序列、配位数、逸出事件、与 Aβ/AChE 的竞争占位（若做三元体系）。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边界</w:t>
      </w:r>
      <w:r>
        <w:rPr>
          <w:rFonts w:ascii="Calibri" w:hAnsi="Calibri" w:eastAsia="宋体"/>
          <w:b w:val="0"/>
          <w:i w:val="0"/>
          <w:sz w:val="21"/>
        </w:rPr>
        <w:t xml:space="preserve">：经典 MD </w:t>
      </w:r>
      <w:r>
        <w:rPr>
          <w:rFonts w:ascii="Calibri" w:hAnsi="Calibri" w:eastAsia="宋体"/>
          <w:b/>
          <w:i w:val="0"/>
          <w:sz w:val="21"/>
        </w:rPr>
        <w:t>不能</w:t>
      </w:r>
      <w:r>
        <w:rPr>
          <w:rFonts w:ascii="Calibri" w:hAnsi="Calibri" w:eastAsia="宋体"/>
          <w:b w:val="0"/>
          <w:i w:val="0"/>
          <w:sz w:val="21"/>
        </w:rPr>
        <w:t>描述键断裂/形成、Fenton 化学、电子转移——不得把“Cu 在位点停留”写成“产生 ROS/毒性”。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4.3 MM/GBSA 与 MM/PBSA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依据：Genheden &amp; Ryde（</w:t>
      </w:r>
      <w:r>
        <w:rPr>
          <w:rFonts w:ascii="Calibri" w:hAnsi="Calibri" w:eastAsia="宋体"/>
          <w:b w:val="0"/>
          <w:i/>
          <w:sz w:val="21"/>
        </w:rPr>
        <w:t>Expert Opin Drug Discov</w:t>
      </w:r>
      <w:r>
        <w:rPr>
          <w:rFonts w:ascii="Calibri" w:hAnsi="Calibri" w:eastAsia="宋体"/>
          <w:b w:val="0"/>
          <w:i w:val="0"/>
          <w:sz w:val="21"/>
        </w:rPr>
        <w:t>, 2015）[C14]。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正确用法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基于平衡 MD 轨迹系综平均，禁止单帧；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</w:t>
      </w:r>
      <w:r>
        <w:rPr>
          <w:rFonts w:ascii="Calibri" w:hAnsi="Calibri" w:eastAsia="宋体"/>
          <w:b/>
          <w:i w:val="0"/>
          <w:sz w:val="21"/>
        </w:rPr>
        <w:t>仅相对排序</w:t>
      </w:r>
      <w:r>
        <w:rPr>
          <w:rFonts w:ascii="Calibri" w:hAnsi="Calibri" w:eastAsia="宋体"/>
          <w:b w:val="0"/>
          <w:i w:val="0"/>
          <w:sz w:val="21"/>
        </w:rPr>
        <w:t>（12 肽内部、或 AChE vs BChE 选择性），不报绝对 ΔG；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</w:t>
      </w:r>
      <w:r>
        <w:rPr>
          <w:rFonts w:ascii="Calibri" w:hAnsi="Calibri" w:eastAsia="宋体"/>
          <w:b/>
          <w:i w:val="0"/>
          <w:sz w:val="21"/>
        </w:rPr>
        <w:t>含金属配位键体系慎用</w:t>
      </w:r>
      <w:r>
        <w:rPr>
          <w:rFonts w:ascii="Calibri" w:hAnsi="Calibri" w:eastAsia="宋体"/>
          <w:b w:val="0"/>
          <w:i w:val="0"/>
          <w:sz w:val="21"/>
        </w:rPr>
        <w:t>——优先 QM 校正或与后续 ITC 预留接口；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输出必须带标准差与重复间一致性，避免过度解释 1–2 kcal/mol 差异。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4.4 QM/MM 与 DFT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依据：Senn &amp; Thiel（</w:t>
      </w:r>
      <w:r>
        <w:rPr>
          <w:rFonts w:ascii="Calibri" w:hAnsi="Calibri" w:eastAsia="宋体"/>
          <w:b w:val="0"/>
          <w:i/>
          <w:sz w:val="21"/>
        </w:rPr>
        <w:t>Angew Chem Int Ed</w:t>
      </w:r>
      <w:r>
        <w:rPr>
          <w:rFonts w:ascii="Calibri" w:hAnsi="Calibri" w:eastAsia="宋体"/>
          <w:b w:val="0"/>
          <w:i w:val="0"/>
          <w:sz w:val="21"/>
        </w:rPr>
        <w:t>, 2009）[C13]。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正确用法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QM 区 = 金属 + 第一配位层 + 关键第二层；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泛函/基组针对过渡金属与色散校准；明确自旋态（Cu²⁺ d⁹；Fe 高/低自旋；</w:t>
      </w:r>
      <w:r>
        <w:rPr>
          <w:rFonts w:ascii="Calibri" w:hAnsi="Calibri" w:eastAsia="宋体"/>
          <w:b/>
          <w:i w:val="0"/>
          <w:sz w:val="21"/>
        </w:rPr>
        <w:t>Zn²⁺ d¹⁰ 闭壳层、无氧化还原循环</w:t>
      </w:r>
      <w:r>
        <w:rPr>
          <w:rFonts w:ascii="Calibri" w:hAnsi="Calibri" w:eastAsia="宋体"/>
          <w:b w:val="0"/>
          <w:i w:val="0"/>
          <w:sz w:val="21"/>
        </w:rPr>
        <w:t>）；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输出：配位几何、配位能、电荷/自旋布居、</w:t>
      </w:r>
      <w:r>
        <w:rPr>
          <w:rFonts w:ascii="Calibri" w:hAnsi="Calibri" w:eastAsia="宋体"/>
          <w:b/>
          <w:i w:val="0"/>
          <w:sz w:val="21"/>
        </w:rPr>
        <w:t>相对</w:t>
      </w:r>
      <w:r>
        <w:rPr>
          <w:rFonts w:ascii="Calibri" w:hAnsi="Calibri" w:eastAsia="宋体"/>
          <w:b w:val="0"/>
          <w:i w:val="0"/>
          <w:sz w:val="21"/>
        </w:rPr>
        <w:t>电子转移倾向；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若讨论“夺铜/螯合”（呼应 Wang 2024 中 leptin 叙事），应计算 </w:t>
      </w:r>
      <w:r>
        <w:rPr>
          <w:rFonts w:ascii="Calibri" w:hAnsi="Calibri" w:eastAsia="宋体"/>
          <w:b/>
          <w:i w:val="0"/>
          <w:sz w:val="21"/>
        </w:rPr>
        <w:t>肽–Cu 与 Aβ–Cu 的配位能差</w:t>
      </w:r>
      <w:r>
        <w:rPr>
          <w:rFonts w:ascii="Calibri" w:hAnsi="Calibri" w:eastAsia="宋体"/>
          <w:b w:val="0"/>
          <w:i w:val="0"/>
          <w:sz w:val="21"/>
        </w:rPr>
        <w:t>，而不是只优化一个复合物。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边界</w:t>
      </w:r>
      <w:r>
        <w:rPr>
          <w:rFonts w:ascii="Calibri" w:hAnsi="Calibri" w:eastAsia="宋体"/>
          <w:b w:val="0"/>
          <w:i w:val="0"/>
          <w:sz w:val="21"/>
        </w:rPr>
        <w:t>：DFT/QM/MM 给出的是电子结构与能学趋势；</w:t>
      </w:r>
      <w:r>
        <w:rPr>
          <w:rFonts w:ascii="Calibri" w:hAnsi="Calibri" w:eastAsia="宋体"/>
          <w:b/>
          <w:i w:val="0"/>
          <w:sz w:val="21"/>
        </w:rPr>
        <w:t>“能否产生神经毒性 H₂O₂”属于实验问题</w:t>
      </w:r>
      <w:r>
        <w:rPr>
          <w:rFonts w:ascii="Calibri" w:hAnsi="Calibri" w:eastAsia="宋体"/>
          <w:b w:val="0"/>
          <w:i w:val="0"/>
          <w:sz w:val="21"/>
        </w:rPr>
        <w:t>（Huang 1999；Opazo 2002），本版计算不得直接下毒性结论。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4.5 推荐计算流水线（仅理论）</w:t>
      </w:r>
    </w:p>
    <w:p>
      <w:r>
        <w:rPr>
          <w:rFonts w:ascii="Calibri" w:hAnsi="Calibri" w:eastAsia="宋体"/>
          <w:b w:val="0"/>
          <w:i w:val="0"/>
          <w:sz w:val="21"/>
        </w:rPr>
        <w:t>```</w:t>
      </w:r>
    </w:p>
    <w:p>
      <w:r>
        <w:rPr>
          <w:rFonts w:ascii="Calibri" w:hAnsi="Calibri" w:eastAsia="宋体"/>
          <w:b w:val="0"/>
          <w:i w:val="0"/>
          <w:sz w:val="21"/>
        </w:rPr>
        <w:t>12 条候选肽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│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├─① AF3 / 多构象采样（肽 alone + 肽–AChE PAS + 可选肽–Aβ）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│     └─ 置信度过滤、聚类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├─② 分子对接精修（PAS 聚焦；金属位点单独取样）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├─③ MD ≥3×（稳定性、接触、金属配位驻留）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├─④ MM/GBSA 相对排序（同受体同系列）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├─⑤ 头部候选：QM/MM 或 DFT（Cu/Fe/Zn 配位几何与能学；Zn 作非氧化还原对照）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└─⑥ 输出：优先级列表 + 结构假设 + 明确“待实验裁决”标签</w:t>
      </w:r>
    </w:p>
    <w:p>
      <w:r>
        <w:rPr>
          <w:rFonts w:ascii="Calibri" w:hAnsi="Calibri" w:eastAsia="宋体"/>
          <w:b w:val="0"/>
          <w:i w:val="0"/>
          <w:sz w:val="21"/>
        </w:rPr>
        <w:t>```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4.6 计算–结论证据等级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计算方法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可回答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不可回答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正确角色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AlphaFold 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复合物结构假设、界面残基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亲和力、毒性、金属配位准确性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构象生成与排序起点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对接（含 HDOCK 类）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可能界面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功能方向（促/抑/毒）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假设生成（Wang 2024 用法）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结合稳定性、柔性、配位驻留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反应、ROS、细胞毒性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动态验证与筛选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MM/GBSA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同系列相对排序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绝对亲和力、毒性标签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排序（预留实验校准）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QM/MM/DFT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配位几何、氧化态趋势、相对配位能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体内毒性、聚集动力学终点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电子结构终局分析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实验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真值（本版不做）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——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未来裁决一切功能标签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 12 条肽：仅计算侧的分阶段 Go/No-Go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本漏斗</w:t>
      </w:r>
      <w:r>
        <w:rPr>
          <w:rFonts w:ascii="Calibri" w:hAnsi="Calibri" w:eastAsia="宋体"/>
          <w:b/>
          <w:i w:val="0"/>
          <w:sz w:val="21"/>
        </w:rPr>
        <w:t>止于计算优先级列表</w:t>
      </w:r>
      <w:r>
        <w:rPr>
          <w:rFonts w:ascii="Calibri" w:hAnsi="Calibri" w:eastAsia="宋体"/>
          <w:b w:val="0"/>
          <w:i w:val="0"/>
          <w:sz w:val="21"/>
        </w:rPr>
        <w:t>。不设合成、细胞、iPSC 阶段。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5.1 总体漏斗（建议 12 → 8 → 4 → 2–3 条“计算先导”）</w:t>
      </w:r>
    </w:p>
    <w:p>
      <w:r>
        <w:rPr>
          <w:rFonts w:ascii="Calibri" w:hAnsi="Calibri" w:eastAsia="宋体"/>
          <w:b/>
          <w:i w:val="0"/>
          <w:sz w:val="21"/>
        </w:rPr>
        <w:t>Stage C0 — 已完成：AChE-PAS 对接 + MD 准备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输入：12 条候选肽。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检查：PAS 关键残基接触是否成立；对接构象是否可用于 MD。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：具备可解释的 PAS 结合模式 → 进入 C1。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：无 PAS 接触或构象明显伪结合 → 标记淘汰，不进入金属/QM 阶段。</w:t>
      </w:r>
    </w:p>
    <w:p>
      <w:r>
        <w:rPr>
          <w:rFonts w:ascii="Calibri" w:hAnsi="Calibri" w:eastAsia="宋体"/>
          <w:b/>
          <w:i w:val="0"/>
          <w:sz w:val="21"/>
        </w:rPr>
        <w:t>Stage C1 — 多构象 + 靶点扩展计算（2–4 周）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内容：AF3 多构象；AChE/BChE 对比；Aβ42（±）对接；ferritin/transferrin 仅探索性附录。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：主靶点（AChE 和/或 Aβ）上出现可重复界面 + 合理置信度 → 12→8。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：全部主靶点无稳定界面假说。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禁止</w:t>
      </w:r>
      <w:r>
        <w:rPr>
          <w:rFonts w:ascii="Calibri" w:hAnsi="Calibri" w:eastAsia="宋体"/>
          <w:b w:val="0"/>
          <w:i w:val="0"/>
          <w:sz w:val="21"/>
        </w:rPr>
        <w:t>：根据 Aβ 对接结果标注“毒性肽”（见第 2 节 Wang 2024 裁决）。</w:t>
      </w:r>
    </w:p>
    <w:p>
      <w:r>
        <w:rPr>
          <w:rFonts w:ascii="Calibri" w:hAnsi="Calibri" w:eastAsia="宋体"/>
          <w:b/>
          <w:i w:val="0"/>
          <w:sz w:val="21"/>
        </w:rPr>
        <w:t>Stage C2 — MD 稳定性与金属配位（3–6 周）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内容：≥3 次 MD；Cu²⁺/Fe²⁺/Fe³⁺/Zn²⁺ 分矩阵；配位驻留与逸出；可选肽–Cu vs Aβ–Cu 竞争模型。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：至少一种病理相关条件下（AChE PAS 或 Aβ 界面或 Cu/Fe 配位）MD 稳定、重复一致 → 8→4。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：MD 中肽迅速解离、金属配位不可维持、重复间完全不一致。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Zn 规则</w:t>
      </w:r>
      <w:r>
        <w:rPr>
          <w:rFonts w:ascii="Calibri" w:hAnsi="Calibri" w:eastAsia="宋体"/>
          <w:b w:val="0"/>
          <w:i w:val="0"/>
          <w:sz w:val="21"/>
        </w:rPr>
        <w:t>：Zn 组只解释配位/结构对照，</w:t>
      </w:r>
      <w:r>
        <w:rPr>
          <w:rFonts w:ascii="Calibri" w:hAnsi="Calibri" w:eastAsia="宋体"/>
          <w:b/>
          <w:i w:val="0"/>
          <w:sz w:val="21"/>
        </w:rPr>
        <w:t>不写“Zn–Fenton/ROS”</w:t>
      </w:r>
      <w:r>
        <w:rPr>
          <w:rFonts w:ascii="Calibri" w:hAnsi="Calibri" w:eastAsia="宋体"/>
          <w:b w:val="0"/>
          <w:i w:val="0"/>
          <w:sz w:val="21"/>
        </w:rPr>
        <w:t>（见第 6 节）。</w:t>
      </w:r>
    </w:p>
    <w:p>
      <w:r>
        <w:rPr>
          <w:rFonts w:ascii="Calibri" w:hAnsi="Calibri" w:eastAsia="宋体"/>
          <w:b/>
          <w:i w:val="0"/>
          <w:sz w:val="21"/>
        </w:rPr>
        <w:t>Stage C3 — MM/GBSA 排序 + 头部 QM/MM（2–4 周）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内容：相对结合能排序；对 Top 候选做 QM/MM/DFT（配位几何、电荷、相对配位能；若做夺铜假说则比肽–Cu 与 Aβ–Cu）。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Go</w:t>
      </w:r>
      <w:r>
        <w:rPr>
          <w:rFonts w:ascii="Calibri" w:hAnsi="Calibri" w:eastAsia="宋体"/>
          <w:b w:val="0"/>
          <w:i w:val="0"/>
          <w:sz w:val="21"/>
        </w:rPr>
        <w:t>：排序稳定、电子结构无化学不合理处（错误自旋态、配位数荒谬等）→ 输出 2–3 条计算先导。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No-Go</w:t>
      </w:r>
      <w:r>
        <w:rPr>
          <w:rFonts w:ascii="Calibri" w:hAnsi="Calibri" w:eastAsia="宋体"/>
          <w:b w:val="0"/>
          <w:i w:val="0"/>
          <w:sz w:val="21"/>
        </w:rPr>
        <w:t>：能量排序随方法剧烈翻转且无结构解释；QM 区化学不合理。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输出物</w:t>
      </w:r>
      <w:r>
        <w:rPr>
          <w:rFonts w:ascii="Calibri" w:hAnsi="Calibri" w:eastAsia="宋体"/>
          <w:b w:val="0"/>
          <w:i w:val="0"/>
          <w:sz w:val="21"/>
        </w:rPr>
        <w:t>：计算先导列表、结构坐标/轨迹摘要、界面残基表、金属配位统计、</w:t>
      </w:r>
      <w:r>
        <w:rPr>
          <w:rFonts w:ascii="Calibri" w:hAnsi="Calibri" w:eastAsia="宋体"/>
          <w:b/>
          <w:i w:val="0"/>
          <w:sz w:val="21"/>
        </w:rPr>
        <w:t>“功能标签：未判定（待实验）”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5.2 计算侧 Go/No-Go 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阶段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时间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关键指标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Go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No-Go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C0 对接/MD 准备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PAS 结合模式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可解释 PAS 接触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无特异结合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 多构象+扩展靶点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2–4 周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AF3/对接界面与置信度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主靶点可重复界面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主靶点全阴性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C2 MD+金属矩阵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3–6 周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稳定性、配位驻留、重复性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稳定且可重复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解离/不收敛/不重复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C3 MM/GBSA+QM/MM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2–4 周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相对排序、配位电子结构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排序稳定、化学合理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方法间无解释翻转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5.3 计算结论的允许表述 / 禁止表述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允许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禁止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“肽 X 在 MD 中稳定结合 AChE PAS，主要接触 Trp286/…”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“肽 X 是毒性肽”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“肽 X 对 Cu²⁺ 呈现 N 配位，QM 配位能高于对照肽”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“肽 X 通过 Fenton 反应产生神经毒性”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“肽 X 与 Aβ 的对接界面与 Wang 2024 中某神经肽类似，功能方向待实验”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“根据 Wang 2024，肽 X 具有神经毒性/保护作用”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“相对 MM/GBSA 排序为 X&gt;Y&gt;Z（仅同系列）”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“Kd = … nM（无实验）”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“Zn²⁺ 可形成稳定配位，但无氧化还原活性，不作 ROS 金属解释”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“Zn²⁺ 介导 ROS/Fenton 毒性”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6 特别提示（计算表述中的关键科学纠偏）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6.1 Zn²⁺ 不是 Fenton 型 ROS 金属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化学依据</w:t>
      </w:r>
      <w:r>
        <w:rPr>
          <w:rFonts w:ascii="Calibri" w:hAnsi="Calibri" w:eastAsia="宋体"/>
          <w:b w:val="0"/>
          <w:i w:val="0"/>
          <w:sz w:val="21"/>
        </w:rPr>
        <w:t>：Zn²⁺ 为 d¹⁰ 闭壳层，氧化还原惰性，不能像 Cu⁺/Cu²⁺、Fe²⁺/Fe³⁺ 那样单电子循环驱动 Fenton/Haber–Weiss。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文献</w:t>
      </w:r>
      <w:r>
        <w:rPr>
          <w:rFonts w:ascii="Calibri" w:hAnsi="Calibri" w:eastAsia="宋体"/>
          <w:b w:val="0"/>
          <w:i w:val="0"/>
          <w:sz w:val="21"/>
        </w:rPr>
        <w:t>：Sensi 等（</w:t>
      </w:r>
      <w:r>
        <w:rPr>
          <w:rFonts w:ascii="Calibri" w:hAnsi="Calibri" w:eastAsia="宋体"/>
          <w:b w:val="0"/>
          <w:i/>
          <w:sz w:val="21"/>
        </w:rPr>
        <w:t>Nat Rev Neurosci</w:t>
      </w:r>
      <w:r>
        <w:rPr>
          <w:rFonts w:ascii="Calibri" w:hAnsi="Calibri" w:eastAsia="宋体"/>
          <w:b w:val="0"/>
          <w:i w:val="0"/>
          <w:sz w:val="21"/>
        </w:rPr>
        <w:t>, 2009）将 Zn 定位为 CNS 信号与稳态离子，病理涉及兴奋毒性、线粒体、Zn–Aβ 聚集等，</w:t>
      </w:r>
      <w:r>
        <w:rPr>
          <w:rFonts w:ascii="Calibri" w:hAnsi="Calibri" w:eastAsia="宋体"/>
          <w:b/>
          <w:i w:val="0"/>
          <w:sz w:val="21"/>
        </w:rPr>
        <w:t>而非 Zn–Fenton</w:t>
      </w:r>
      <w:r>
        <w:rPr>
          <w:rFonts w:ascii="Calibri" w:hAnsi="Calibri" w:eastAsia="宋体"/>
          <w:b w:val="0"/>
          <w:i w:val="0"/>
          <w:sz w:val="21"/>
        </w:rPr>
        <w:t xml:space="preserve"> [C10]。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计算含义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方案 4.3 中 Zn 与 Cu/Fe 并列做配位计算是合理的；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QM/MM 描述 Zn 时采用闭壳层、不讨论向 O₂/H₂O₂ 的电子转移；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若 Zn 配位稳定而 Cu/Fe 亦稳定，报告中应分列“结构金属（Zn）”与“氧化还原活性金属（Cu/Fe）”；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4. 任何“ROS/毒性”字样不得出现在纯计算结果的结论句中。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6.2 ferritin/transferrin：铁稳态功能节点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文献</w:t>
      </w:r>
      <w:r>
        <w:rPr>
          <w:rFonts w:ascii="Calibri" w:hAnsi="Calibri" w:eastAsia="宋体"/>
          <w:b w:val="0"/>
          <w:i w:val="0"/>
          <w:sz w:val="21"/>
        </w:rPr>
        <w:t>：脑铁网络中 Tf–TfR1 摄取、ferritin 储存、ferroportin 释放是共识 [C8][C9]；CSF ferritin 预测 AD 结局并受 APOE 调控 [C3]。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计算含义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1. 对接/AF3 命中 = 假设生成；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2. 不与 AChE、Aβ 并列写入“致病靶点”主结论；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3. 若资源有限，可降为附录或暂缓，优先保证 AChE PAS + Aβ ± 金属。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6.3 “毒性”标签的计算边界（再次强调）</w:t>
      </w:r>
    </w:p>
    <w:p>
      <w:r>
        <w:rPr>
          <w:rFonts w:ascii="Calibri" w:hAnsi="Calibri" w:eastAsia="宋体"/>
          <w:b w:val="0"/>
          <w:i w:val="0"/>
          <w:sz w:val="21"/>
        </w:rPr>
        <w:t>金属–肽配位稳定、甚至 DFT 显示有利于 Cu²⁺→Cu⁺ 还原趋势，</w:t>
      </w:r>
      <w:r>
        <w:rPr>
          <w:rFonts w:ascii="Calibri" w:hAnsi="Calibri" w:eastAsia="宋体"/>
          <w:b/>
          <w:i w:val="0"/>
          <w:sz w:val="21"/>
        </w:rPr>
        <w:t>仍只是化学可能性</w:t>
      </w:r>
      <w:r>
        <w:rPr>
          <w:rFonts w:ascii="Calibri" w:hAnsi="Calibri" w:eastAsia="宋体"/>
          <w:b w:val="0"/>
          <w:i w:val="0"/>
          <w:sz w:val="21"/>
        </w:rPr>
        <w:t xml:space="preserve">。Opazo 2002、Huang 1999 等建立的是 </w:t>
      </w:r>
      <w:r>
        <w:rPr>
          <w:rFonts w:ascii="Calibri" w:hAnsi="Calibri" w:eastAsia="宋体"/>
          <w:b/>
          <w:i w:val="0"/>
          <w:sz w:val="21"/>
        </w:rPr>
        <w:t>Aβ–金属–H₂O₂–毒性</w:t>
      </w:r>
      <w:r>
        <w:rPr>
          <w:rFonts w:ascii="Calibri" w:hAnsi="Calibri" w:eastAsia="宋体"/>
          <w:b w:val="0"/>
          <w:i w:val="0"/>
          <w:sz w:val="21"/>
        </w:rPr>
        <w:t xml:space="preserve"> 实验范式 [C5][C7]，不能在无实验的情况下平移为“本课题候选肽 = 毒性肽”。Wang 2024 更从反面说明：能与 Aβ/Cu 相互作用的肽完全可能是</w:t>
      </w:r>
      <w:r>
        <w:rPr>
          <w:rFonts w:ascii="Calibri" w:hAnsi="Calibri" w:eastAsia="宋体"/>
          <w:b/>
          <w:i w:val="0"/>
          <w:sz w:val="21"/>
        </w:rPr>
        <w:t>保护性螯合剂</w:t>
      </w:r>
      <w:r>
        <w:rPr>
          <w:rFonts w:ascii="Calibri" w:hAnsi="Calibri" w:eastAsia="宋体"/>
          <w:b w:val="0"/>
          <w:i w:val="0"/>
          <w:sz w:val="21"/>
        </w:rPr>
        <w:t xml:space="preserve"> [N1]。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7 参考文献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7.1 核心文献（14 篇）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文献（期刊 年；卷:页）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Abramson J, et al. Accurate structure prediction of biomolecular interactions with AlphaFold 3.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2024; 630:493-500.</w:t>
            </w:r>
          </w:p>
        </w:tc>
        <w:tc>
          <w:tcPr>
            <w:tcW w:type="dxa" w:w="2436"/>
          </w:tcPr>
          <w:p>
            <w:hyperlink r:id="rId1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10.1038/s41586-024-07487-w</w:t>
              </w:r>
            </w:hyperlink>
          </w:p>
        </w:tc>
        <w:tc>
          <w:tcPr>
            <w:tcW w:type="dxa" w:w="2436"/>
          </w:tcPr>
          <w:p>
            <w:hyperlink r:id="rId1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38718835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Walsh DM, et al. Naturally secreted oligomers of amyloid beta protein potently inhibit hippocampal long-term potentiation in vivo.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416:535-539.</w:t>
            </w:r>
          </w:p>
        </w:tc>
        <w:tc>
          <w:tcPr>
            <w:tcW w:type="dxa" w:w="2436"/>
          </w:tcPr>
          <w:p>
            <w:hyperlink r:id="rId1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10.1038/416535a</w:t>
              </w:r>
            </w:hyperlink>
          </w:p>
        </w:tc>
        <w:tc>
          <w:tcPr>
            <w:tcW w:type="dxa" w:w="2436"/>
          </w:tcPr>
          <w:p>
            <w:hyperlink r:id="rId1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11932745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Ayton S, Faux NG, Bush AI; ADNI. Ferritin levels in the cerebrospinal fluid predict Alzheimer's disease outcomes and are regulated by APOE.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 Commun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2015; 6:6760.</w:t>
            </w:r>
          </w:p>
        </w:tc>
        <w:tc>
          <w:tcPr>
            <w:tcW w:type="dxa" w:w="2436"/>
          </w:tcPr>
          <w:p>
            <w:hyperlink r:id="rId1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10.1038/ncomms7760</w:t>
              </w:r>
            </w:hyperlink>
          </w:p>
        </w:tc>
        <w:tc>
          <w:tcPr>
            <w:tcW w:type="dxa" w:w="2436"/>
          </w:tcPr>
          <w:p>
            <w:hyperlink r:id="rId1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25988319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Inestrosa NC, et al. Acetylcholinesterase accelerates assembly of amyloid-beta-peptides into Alzheimer's fibrils: possible role of the peripheral site of the enzyme.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1996; 16:881-891.</w:t>
            </w:r>
          </w:p>
        </w:tc>
        <w:tc>
          <w:tcPr>
            <w:tcW w:type="dxa" w:w="2436"/>
          </w:tcPr>
          <w:p>
            <w:hyperlink r:id="rId1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10.1016/S0896-6273(00)80108-7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80108-7)</w:t>
            </w:r>
          </w:p>
        </w:tc>
        <w:tc>
          <w:tcPr>
            <w:tcW w:type="dxa" w:w="2436"/>
          </w:tcPr>
          <w:p>
            <w:hyperlink r:id="rId1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8608006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Opazo C, et al. Metalloenzyme-like activity of Alzheimer's disease beta-amyloid. Cu-dependent catalytic conversion of dopamine, cholesterol, and biological reducing agents to neurotoxic H₂O₂.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277:40302-40308.</w:t>
            </w:r>
          </w:p>
        </w:tc>
        <w:tc>
          <w:tcPr>
            <w:tcW w:type="dxa" w:w="2436"/>
          </w:tcPr>
          <w:p>
            <w:hyperlink r:id="rId1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10.1074/jbc.M206428200</w:t>
              </w:r>
            </w:hyperlink>
          </w:p>
        </w:tc>
        <w:tc>
          <w:tcPr>
            <w:tcW w:type="dxa" w:w="2436"/>
          </w:tcPr>
          <w:p>
            <w:hyperlink r:id="rId2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12192006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C6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Guo JL, Lee VM. Seeding of normal Tau by pathological Tau conformers drives pathogenesis of Alzheimer-like tangles.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2011; 286:15317-15331.</w:t>
            </w:r>
          </w:p>
        </w:tc>
        <w:tc>
          <w:tcPr>
            <w:tcW w:type="dxa" w:w="2436"/>
          </w:tcPr>
          <w:p>
            <w:hyperlink r:id="rId2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10.1074/jbc.M110.209296</w:t>
              </w:r>
            </w:hyperlink>
          </w:p>
        </w:tc>
        <w:tc>
          <w:tcPr>
            <w:tcW w:type="dxa" w:w="2436"/>
          </w:tcPr>
          <w:p>
            <w:hyperlink r:id="rId2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21372138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C7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X, et al. The A beta peptide of Alzheimer's disease directly produces hydrogen peroxide through metal ion reduction.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Biochemistry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1999; 38:7609-7616.</w:t>
            </w:r>
          </w:p>
        </w:tc>
        <w:tc>
          <w:tcPr>
            <w:tcW w:type="dxa" w:w="2436"/>
          </w:tcPr>
          <w:p>
            <w:hyperlink r:id="rId2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10.1021/bi990438f</w:t>
              </w:r>
            </w:hyperlink>
          </w:p>
        </w:tc>
        <w:tc>
          <w:tcPr>
            <w:tcW w:type="dxa" w:w="2436"/>
          </w:tcPr>
          <w:p>
            <w:hyperlink r:id="rId2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10386999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C8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Zecca L, et al. Iron, brain ageing and neurodegenerative disorders.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2004; 5:863-873.</w:t>
            </w:r>
          </w:p>
        </w:tc>
        <w:tc>
          <w:tcPr>
            <w:tcW w:type="dxa" w:w="2436"/>
          </w:tcPr>
          <w:p>
            <w:hyperlink r:id="rId2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10.1038/nrn1537</w:t>
              </w:r>
            </w:hyperlink>
          </w:p>
        </w:tc>
        <w:tc>
          <w:tcPr>
            <w:tcW w:type="dxa" w:w="2436"/>
          </w:tcPr>
          <w:p>
            <w:hyperlink r:id="rId2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15496864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Ward RJ, et al. The role of iron in brain ageing and neurodegenerative disorders.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Lancet Neurol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2014; 13:1045-1060.</w:t>
            </w:r>
          </w:p>
        </w:tc>
        <w:tc>
          <w:tcPr>
            <w:tcW w:type="dxa" w:w="2436"/>
          </w:tcPr>
          <w:p>
            <w:hyperlink r:id="rId2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10.1016/S1474-4422(14)70117-6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70117-6)</w:t>
            </w:r>
          </w:p>
        </w:tc>
        <w:tc>
          <w:tcPr>
            <w:tcW w:type="dxa" w:w="2436"/>
          </w:tcPr>
          <w:p>
            <w:hyperlink r:id="rId2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25231526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Sensi SL, et al. Zinc in the physiology and pathology of the CNS.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10:780-791.</w:t>
            </w:r>
          </w:p>
        </w:tc>
        <w:tc>
          <w:tcPr>
            <w:tcW w:type="dxa" w:w="2436"/>
          </w:tcPr>
          <w:p>
            <w:hyperlink r:id="rId2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10.1038/nrn2734</w:t>
              </w:r>
            </w:hyperlink>
          </w:p>
        </w:tc>
        <w:tc>
          <w:tcPr>
            <w:tcW w:type="dxa" w:w="2436"/>
          </w:tcPr>
          <w:p>
            <w:hyperlink r:id="rId3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19826435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Darvesh S, Hopkins DA, Geula C. Neurobiology of butyrylcholinesterase.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2003; 4:131-138.</w:t>
            </w:r>
          </w:p>
        </w:tc>
        <w:tc>
          <w:tcPr>
            <w:tcW w:type="dxa" w:w="2436"/>
          </w:tcPr>
          <w:p>
            <w:hyperlink r:id="rId3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10.1038/nrn1035</w:t>
              </w:r>
            </w:hyperlink>
          </w:p>
        </w:tc>
        <w:tc>
          <w:tcPr>
            <w:tcW w:type="dxa" w:w="2436"/>
          </w:tcPr>
          <w:p>
            <w:hyperlink r:id="rId3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12563284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Y, Mahley RW. Apolipoprotein E: structure and function in lipid metabolism, neurobiology, and Alzheimer's diseases.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Neurobiol Dis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2014; 72 Pt A:3-12.</w:t>
            </w:r>
          </w:p>
        </w:tc>
        <w:tc>
          <w:tcPr>
            <w:tcW w:type="dxa" w:w="2436"/>
          </w:tcPr>
          <w:p>
            <w:hyperlink r:id="rId3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10.1016/j.nbd.2014.08.025</w:t>
              </w:r>
            </w:hyperlink>
          </w:p>
        </w:tc>
        <w:tc>
          <w:tcPr>
            <w:tcW w:type="dxa" w:w="2436"/>
          </w:tcPr>
          <w:p>
            <w:hyperlink r:id="rId3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25173806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Senn HM, Thiel W. QM/MM methods for biomolecular systems.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Angew Chem Int Ed Engl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48:1198-1229.</w:t>
            </w:r>
          </w:p>
        </w:tc>
        <w:tc>
          <w:tcPr>
            <w:tcW w:type="dxa" w:w="2436"/>
          </w:tcPr>
          <w:p>
            <w:hyperlink r:id="rId3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10.1002/anie.200802019</w:t>
              </w:r>
            </w:hyperlink>
          </w:p>
        </w:tc>
        <w:tc>
          <w:tcPr>
            <w:tcW w:type="dxa" w:w="2436"/>
          </w:tcPr>
          <w:p>
            <w:hyperlink r:id="rId3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19173328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Genheden S, Ryde U. The MM/PBSA and MM/GBSA methods to estimate ligand-binding affinities.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Expert Opin Drug Discov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2015; 10:449-461.</w:t>
            </w:r>
          </w:p>
        </w:tc>
        <w:tc>
          <w:tcPr>
            <w:tcW w:type="dxa" w:w="2436"/>
          </w:tcPr>
          <w:p>
            <w:hyperlink r:id="rId3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10.1517/17460441.2015.1032936</w:t>
              </w:r>
            </w:hyperlink>
          </w:p>
        </w:tc>
        <w:tc>
          <w:tcPr>
            <w:tcW w:type="dxa" w:w="2436"/>
          </w:tcPr>
          <w:p>
            <w:hyperlink r:id="rId3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25835573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7.2 本版点名评议文献（用户提供）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本报告角色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N1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Wang D, et al. Native Mass Spectrometry-Centric Approaches Revealed That Neuropeptides Frequently Interact with Amyloid-β.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ACS Chem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2024; 15:2719-2728.</w:t>
            </w:r>
          </w:p>
        </w:tc>
        <w:tc>
          <w:tcPr>
            <w:tcW w:type="dxa" w:w="1949"/>
          </w:tcPr>
          <w:p>
            <w:hyperlink r:id="rId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10.1021/acschemneuro.4c00075</w:t>
              </w:r>
            </w:hyperlink>
          </w:p>
        </w:tc>
        <w:tc>
          <w:tcPr>
            <w:tcW w:type="dxa" w:w="1949"/>
          </w:tcPr>
          <w:p>
            <w:hyperlink r:id="rId1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39066700</w:t>
              </w:r>
            </w:hyperlink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互作普遍性旁证；明确不作为毒性肽依据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7.3 补充文献（计算与机制边界）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X, et al. Cu(II) potentiation of Alzheimer abeta neurotoxicity. Correlation with cell-free hydrogen peroxide production and metal reduction.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1999; 274:37111-37116.</w:t>
            </w:r>
          </w:p>
        </w:tc>
        <w:tc>
          <w:tcPr>
            <w:tcW w:type="dxa" w:w="2436"/>
          </w:tcPr>
          <w:p>
            <w:hyperlink r:id="rId3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10.1074/jbc.274.52.37111</w:t>
              </w:r>
            </w:hyperlink>
          </w:p>
        </w:tc>
        <w:tc>
          <w:tcPr>
            <w:tcW w:type="dxa" w:w="2436"/>
          </w:tcPr>
          <w:p>
            <w:hyperlink r:id="rId4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10601271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Strittmatter WJ, et al. Apolipoprotein E: high-avidity binding to beta-amyloid and increased frequency of type 4 allele in late-onset familial Alzheimer disease.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PNAS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1993; 90:1977-1981.</w:t>
            </w:r>
          </w:p>
        </w:tc>
        <w:tc>
          <w:tcPr>
            <w:tcW w:type="dxa" w:w="2436"/>
          </w:tcPr>
          <w:p>
            <w:hyperlink r:id="rId4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10.1073/pnas.90.5.1977</w:t>
              </w:r>
            </w:hyperlink>
          </w:p>
        </w:tc>
        <w:tc>
          <w:tcPr>
            <w:tcW w:type="dxa" w:w="2436"/>
          </w:tcPr>
          <w:p>
            <w:hyperlink r:id="rId4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8446617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S6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Hureau C, Faller P. Abeta-mediated ROS production by Cu ions: structural insights, mechanisms and relevance to Alzheimer's disease.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Biochimie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91:1212-1217.</w:t>
            </w:r>
          </w:p>
        </w:tc>
        <w:tc>
          <w:tcPr>
            <w:tcW w:type="dxa" w:w="2436"/>
          </w:tcPr>
          <w:p>
            <w:hyperlink r:id="rId4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10.1016/j.biochi.2009.03.013</w:t>
              </w:r>
            </w:hyperlink>
          </w:p>
        </w:tc>
        <w:tc>
          <w:tcPr>
            <w:tcW w:type="dxa" w:w="2436"/>
          </w:tcPr>
          <w:p>
            <w:hyperlink r:id="rId4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19332103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S8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Cheignon C, et al. Oxidative stress and the amyloid beta peptide in Alzheimer's disease.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Redox Biol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2018; 14:450-464.</w:t>
            </w:r>
          </w:p>
        </w:tc>
        <w:tc>
          <w:tcPr>
            <w:tcW w:type="dxa" w:w="2436"/>
          </w:tcPr>
          <w:p>
            <w:hyperlink r:id="rId4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10.1016/j.redox.2017.10.014</w:t>
              </w:r>
            </w:hyperlink>
          </w:p>
        </w:tc>
        <w:tc>
          <w:tcPr>
            <w:tcW w:type="dxa" w:w="2436"/>
          </w:tcPr>
          <w:p>
            <w:hyperlink r:id="rId4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29080524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Hollingsworth SA, Dror RO. Molecular dynamics simulation for all.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2018; 99:1129-1143.</w:t>
            </w:r>
          </w:p>
        </w:tc>
        <w:tc>
          <w:tcPr>
            <w:tcW w:type="dxa" w:w="2436"/>
          </w:tcPr>
          <w:p>
            <w:hyperlink r:id="rId4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10.1016/j.neuron.2018.08.011</w:t>
              </w:r>
            </w:hyperlink>
          </w:p>
        </w:tc>
        <w:tc>
          <w:tcPr>
            <w:tcW w:type="dxa" w:w="2436"/>
          </w:tcPr>
          <w:p>
            <w:hyperlink r:id="rId4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30236283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Alvarez A, et al. Acetylcholinesterase promotes the aggregation of amyloid-beta-peptide fragments by forming a complex with the growing fibrils.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 Mol Biol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1997; 272:348-361.</w:t>
            </w:r>
          </w:p>
        </w:tc>
        <w:tc>
          <w:tcPr>
            <w:tcW w:type="dxa" w:w="2436"/>
          </w:tcPr>
          <w:p>
            <w:hyperlink r:id="rId4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10.1006/jmbi.1997.1245</w:t>
              </w:r>
            </w:hyperlink>
          </w:p>
        </w:tc>
        <w:tc>
          <w:tcPr>
            <w:tcW w:type="dxa" w:w="2436"/>
          </w:tcPr>
          <w:p>
            <w:hyperlink r:id="rId5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9325095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说明：S3/S6/S8 仅作“若未来讨论金属–ROS 毒性，应引用的实验范式文献”索引；</w:t>
      </w:r>
      <w:r>
        <w:rPr>
          <w:rFonts w:ascii="Calibri" w:hAnsi="Calibri" w:eastAsia="宋体"/>
          <w:b/>
          <w:i w:val="0"/>
          <w:sz w:val="21"/>
        </w:rPr>
        <w:t>本版不依据它们给候选肽贴毒性标签</w:t>
      </w:r>
      <w:r>
        <w:rPr>
          <w:rFonts w:ascii="Calibri" w:hAnsi="Calibri" w:eastAsia="宋体"/>
          <w:b w:val="0"/>
          <w:i w:val="0"/>
          <w:sz w:val="21"/>
        </w:rPr>
        <w:t>。上一版中的 iPSC 实验文献（Israel 2012、Kondo 2013 等）因本版删除实验章节而不再列入。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8 方法学与局限性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检索与核验</w:t>
      </w:r>
      <w:r>
        <w:rPr>
          <w:rFonts w:ascii="Calibri" w:hAnsi="Calibri" w:eastAsia="宋体"/>
          <w:b w:val="0"/>
          <w:i w:val="0"/>
          <w:sz w:val="21"/>
        </w:rPr>
        <w:t>：PubMed E-utilities 逐条核验；Wang 2024 经 esearch/esummary/efetch 确认 PMID 39066700、DOI 10.1021/acschemneuro.4c00075、卷期页 15(15):2719-2728。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范围裁剪</w:t>
      </w:r>
      <w:r>
        <w:rPr>
          <w:rFonts w:ascii="Calibri" w:hAnsi="Calibri" w:eastAsia="宋体"/>
          <w:b w:val="0"/>
          <w:i w:val="0"/>
          <w:sz w:val="21"/>
        </w:rPr>
        <w:t>：按用户要求“实验部分都去掉，这个只有理论计算”，删除因果验证实验路线、细胞/iPSC/体内 Go-No-Go；保留 4.1–4.3 与计算方法学、靶点计算定位、计算漏斗。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Wang 2024 裁决逻辑</w:t>
      </w:r>
      <w:r>
        <w:rPr>
          <w:rFonts w:ascii="Calibri" w:hAnsi="Calibri" w:eastAsia="宋体"/>
          <w:b w:val="0"/>
          <w:i w:val="0"/>
          <w:sz w:val="21"/>
        </w:rPr>
        <w:t>：以其摘要可核验的功能方向（抑制聚集、降低细胞毒性、Cu 螯合保护）为据，判定其不支持“毒性肽”主张；保留其对“互作普遍性”和“对接仅假设生成”的方法学启示。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局限性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未获取 Wang 2024 全文逐页核对补充图表；裁决以 PubMed 摘要与公开综述信息为准，若用于正式论文请核对全文；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纯计算不能完成毒性/保护的功能定性；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Go/No-Go 阈值为程序性建议，可用课题组既有对接/MD 数据校准；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- AF3/MD/MM-GBSA/QM 对短肽与过渡金属均有固有误差，结论必须保留不确定性表述。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9 执行摘要（可直接写入汇报 PPT）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Wang 等 2024（</w:t>
      </w:r>
      <w:r>
        <w:rPr>
          <w:rFonts w:ascii="Calibri" w:hAnsi="Calibri" w:eastAsia="宋体"/>
          <w:b/>
          <w:i/>
          <w:sz w:val="21"/>
        </w:rPr>
        <w:t>ACS Chem Neurosci</w:t>
      </w:r>
      <w:r>
        <w:rPr>
          <w:rFonts w:ascii="Calibri" w:hAnsi="Calibri" w:eastAsia="宋体"/>
          <w:b/>
          <w:i w:val="0"/>
          <w:sz w:val="21"/>
        </w:rPr>
        <w:t>）不能作为毒性肽依据</w:t>
      </w:r>
      <w:r>
        <w:rPr>
          <w:rFonts w:ascii="Calibri" w:hAnsi="Calibri" w:eastAsia="宋体"/>
          <w:b w:val="0"/>
          <w:i w:val="0"/>
          <w:sz w:val="21"/>
        </w:rPr>
        <w:t>；它支持神经肽–Aβ 互作常见，且 leptin/cerebellin 偏保护、kisspeptin 偏促聚集，功能方向必须另判。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本课题现阶段只有理论计算</w:t>
      </w:r>
      <w:r>
        <w:rPr>
          <w:rFonts w:ascii="Calibri" w:hAnsi="Calibri" w:eastAsia="宋体"/>
          <w:b w:val="0"/>
          <w:i w:val="0"/>
          <w:sz w:val="21"/>
        </w:rPr>
        <w:t>：交付止于 AF3→对接→MD→MM/GBSA→QM/MM 的优先级列表与结构假设。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主计算靶点</w:t>
      </w:r>
      <w:r>
        <w:rPr>
          <w:rFonts w:ascii="Calibri" w:hAnsi="Calibri" w:eastAsia="宋体"/>
          <w:b w:val="0"/>
          <w:i w:val="0"/>
          <w:sz w:val="21"/>
        </w:rPr>
        <w:t xml:space="preserve"> = AChE/BChE + Aβ42（±Cu/Fe）；ferritin/transferrin = 功能节点/附录；tau、ApoE4 = 探索性。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Zn²⁺</w:t>
      </w:r>
      <w:r>
        <w:rPr>
          <w:rFonts w:ascii="Calibri" w:hAnsi="Calibri" w:eastAsia="宋体"/>
          <w:b w:val="0"/>
          <w:i w:val="0"/>
          <w:sz w:val="21"/>
        </w:rPr>
        <w:t xml:space="preserve"> 只作结构/配位对照，不作 Fenton 型 ROS 金属。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5. </w:t>
      </w:r>
      <w:r>
        <w:rPr>
          <w:rFonts w:ascii="Calibri" w:hAnsi="Calibri" w:eastAsia="宋体"/>
          <w:b/>
          <w:i w:val="0"/>
          <w:sz w:val="21"/>
        </w:rPr>
        <w:t>禁止</w:t>
      </w:r>
      <w:r>
        <w:rPr>
          <w:rFonts w:ascii="Calibri" w:hAnsi="Calibri" w:eastAsia="宋体"/>
          <w:b w:val="0"/>
          <w:i w:val="0"/>
          <w:sz w:val="21"/>
        </w:rPr>
        <w:t>在纯计算结果上使用“毒性肽”“神经毒性机制已证实”等表述；原方案 4.4 的实验因果标准留待未来，不在本版执行。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021/acschemneuro.4c00075" TargetMode="External"/><Relationship Id="rId10" Type="http://schemas.openxmlformats.org/officeDocument/2006/relationships/hyperlink" Target="https://pubmed.ncbi.nlm.nih.gov/39066700/" TargetMode="External"/><Relationship Id="rId11" Type="http://schemas.openxmlformats.org/officeDocument/2006/relationships/hyperlink" Target="https://doi.org/10.1038/s41586-024-07487-w" TargetMode="External"/><Relationship Id="rId12" Type="http://schemas.openxmlformats.org/officeDocument/2006/relationships/hyperlink" Target="https://pubmed.ncbi.nlm.nih.gov/38718835/" TargetMode="External"/><Relationship Id="rId13" Type="http://schemas.openxmlformats.org/officeDocument/2006/relationships/hyperlink" Target="https://doi.org/10.1038/416535a" TargetMode="External"/><Relationship Id="rId14" Type="http://schemas.openxmlformats.org/officeDocument/2006/relationships/hyperlink" Target="https://pubmed.ncbi.nlm.nih.gov/11932745/" TargetMode="External"/><Relationship Id="rId15" Type="http://schemas.openxmlformats.org/officeDocument/2006/relationships/hyperlink" Target="https://doi.org/10.1038/ncomms7760" TargetMode="External"/><Relationship Id="rId16" Type="http://schemas.openxmlformats.org/officeDocument/2006/relationships/hyperlink" Target="https://pubmed.ncbi.nlm.nih.gov/25988319/" TargetMode="External"/><Relationship Id="rId17" Type="http://schemas.openxmlformats.org/officeDocument/2006/relationships/hyperlink" Target="https://doi.org/10.1016/S0896-6273(00" TargetMode="External"/><Relationship Id="rId18" Type="http://schemas.openxmlformats.org/officeDocument/2006/relationships/hyperlink" Target="https://pubmed.ncbi.nlm.nih.gov/8608006/" TargetMode="External"/><Relationship Id="rId19" Type="http://schemas.openxmlformats.org/officeDocument/2006/relationships/hyperlink" Target="https://doi.org/10.1074/jbc.M206428200" TargetMode="External"/><Relationship Id="rId20" Type="http://schemas.openxmlformats.org/officeDocument/2006/relationships/hyperlink" Target="https://pubmed.ncbi.nlm.nih.gov/12192006/" TargetMode="External"/><Relationship Id="rId21" Type="http://schemas.openxmlformats.org/officeDocument/2006/relationships/hyperlink" Target="https://doi.org/10.1074/jbc.M110.209296" TargetMode="External"/><Relationship Id="rId22" Type="http://schemas.openxmlformats.org/officeDocument/2006/relationships/hyperlink" Target="https://pubmed.ncbi.nlm.nih.gov/21372138/" TargetMode="External"/><Relationship Id="rId23" Type="http://schemas.openxmlformats.org/officeDocument/2006/relationships/hyperlink" Target="https://doi.org/10.1021/bi990438f" TargetMode="External"/><Relationship Id="rId24" Type="http://schemas.openxmlformats.org/officeDocument/2006/relationships/hyperlink" Target="https://pubmed.ncbi.nlm.nih.gov/10386999/" TargetMode="External"/><Relationship Id="rId25" Type="http://schemas.openxmlformats.org/officeDocument/2006/relationships/hyperlink" Target="https://doi.org/10.1038/nrn1537" TargetMode="External"/><Relationship Id="rId26" Type="http://schemas.openxmlformats.org/officeDocument/2006/relationships/hyperlink" Target="https://pubmed.ncbi.nlm.nih.gov/15496864/" TargetMode="External"/><Relationship Id="rId27" Type="http://schemas.openxmlformats.org/officeDocument/2006/relationships/hyperlink" Target="https://doi.org/10.1016/S1474-4422(14" TargetMode="External"/><Relationship Id="rId28" Type="http://schemas.openxmlformats.org/officeDocument/2006/relationships/hyperlink" Target="https://pubmed.ncbi.nlm.nih.gov/25231526/" TargetMode="External"/><Relationship Id="rId29" Type="http://schemas.openxmlformats.org/officeDocument/2006/relationships/hyperlink" Target="https://doi.org/10.1038/nrn2734" TargetMode="External"/><Relationship Id="rId30" Type="http://schemas.openxmlformats.org/officeDocument/2006/relationships/hyperlink" Target="https://pubmed.ncbi.nlm.nih.gov/19826435/" TargetMode="External"/><Relationship Id="rId31" Type="http://schemas.openxmlformats.org/officeDocument/2006/relationships/hyperlink" Target="https://doi.org/10.1038/nrn1035" TargetMode="External"/><Relationship Id="rId32" Type="http://schemas.openxmlformats.org/officeDocument/2006/relationships/hyperlink" Target="https://pubmed.ncbi.nlm.nih.gov/12563284/" TargetMode="External"/><Relationship Id="rId33" Type="http://schemas.openxmlformats.org/officeDocument/2006/relationships/hyperlink" Target="https://doi.org/10.1016/j.nbd.2014.08.025" TargetMode="External"/><Relationship Id="rId34" Type="http://schemas.openxmlformats.org/officeDocument/2006/relationships/hyperlink" Target="https://pubmed.ncbi.nlm.nih.gov/25173806/" TargetMode="External"/><Relationship Id="rId35" Type="http://schemas.openxmlformats.org/officeDocument/2006/relationships/hyperlink" Target="https://doi.org/10.1002/anie.200802019" TargetMode="External"/><Relationship Id="rId36" Type="http://schemas.openxmlformats.org/officeDocument/2006/relationships/hyperlink" Target="https://pubmed.ncbi.nlm.nih.gov/19173328/" TargetMode="External"/><Relationship Id="rId37" Type="http://schemas.openxmlformats.org/officeDocument/2006/relationships/hyperlink" Target="https://doi.org/10.1517/17460441.2015.1032936" TargetMode="External"/><Relationship Id="rId38" Type="http://schemas.openxmlformats.org/officeDocument/2006/relationships/hyperlink" Target="https://pubmed.ncbi.nlm.nih.gov/25835573/" TargetMode="External"/><Relationship Id="rId39" Type="http://schemas.openxmlformats.org/officeDocument/2006/relationships/hyperlink" Target="https://doi.org/10.1074/jbc.274.52.37111" TargetMode="External"/><Relationship Id="rId40" Type="http://schemas.openxmlformats.org/officeDocument/2006/relationships/hyperlink" Target="https://pubmed.ncbi.nlm.nih.gov/10601271/" TargetMode="External"/><Relationship Id="rId41" Type="http://schemas.openxmlformats.org/officeDocument/2006/relationships/hyperlink" Target="https://doi.org/10.1073/pnas.90.5.1977" TargetMode="External"/><Relationship Id="rId42" Type="http://schemas.openxmlformats.org/officeDocument/2006/relationships/hyperlink" Target="https://pubmed.ncbi.nlm.nih.gov/8446617/" TargetMode="External"/><Relationship Id="rId43" Type="http://schemas.openxmlformats.org/officeDocument/2006/relationships/hyperlink" Target="https://doi.org/10.1016/j.biochi.2009.03.013" TargetMode="External"/><Relationship Id="rId44" Type="http://schemas.openxmlformats.org/officeDocument/2006/relationships/hyperlink" Target="https://pubmed.ncbi.nlm.nih.gov/19332103/" TargetMode="External"/><Relationship Id="rId45" Type="http://schemas.openxmlformats.org/officeDocument/2006/relationships/hyperlink" Target="https://doi.org/10.1016/j.redox.2017.10.014" TargetMode="External"/><Relationship Id="rId46" Type="http://schemas.openxmlformats.org/officeDocument/2006/relationships/hyperlink" Target="https://pubmed.ncbi.nlm.nih.gov/29080524/" TargetMode="External"/><Relationship Id="rId47" Type="http://schemas.openxmlformats.org/officeDocument/2006/relationships/hyperlink" Target="https://doi.org/10.1016/j.neuron.2018.08.011" TargetMode="External"/><Relationship Id="rId48" Type="http://schemas.openxmlformats.org/officeDocument/2006/relationships/hyperlink" Target="https://pubmed.ncbi.nlm.nih.gov/30236283/" TargetMode="External"/><Relationship Id="rId49" Type="http://schemas.openxmlformats.org/officeDocument/2006/relationships/hyperlink" Target="https://doi.org/10.1006/jmbi.1997.1245" TargetMode="External"/><Relationship Id="rId50" Type="http://schemas.openxmlformats.org/officeDocument/2006/relationships/hyperlink" Target="https://pubmed.ncbi.nlm.nih.gov/932509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AChE/AD 相关候选肽后续机制研究——文献证据基础与实施方案</dc:title>
  <dc:subject>Cu/Fe-ROS-脂质过氧化-神经毒性；Aβ/tau/ApoE4/ferritin/transferrin 定位；计算结构生物学方法学；12 肽 Go/No-Go 方案</dc:subject>
  <dc:creator>Auto-Empirical-Research-Skills (AERS)</dc:creator>
  <cp:keywords>AChE, PAS, Aβ42, tau, ApoE4, ferritin, transferrin, Cu, Fe, Zn, ROS, AlphaFold3, MD, MM/GBSA, QM/MM, iPSC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