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eastAsia="微软雅黑"/>
          <w:b/>
          <w:i w:val="0"/>
          <w:color w:val="144E5A"/>
          <w:sz w:val="44"/>
        </w:rPr>
        <w:t>GROMACS × MCP 实操指南</w:t>
      </w:r>
    </w:p>
    <w:p>
      <w:pPr>
        <w:spacing w:before="80" w:after="160"/>
        <w:ind w:left="317"/>
        <w:shd w:val="clear" w:fill="E8F4F2"/>
      </w:pPr>
      <w:r>
        <w:rPr>
          <w:rFonts w:ascii="Calibri" w:hAnsi="Calibri" w:eastAsia="微软雅黑"/>
          <w:b w:val="0"/>
          <w:i w:val="0"/>
          <w:sz w:val="20"/>
        </w:rPr>
        <w:t>面向抗菌肽（AMP）课题的分子动力学自动化：已有方案盘点、肽-膜体系工作流、MCP 封装设计 配套目录：</w:t>
      </w:r>
      <w:r>
        <w:rPr>
          <w:rFonts w:ascii="Consolas" w:hAnsi="Consolas" w:eastAsia="Consolas"/>
          <w:b w:val="0"/>
          <w:i w:val="0"/>
          <w:color w:val="A03030"/>
          <w:sz w:val="18"/>
        </w:rPr>
        <w:t>E:\0mcp-agv\gmx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1. 先别自己写：已有四个现成方案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项目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说明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适合谁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MacromNex/gromacs_mcp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MCP 服务器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Docker 内置 GROMACS 2025.4，6 个工具。</w:t>
            </w:r>
            <w:r>
              <w:rPr>
                <w:rFonts w:ascii="Calibri" w:hAnsi="Calibri" w:eastAsia="微软雅黑"/>
                <w:b/>
                <w:i w:val="0"/>
                <w:sz w:val="18"/>
              </w:rPr>
              <w:t>做了异步作业跟踪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想立刻用上，且装了 Docker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Billwanttobetop/automd-gromacs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Agent Skills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港科广，MIT，v5.0.0。method-selector 决策层；覆盖增强采样、</w:t>
            </w:r>
            <w:r>
              <w:rPr>
                <w:rFonts w:ascii="Calibri" w:hAnsi="Calibri" w:eastAsia="微软雅黑"/>
                <w:b/>
                <w:i w:val="0"/>
                <w:sz w:val="18"/>
              </w:rPr>
              <w:t>膜体系、粗粒化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、QM/MM；论文级出图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⭐ 你的首选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ChatMol/gromacs_copilot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LLM Agent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pip 安装，agent 模式自动建系→模拟→分析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想看别人怎么切分工具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MDCrow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（ur-whitelab）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Agent + 论文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40 个专家工具，四类划分。OpenMM 为主，论文附 GROMACS 适配示例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设计参考</w:t>
            </w:r>
          </w:p>
        </w:tc>
      </w:tr>
    </w:tbl>
    <w:p>
      <w:pPr>
        <w:spacing w:after="40"/>
      </w:pPr>
    </w:p>
    <w:p>
      <w:pPr>
        <w:pStyle w:val="Heading3"/>
      </w:pPr>
      <w:r>
        <w:t>安装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# gromacs_mcp（Docker）</w:t>
        <w:br/>
        <w:t>docker pull ghcr.io/macromnex/gromacs_mcp:latest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# automd-gromacs（Agent Skills，装进反重力）</w:t>
        <w:br/>
        <w:t>git clone https://github.com/Billwanttobetop/automd-gromacs.git</w:t>
        <w:br/>
        <w:t>xcopy /E /I automd-gromacs "E:\0mcp-agv\.agents\skills\automd-gromacs"</w:t>
      </w:r>
    </w:p>
    <w:p>
      <w:r>
        <w:rPr>
          <w:rFonts w:ascii="Calibri" w:hAnsi="Calibri" w:eastAsia="微软雅黑"/>
          <w:b w:val="0"/>
          <w:i w:val="0"/>
          <w:sz w:val="21"/>
        </w:rPr>
        <w:t>反重力配置（</w:t>
      </w:r>
      <w:r>
        <w:rPr>
          <w:rFonts w:ascii="Consolas" w:hAnsi="Consolas" w:eastAsia="Consolas"/>
          <w:b w:val="0"/>
          <w:i w:val="0"/>
          <w:color w:val="A03030"/>
          <w:sz w:val="19"/>
        </w:rPr>
        <w:t>~/.gemini/config/mcp_config.json</w:t>
      </w:r>
      <w:r>
        <w:rPr>
          <w:rFonts w:ascii="Calibri" w:hAnsi="Calibri" w:eastAsia="微软雅黑"/>
          <w:b w:val="0"/>
          <w:i w:val="0"/>
          <w:sz w:val="21"/>
        </w:rPr>
        <w:t>）：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{</w:t>
        <w:br/>
        <w:t xml:space="preserve">  "mcpServers": {</w:t>
        <w:br/>
        <w:t xml:space="preserve">    "gromacs": {</w:t>
        <w:br/>
        <w:t xml:space="preserve">      "command": "docker",</w:t>
        <w:br/>
        <w:t xml:space="preserve">      "args": ["run", "-i", "--rm",</w:t>
        <w:br/>
        <w:t xml:space="preserve">               "-v", "E:/0mcp-agv/gmx:/work",</w:t>
        <w:br/>
        <w:t xml:space="preserve">               "ghcr.io/macromnex/gromacs_mcp:latest"]</w:t>
        <w:br/>
        <w:t xml:space="preserve">    }</w:t>
        <w:br/>
        <w:t xml:space="preserve">  }</w:t>
        <w:br/>
        <w:t>}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2. ⚠️ 设计红线：mdrun 绝不能做成同步工具</w:t>
      </w:r>
    </w:p>
    <w:p>
      <w:r>
        <w:rPr>
          <w:rFonts w:ascii="Calibri" w:hAnsi="Calibri" w:eastAsia="微软雅黑"/>
          <w:b w:val="0"/>
          <w:i w:val="0"/>
          <w:sz w:val="21"/>
        </w:rPr>
        <w:t>MD 动辄跑几小时到几天，MCP 工具调用必然超时。正确的切分方式：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阶段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工具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耗时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同步？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建系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build_system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build_membrane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write_mdp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秒级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✅ 同步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提交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submit_md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→ 返回 job 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立即返回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✅ 同步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监控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get_job_status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tail_log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秒级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✅ 轮询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分析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analyze_trajectory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parse_xvg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分钟级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✅ 同步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i w:val="0"/>
          <w:sz w:val="21"/>
        </w:rPr>
        <w:t>分析类工具的性价比远高于模拟类</w:t>
      </w:r>
      <w:r>
        <w:rPr>
          <w:rFonts w:ascii="Calibri" w:hAnsi="Calibri" w:eastAsia="微软雅黑"/>
          <w:b w:val="0"/>
          <w:i w:val="0"/>
          <w:sz w:val="21"/>
        </w:rPr>
        <w:t>：快、幂等、不占 GPU，而且是你每天重复最多次的操作。</w:t>
      </w:r>
    </w:p>
    <w:p>
      <w:r>
        <w:rPr>
          <w:rFonts w:ascii="Calibri" w:hAnsi="Calibri" w:eastAsia="微软雅黑"/>
          <w:b w:val="0"/>
          <w:i w:val="0"/>
          <w:sz w:val="21"/>
        </w:rPr>
        <w:t>如果只做一件事，就做分析封装。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3. 抗菌肽-膜体系的标准工作流</w:t>
      </w:r>
    </w:p>
    <w:p>
      <w:r>
        <w:rPr>
          <w:rFonts w:ascii="Calibri" w:hAnsi="Calibri" w:eastAsia="微软雅黑"/>
          <w:b w:val="0"/>
          <w:i w:val="0"/>
          <w:sz w:val="21"/>
        </w:rPr>
        <w:t>ML 预测出候选肽之后，MD 是最标准的机制验证。核心问题是</w:t>
      </w:r>
      <w:r>
        <w:rPr>
          <w:rFonts w:ascii="Calibri" w:hAnsi="Calibri" w:eastAsia="微软雅黑"/>
          <w:b/>
          <w:i w:val="0"/>
          <w:sz w:val="21"/>
        </w:rPr>
        <w:t>选择性毒性</w:t>
      </w:r>
      <w:r>
        <w:rPr>
          <w:rFonts w:ascii="Calibri" w:hAnsi="Calibri" w:eastAsia="微软雅黑"/>
          <w:b w:val="0"/>
          <w:i w:val="0"/>
          <w:sz w:val="21"/>
        </w:rPr>
        <w:t>：</w:t>
      </w:r>
    </w:p>
    <w:p>
      <w:r>
        <w:rPr>
          <w:rFonts w:ascii="Calibri" w:hAnsi="Calibri" w:eastAsia="微软雅黑"/>
          <w:b w:val="0"/>
          <w:i w:val="0"/>
          <w:sz w:val="21"/>
        </w:rPr>
        <w:t>为什么这条肽杀细菌而不溶血？</w:t>
      </w:r>
    </w:p>
    <w:p>
      <w:pPr>
        <w:pStyle w:val="Heading3"/>
      </w:pPr>
      <w:r>
        <w:t>3.1 两套膜，对照做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膜类型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组分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模拟什么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细菌膜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POPE : POPG = 3:1（革兰阴性内膜） 或加 CL（心磷脂）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带负电，肽应快速吸附并插入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哺乳动物膜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POPC + 30% 胆固醇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电中性、更致密，肽应停留在表面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 w:val="0"/>
          <w:sz w:val="21"/>
        </w:rPr>
        <w:t>两套体系跑同样的肽，对比插入深度差异 —— 这就是选择性的分子解释。</w:t>
      </w:r>
    </w:p>
    <w:p>
      <w:pPr>
        <w:pStyle w:val="Heading3"/>
      </w:pPr>
      <w:r>
        <w:t>3.2 建议路线：Martini 3 粗粒化</w:t>
      </w:r>
    </w:p>
    <w:p>
      <w:r>
        <w:rPr>
          <w:rFonts w:ascii="Calibri" w:hAnsi="Calibri" w:eastAsia="微软雅黑"/>
          <w:b w:val="0"/>
          <w:i w:val="0"/>
          <w:sz w:val="21"/>
        </w:rPr>
        <w:t>全原子模拟肽-膜相互作用需要几微秒才能看到插入，机时不现实。粗粒化能压到可承受范围。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# 1. 肽结构（AlphaFold / PEP-FOLD / 螺旋建模）</w:t>
        <w:br/>
        <w:t># 2. 粗粒化</w:t>
        <w:br/>
        <w:t>martinize2 -f peptide.pdb -o topol.top -x peptide_cg.pdb -ff martini3001 -dssp -elastic</w:t>
        <w:br/>
        <w:br/>
        <w:t># 3. 建膜 + 放肽 + 加水加盐</w:t>
        <w:br/>
        <w:t>insane -f peptide_cg.pdb -o system.gro -p system.top \</w:t>
        <w:br/>
        <w:t xml:space="preserve">       -pbc square -box 12,12,14 \</w:t>
        <w:br/>
        <w:t xml:space="preserve">       -l POPE:3 -l POPG:1 -sol W -salt 0.15</w:t>
        <w:br/>
        <w:br/>
        <w:t># 4. EM → NVT → NPT → production</w:t>
        <w:br/>
        <w:t>gmx grompp -f em.mdp   -c system.gro -p system.top -o em.tpr   &amp;&amp; gmx mdrun -deffnm em</w:t>
        <w:br/>
        <w:t>gmx grompp -f npt.mdp  -c em.gro     -p system.top -o npt.tpr  &amp;&amp; gmx mdrun -deffnm npt</w:t>
        <w:br/>
        <w:t>gmx grompp -f prod.mdp -c npt.gro    -p system.top -o prod.tpr &amp;&amp; gmx mdrun -deffnm prod</w:t>
      </w:r>
    </w:p>
    <w:p>
      <w:pPr>
        <w:pStyle w:val="Heading3"/>
      </w:pPr>
      <w:r>
        <w:t>3.3 该算哪些指标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指标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命令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插入深度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gmx density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/ MDAnalysis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肽质心相对膜中心的 z 距离，</w:t>
            </w:r>
            <w:r>
              <w:rPr>
                <w:rFonts w:ascii="Calibri" w:hAnsi="Calibri" w:eastAsia="微软雅黑"/>
                <w:b/>
                <w:i w:val="0"/>
                <w:sz w:val="18"/>
              </w:rPr>
              <w:t>最关键的一个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膜厚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gmx density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（P 原子峰间距）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肽插入会导致局部变薄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脂链序参数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gmx order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有序度下降 = 膜被扰动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每脂面积 APL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盒子 xy 面积 / 每叶脂数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膜膨胀的指标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二级结构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gmx do_dssp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螺旋是否在接触膜后形成/维持（全原子才有意义）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接触残基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MDAnalysis 距离筛选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哪些残基负责结合 —— 配合 ML 的 SHAP 结果互相印证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成孔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水分子跨膜数 / VMD 可视化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桶状孔或环形孔的直接证据</w:t>
            </w:r>
          </w:p>
        </w:tc>
      </w:tr>
    </w:tbl>
    <w:p>
      <w:pPr>
        <w:spacing w:after="40"/>
      </w:pPr>
    </w:p>
    <w:p>
      <w:pPr>
        <w:spacing w:before="80" w:after="160"/>
        <w:ind w:left="317"/>
        <w:shd w:val="clear" w:fill="E8F4F2"/>
      </w:pPr>
      <w:r>
        <w:rPr>
          <w:rFonts w:ascii="Calibri" w:hAnsi="Calibri" w:eastAsia="微软雅黑"/>
          <w:b w:val="0"/>
          <w:i w:val="0"/>
          <w:sz w:val="20"/>
        </w:rPr>
        <w:t xml:space="preserve">💡 </w:t>
      </w:r>
      <w:r>
        <w:rPr>
          <w:rFonts w:ascii="Calibri" w:hAnsi="Calibri" w:eastAsia="微软雅黑"/>
          <w:b/>
          <w:i w:val="0"/>
          <w:sz w:val="20"/>
        </w:rPr>
        <w:t>和你 ML 部分的呼应</w:t>
      </w:r>
      <w:r>
        <w:rPr>
          <w:rFonts w:ascii="Calibri" w:hAnsi="Calibri" w:eastAsia="微软雅黑"/>
          <w:b w:val="0"/>
          <w:i w:val="0"/>
          <w:sz w:val="20"/>
        </w:rPr>
        <w:t>：第 6 章 SHAP 分析找出的关键残基，如果在 MD 里也正是接触膜最深的那几个， 这就是「计算-计算」的交叉验证，论文讨论部分的分量会明显不一样。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4. 自己封 MCP 时的工具划分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参考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skills/77-research-software-to-mcp</w:t>
      </w:r>
      <w:r>
        <w:rPr>
          <w:rFonts w:ascii="Calibri" w:hAnsi="Calibri" w:eastAsia="微软雅黑"/>
          <w:b w:val="0"/>
          <w:i w:val="0"/>
          <w:sz w:val="21"/>
        </w:rPr>
        <w:t xml:space="preserve"> 的规范，建议这样切：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gmx_info()                    # 版本、可用命令、GPU 检测</w:t>
        <w:br/>
        <w:t>build_membrane(lipids, box)   # 调 insane，返回体系组成统计</w:t>
        <w:br/>
        <w:t>coarse_grain(pdb, ff)         # 调 martinize2</w:t>
        <w:br/>
        <w:t>write_mdp(preset, overrides)  # 从模板生成 .mdp，preset: em/nvt/npt/prod</w:t>
        <w:br/>
        <w:t>grompp(mdp, gro, top)         # 预处理，返回警告与错误</w:t>
        <w:br/>
        <w:t>submit_md(tpr, nsteps, gpu)   # nohup 或 sbatch，返回 job_id</w:t>
        <w:br/>
        <w:t>get_job_status(job_id)        # 轮询</w:t>
        <w:br/>
        <w:t>tail_log(job_id, n)           # 看 md.log 末尾</w:t>
        <w:br/>
        <w:t>parse_xvg(path)               # .xvg → 结构化 JSON（这个最常用）</w:t>
        <w:br/>
        <w:t>analyze_rmsd/rmsf/gyrate(...) # 常规轨迹分析</w:t>
        <w:br/>
        <w:t>analyze_insertion(traj, tpr)  # 肽-膜插入深度剖面</w:t>
        <w:br/>
        <w:t>analyze_order(traj, tpr)      # 脂链序参数</w:t>
      </w:r>
    </w:p>
    <w:p>
      <w:r>
        <w:rPr>
          <w:rFonts w:ascii="Calibri" w:hAnsi="Calibri" w:eastAsia="微软雅黑"/>
          <w:b/>
          <w:i w:val="0"/>
          <w:sz w:val="21"/>
        </w:rPr>
        <w:t>优先级</w:t>
      </w:r>
      <w:r>
        <w:rPr>
          <w:rFonts w:ascii="Calibri" w:hAnsi="Calibri" w:eastAsia="微软雅黑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parse_xvg</w:t>
      </w:r>
      <w:r>
        <w:rPr>
          <w:rFonts w:ascii="Calibri" w:hAnsi="Calibri" w:eastAsia="微软雅黑"/>
          <w:b w:val="0"/>
          <w:i w:val="0"/>
          <w:sz w:val="21"/>
        </w:rPr>
        <w:t xml:space="preserve"> + 三个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analyze_*</w:t>
      </w:r>
      <w:r>
        <w:rPr>
          <w:rFonts w:ascii="Calibri" w:hAnsi="Calibri" w:eastAsia="微软雅黑"/>
          <w:b w:val="0"/>
          <w:i w:val="0"/>
          <w:sz w:val="21"/>
        </w:rPr>
        <w:t xml:space="preserve"> 就能覆盖你 80% 的日常操作，先做这四个。</w:t>
      </w:r>
    </w:p>
    <w:p>
      <w:pPr>
        <w:pStyle w:val="Heading3"/>
      </w:pPr>
      <w:r>
        <w:t>值得改成 MCP 的库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库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路径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gmxapi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A（Python API）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GROMACS 官方接口，2019 版起自带，支持 ensemble 并行、数据流串联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GromacsWrapper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A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把 gmx 命令包成 Python 类，支持 4.6.5–2024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MDAnalysis / MDTraj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A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轨迹分析首选，纯 Python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gmx_MMPBSA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B（CLI）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结合自由能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CHAPERONg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B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全流程自动化，20 种分析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PLUMED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B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增强采样与 CV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5. 常见坑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现象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原因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处理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MCP 调用超时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把 mdrun 做成了同步工具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改异步提交 + 轮询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gmx grompp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报 note/warning 被忽略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Agent 没读 stderr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工具要把 stderr 一并返回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粗粒化肽二级结构崩塌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没加弹性网络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martinize2 -elastic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-go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（Gō 模型）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膜体系跑飞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平衡不充分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NPT 半各向同性耦合，先跑几十 ns 弛豫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插入深度算错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没做 PBC 修正与膜居中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gmx trjconv -pbc mol -center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后再分析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结果不可复现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没固定随机种子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mdp 里写死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gen_seed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ld_seed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6. 参考资源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MacromNex/gromacs_mcp — https://github.com/MacromNex/gromacs_mcp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Billwanttobetop/automd-gromacs — https://github.com/Billwanttobetop/automd-gromacs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ChatMol/gromacs_copilot — https://github.com/ChatMol/gromacs_copilot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MDCrow — https://github.com/ur-whitelab/MDCrow（有论文）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GromacsWrapper — https://github.com/Becksteinlab/GromacsWrapper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CHAPERONg — https://github.com/abeebyekeen/CHAPERONg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Martini 力场与 insane — http://cgmartini.nl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gmx_MMPBSA — https://github.com/Valdes-Tresanco-MS/gmx_MMPBSA</w:t>
      </w:r>
    </w:p>
    <w:p>
      <w:r>
        <w:rPr>
          <w:rFonts w:ascii="Calibri" w:hAnsi="Calibri" w:eastAsia="微软雅黑"/>
          <w:b w:val="0"/>
          <w:i w:val="0"/>
          <w:sz w:val="21"/>
        </w:rPr>
        <w:t>本仓库配套：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skills/77-research-software-to-mcp/</w:t>
      </w:r>
      <w:r>
        <w:rPr>
          <w:rFonts w:ascii="Calibri" w:hAnsi="Calibri" w:eastAsia="微软雅黑"/>
          <w:b w:val="0"/>
          <w:i w:val="0"/>
          <w:sz w:val="21"/>
        </w:rPr>
        <w:t>（封装方法论）、</w:t>
      </w:r>
    </w:p>
    <w:p>
      <w:r>
        <w:rPr>
          <w:rFonts w:ascii="Consolas" w:hAnsi="Consolas" w:eastAsia="Consolas"/>
          <w:b w:val="0"/>
          <w:i w:val="0"/>
          <w:color w:val="A03030"/>
          <w:sz w:val="19"/>
        </w:rPr>
        <w:t>examples/mcp-servers/_template/template_mcp.py</w:t>
      </w:r>
      <w:r>
        <w:rPr>
          <w:rFonts w:ascii="Calibri" w:hAnsi="Calibri" w:eastAsia="微软雅黑"/>
          <w:b w:val="0"/>
          <w:i w:val="0"/>
          <w:sz w:val="21"/>
        </w:rPr>
        <w:t>（模板）。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44E5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44E5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44E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44E5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