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宋体"/>
          <w:b w:val="0"/>
          <w:i w:val="0"/>
          <w:sz w:val="34"/>
        </w:rPr>
        <w:t>非 Aβ 候选毒性肽：分子对接 / 分子动力学 / 量化计算——可参考做法与文献</w:t>
      </w:r>
    </w:p>
    <w:p>
      <w:r>
        <w:rPr>
          <w:rFonts w:ascii="Calibri" w:hAnsi="Calibri" w:eastAsia="宋体"/>
          <w:b/>
          <w:i w:val="0"/>
          <w:sz w:val="21"/>
        </w:rPr>
        <w:t>（整理日期 2026-08-02｜docx 由 python-docx 生成标准 OOXML；沙箱无 officecli，Word/WPS 可直接打开）</w:t>
      </w:r>
    </w:p>
    <w:p>
      <w:pPr>
        <w:pBdr>
          <w:left w:val="single" w:sz="18" w:space="4" w:color="2E74B5"/>
        </w:pBdr>
        <w:shd w:val="clear" w:color="auto" w:fill="F2F7FB"/>
        <w:spacing w:after="120"/>
        <w:ind w:left="227"/>
      </w:pPr>
      <w:r>
        <w:rPr>
          <w:rFonts w:ascii="Calibri" w:hAnsi="Calibri" w:eastAsia="宋体"/>
          <w:b/>
          <w:i w:val="0"/>
          <w:sz w:val="21"/>
        </w:rPr>
        <w:t>定位</w:t>
      </w:r>
    </w:p>
    <w:p>
      <w:pPr>
        <w:pBdr>
          <w:left w:val="single" w:sz="18" w:space="4" w:color="2E74B5"/>
        </w:pBdr>
        <w:shd w:val="clear" w:color="auto" w:fill="F2F7FB"/>
        <w:spacing w:after="120"/>
        <w:ind w:left="227"/>
      </w:pPr>
      <w:r>
        <w:rPr>
          <w:rFonts w:ascii="Calibri" w:hAnsi="Calibri" w:eastAsia="宋体"/>
          <w:b w:val="0"/>
          <w:i w:val="0"/>
          <w:sz w:val="21"/>
        </w:rPr>
        <w:t xml:space="preserve">- 你的肽 </w:t>
      </w:r>
      <w:r>
        <w:rPr>
          <w:rFonts w:ascii="Calibri" w:hAnsi="Calibri" w:eastAsia="宋体"/>
          <w:b/>
          <w:i w:val="0"/>
          <w:sz w:val="21"/>
        </w:rPr>
        <w:t>不是 Aβ</w:t>
      </w:r>
      <w:r>
        <w:rPr>
          <w:rFonts w:ascii="Calibri" w:hAnsi="Calibri" w:eastAsia="宋体"/>
          <w:b w:val="0"/>
          <w:i w:val="0"/>
          <w:sz w:val="21"/>
        </w:rPr>
        <w:t xml:space="preserve">：阳性对照与机制锚点用 </w:t>
      </w:r>
      <w:r>
        <w:rPr>
          <w:rFonts w:ascii="Calibri" w:hAnsi="Calibri" w:eastAsia="宋体"/>
          <w:b/>
          <w:i w:val="0"/>
          <w:sz w:val="21"/>
        </w:rPr>
        <w:t>PrP106–126、LL-37、人 amylin（IAPP）</w:t>
      </w:r>
      <w:r>
        <w:rPr>
          <w:rFonts w:ascii="Calibri" w:hAnsi="Calibri" w:eastAsia="宋体"/>
          <w:b w:val="0"/>
          <w:i w:val="0"/>
          <w:sz w:val="21"/>
        </w:rPr>
        <w:t xml:space="preserve"> 等非 Aβ 毒性肽。</w:t>
      </w:r>
    </w:p>
    <w:p>
      <w:pPr>
        <w:pBdr>
          <w:left w:val="single" w:sz="18" w:space="4" w:color="2E74B5"/>
        </w:pBdr>
        <w:shd w:val="clear" w:color="auto" w:fill="F2F7FB"/>
        <w:spacing w:after="120"/>
        <w:ind w:left="227"/>
      </w:pPr>
      <w:r>
        <w:rPr>
          <w:rFonts w:ascii="Calibri" w:hAnsi="Calibri" w:eastAsia="宋体"/>
          <w:b w:val="0"/>
          <w:i w:val="0"/>
          <w:sz w:val="21"/>
        </w:rPr>
        <w:t xml:space="preserve">- 本文只整理 </w:t>
      </w:r>
      <w:r>
        <w:rPr>
          <w:rFonts w:ascii="Calibri" w:hAnsi="Calibri" w:eastAsia="宋体"/>
          <w:b/>
          <w:i w:val="0"/>
          <w:sz w:val="21"/>
        </w:rPr>
        <w:t>分子对接、MD、量化计算（MM/GBSA、QM/MM、DFT）</w:t>
      </w:r>
      <w:r>
        <w:rPr>
          <w:rFonts w:ascii="Calibri" w:hAnsi="Calibri" w:eastAsia="宋体"/>
          <w:b w:val="0"/>
          <w:i w:val="0"/>
          <w:sz w:val="21"/>
        </w:rPr>
        <w:t xml:space="preserve"> 能直接参考的文献 </w:t>
      </w:r>
      <w:r>
        <w:rPr>
          <w:rFonts w:ascii="Calibri" w:hAnsi="Calibri" w:eastAsia="宋体"/>
          <w:b/>
          <w:i w:val="0"/>
          <w:sz w:val="21"/>
        </w:rPr>
        <w:t>完整题目</w:t>
      </w:r>
      <w:r>
        <w:rPr>
          <w:rFonts w:ascii="Calibri" w:hAnsi="Calibri" w:eastAsia="宋体"/>
          <w:b w:val="0"/>
          <w:i w:val="0"/>
          <w:sz w:val="21"/>
        </w:rPr>
        <w:t xml:space="preserve"> + </w:t>
      </w:r>
      <w:r>
        <w:rPr>
          <w:rFonts w:ascii="Calibri" w:hAnsi="Calibri" w:eastAsia="宋体"/>
          <w:b/>
          <w:i w:val="0"/>
          <w:sz w:val="21"/>
        </w:rPr>
        <w:t>具体怎么做</w:t>
      </w:r>
      <w:r>
        <w:rPr>
          <w:rFonts w:ascii="Calibri" w:hAnsi="Calibri" w:eastAsia="宋体"/>
          <w:b w:val="0"/>
          <w:i w:val="0"/>
          <w:sz w:val="21"/>
        </w:rPr>
        <w:t>。</w:t>
      </w:r>
    </w:p>
    <w:p>
      <w:pPr>
        <w:pBdr>
          <w:left w:val="single" w:sz="18" w:space="4" w:color="2E74B5"/>
        </w:pBdr>
        <w:shd w:val="clear" w:color="auto" w:fill="F2F7FB"/>
        <w:spacing w:after="120"/>
        <w:ind w:left="227"/>
      </w:pPr>
      <w:r>
        <w:rPr>
          <w:rFonts w:ascii="Calibri" w:hAnsi="Calibri" w:eastAsia="宋体"/>
          <w:b w:val="0"/>
          <w:i w:val="0"/>
          <w:sz w:val="21"/>
        </w:rPr>
        <w:t xml:space="preserve">- 计算只做 </w:t>
      </w:r>
      <w:r>
        <w:rPr>
          <w:rFonts w:ascii="Calibri" w:hAnsi="Calibri" w:eastAsia="宋体"/>
          <w:b/>
          <w:i w:val="0"/>
          <w:sz w:val="21"/>
        </w:rPr>
        <w:t>优先级排序与结构假设</w:t>
      </w:r>
      <w:r>
        <w:rPr>
          <w:rFonts w:ascii="Calibri" w:hAnsi="Calibri" w:eastAsia="宋体"/>
          <w:b w:val="0"/>
          <w:i w:val="0"/>
          <w:sz w:val="21"/>
        </w:rPr>
        <w:t>，不能单独证明“导致 AD”。</w:t>
      </w:r>
    </w:p>
    <w:p>
      <w:r>
        <w:rPr>
          <w:rFonts w:ascii="Calibri" w:hAnsi="Calibri" w:eastAsia="宋体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Calibri" w:hAnsi="Calibri" w:eastAsia="宋体"/>
          <w:b w:val="0"/>
          <w:i w:val="0"/>
          <w:sz w:val="28"/>
        </w:rPr>
        <w:t>0 总体计算流水线（建议照此写方案）</w:t>
      </w:r>
    </w:p>
    <w:p>
      <w:r>
        <w:rPr>
          <w:rFonts w:ascii="Calibri" w:hAnsi="Calibri" w:eastAsia="宋体"/>
          <w:b w:val="0"/>
          <w:i w:val="0"/>
          <w:sz w:val="21"/>
        </w:rPr>
        <w:t>```</w:t>
      </w:r>
    </w:p>
    <w:p>
      <w:r>
        <w:rPr>
          <w:rFonts w:ascii="Calibri" w:hAnsi="Calibri" w:eastAsia="宋体"/>
          <w:b w:val="0"/>
          <w:i w:val="0"/>
          <w:sz w:val="21"/>
        </w:rPr>
        <w:t>① 肽多构象生成（AF3 / 肽折叠 / 聚类）</w:t>
      </w:r>
    </w:p>
    <w:p>
      <w:r>
        <w:rPr>
          <w:rFonts w:ascii="Calibri" w:hAnsi="Calibri" w:eastAsia="宋体"/>
          <w:b w:val="0"/>
          <w:i w:val="0"/>
          <w:sz w:val="21"/>
        </w:rPr>
        <w:t xml:space="preserve">        ↓</w:t>
      </w:r>
    </w:p>
    <w:p>
      <w:r>
        <w:rPr>
          <w:rFonts w:ascii="Calibri" w:hAnsi="Calibri" w:eastAsia="宋体"/>
          <w:b w:val="0"/>
          <w:i w:val="0"/>
          <w:sz w:val="21"/>
        </w:rPr>
        <w:t>② 分子对接（膜/受体/金属位点 — 按假说选靶）</w:t>
      </w:r>
    </w:p>
    <w:p>
      <w:r>
        <w:rPr>
          <w:rFonts w:ascii="Calibri" w:hAnsi="Calibri" w:eastAsia="宋体"/>
          <w:b w:val="0"/>
          <w:i w:val="0"/>
          <w:sz w:val="21"/>
        </w:rPr>
        <w:t xml:space="preserve">        ↓</w:t>
      </w:r>
    </w:p>
    <w:p>
      <w:r>
        <w:rPr>
          <w:rFonts w:ascii="Calibri" w:hAnsi="Calibri" w:eastAsia="宋体"/>
          <w:b w:val="0"/>
          <w:i w:val="0"/>
          <w:sz w:val="21"/>
        </w:rPr>
        <w:t>③ 分子动力学 MD（≥3 次独立重复，显式溶剂）</w:t>
      </w:r>
    </w:p>
    <w:p>
      <w:r>
        <w:rPr>
          <w:rFonts w:ascii="Calibri" w:hAnsi="Calibri" w:eastAsia="宋体"/>
          <w:b w:val="0"/>
          <w:i w:val="0"/>
          <w:sz w:val="21"/>
        </w:rPr>
        <w:t xml:space="preserve">        ↓</w:t>
      </w:r>
    </w:p>
    <w:p>
      <w:r>
        <w:rPr>
          <w:rFonts w:ascii="Calibri" w:hAnsi="Calibri" w:eastAsia="宋体"/>
          <w:b w:val="0"/>
          <w:i w:val="0"/>
          <w:sz w:val="21"/>
        </w:rPr>
        <w:t>④ MM/GBSA 或 MM/PBSA（仅同系列相对排序）</w:t>
      </w:r>
    </w:p>
    <w:p>
      <w:r>
        <w:rPr>
          <w:rFonts w:ascii="Calibri" w:hAnsi="Calibri" w:eastAsia="宋体"/>
          <w:b w:val="0"/>
          <w:i w:val="0"/>
          <w:sz w:val="21"/>
        </w:rPr>
        <w:t xml:space="preserve">        ↓</w:t>
      </w:r>
    </w:p>
    <w:p>
      <w:r>
        <w:rPr>
          <w:rFonts w:ascii="Calibri" w:hAnsi="Calibri" w:eastAsia="宋体"/>
          <w:b w:val="0"/>
          <w:i w:val="0"/>
          <w:sz w:val="21"/>
        </w:rPr>
        <w:t>⑤ 头部候选：QM/MM 或 DFT（金属配位 / 电荷 / 相对配位能）</w:t>
      </w:r>
    </w:p>
    <w:p>
      <w:r>
        <w:rPr>
          <w:rFonts w:ascii="Calibri" w:hAnsi="Calibri" w:eastAsia="宋体"/>
          <w:b w:val="0"/>
          <w:i w:val="0"/>
          <w:sz w:val="21"/>
        </w:rPr>
        <w:t xml:space="preserve">        ↓</w:t>
      </w:r>
    </w:p>
    <w:p>
      <w:r>
        <w:rPr>
          <w:rFonts w:ascii="Calibri" w:hAnsi="Calibri" w:eastAsia="宋体"/>
          <w:b w:val="0"/>
          <w:i w:val="0"/>
          <w:sz w:val="21"/>
        </w:rPr>
        <w:t>⑥ 输出：结构坐标摘要 + 界面残基 + 稳定性指标 + “功能待实验”</w:t>
      </w:r>
    </w:p>
    <w:p>
      <w:r>
        <w:rPr>
          <w:rFonts w:ascii="Calibri" w:hAnsi="Calibri" w:eastAsia="宋体"/>
          <w:b w:val="0"/>
          <w:i w:val="0"/>
          <w:sz w:val="21"/>
        </w:rPr>
        <w:t>```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阶段</w:t>
            </w:r>
          </w:p>
        </w:tc>
        <w:tc>
          <w:tcPr>
            <w:tcW w:type="dxa" w:w="2436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目的</w:t>
            </w:r>
          </w:p>
        </w:tc>
        <w:tc>
          <w:tcPr>
            <w:tcW w:type="dxa" w:w="2436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主要软件/工具（示例）</w:t>
            </w:r>
          </w:p>
        </w:tc>
        <w:tc>
          <w:tcPr>
            <w:tcW w:type="dxa" w:w="2436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核心参考文献（题目见后文）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构象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短肽柔性 ensemble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AlphaFold 3、PEP-FOLD、MD 聚类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Abramson 2024 </w:t>
            </w:r>
            <w:r>
              <w:rPr>
                <w:rFonts w:ascii="Calibri" w:hAnsi="Calibri" w:eastAsia="宋体"/>
                <w:b w:val="0"/>
                <w:i/>
                <w:sz w:val="18"/>
              </w:rPr>
              <w:t>Nature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对接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结合模式假设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AutoDock Vina / Glide / HADDOCK / HDOCK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见 §2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MD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稳定性、接触、金属驻留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GROMACS / AMBER / NAMD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Hollingsworth &amp; Dror 2018 </w:t>
            </w:r>
            <w:r>
              <w:rPr>
                <w:rFonts w:ascii="Calibri" w:hAnsi="Calibri" w:eastAsia="宋体"/>
                <w:b w:val="0"/>
                <w:i/>
                <w:sz w:val="18"/>
              </w:rPr>
              <w:t>Neuron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结合能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12 肽相对排序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MMPBSA.py / gmx_MMPBSA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Genheden &amp; Ryde 2015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量化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配位几何与电子结构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Gaussian / ORCA + QM/MM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Senn &amp; Thiel 2009；金属–肽 DFT 文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非 Aβ 生物学锚点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为何做这些计算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Forloni；Chen LL-37；amylin 线</w:t>
            </w:r>
          </w:p>
        </w:tc>
      </w:tr>
    </w:tbl>
    <w:p>
      <w:pPr>
        <w:spacing w:after="40"/>
      </w:pPr>
      <w:r>
        <w:rPr>
          <w:sz w:val="4"/>
        </w:rPr>
      </w:r>
    </w:p>
    <w:p>
      <w:r>
        <w:rPr>
          <w:rFonts w:ascii="Calibri" w:hAnsi="Calibri" w:eastAsia="宋体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Calibri" w:hAnsi="Calibri" w:eastAsia="宋体"/>
          <w:b w:val="0"/>
          <w:i w:val="0"/>
          <w:sz w:val="28"/>
        </w:rPr>
        <w:t>1 生物学锚点文献（非 Aβ 毒性肽——计算服务的对象）</w:t>
      </w:r>
    </w:p>
    <w:p>
      <w:pPr>
        <w:pBdr>
          <w:left w:val="single" w:sz="18" w:space="4" w:color="2E74B5"/>
        </w:pBdr>
        <w:shd w:val="clear" w:color="auto" w:fill="F2F7FB"/>
        <w:spacing w:after="120"/>
        <w:ind w:left="227"/>
      </w:pPr>
      <w:r>
        <w:rPr>
          <w:rFonts w:ascii="Calibri" w:hAnsi="Calibri" w:eastAsia="宋体"/>
          <w:b w:val="0"/>
          <w:i w:val="0"/>
          <w:sz w:val="21"/>
        </w:rPr>
        <w:t xml:space="preserve">计算方案要写清：对标的是这类 </w:t>
      </w:r>
      <w:r>
        <w:rPr>
          <w:rFonts w:ascii="Calibri" w:hAnsi="Calibri" w:eastAsia="宋体"/>
          <w:b/>
          <w:i w:val="0"/>
          <w:sz w:val="21"/>
        </w:rPr>
        <w:t>非 Aβ 毒性肽</w:t>
      </w:r>
      <w:r>
        <w:rPr>
          <w:rFonts w:ascii="Calibri" w:hAnsi="Calibri" w:eastAsia="宋体"/>
          <w:b w:val="0"/>
          <w:i w:val="0"/>
          <w:sz w:val="21"/>
        </w:rPr>
        <w:t xml:space="preserve"> 的结构/毒性问题，不是 Aβ 身份证明。</w:t>
      </w:r>
    </w:p>
    <w:p>
      <w:pPr>
        <w:pStyle w:val="Heading3"/>
      </w:pPr>
      <w:r>
        <w:rPr>
          <w:rFonts w:ascii="Calibri" w:hAnsi="Calibri" w:eastAsia="宋体"/>
          <w:b w:val="0"/>
          <w:i w:val="0"/>
          <w:sz w:val="25"/>
        </w:rPr>
        <w:t>1.1 PrP106–126（经典非 Aβ 短毒性肽）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#</w:t>
            </w:r>
          </w:p>
        </w:tc>
        <w:tc>
          <w:tcPr>
            <w:tcW w:type="dxa" w:w="1949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完整题目</w:t>
            </w:r>
          </w:p>
        </w:tc>
        <w:tc>
          <w:tcPr>
            <w:tcW w:type="dxa" w:w="1949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期刊 / 年</w:t>
            </w:r>
          </w:p>
        </w:tc>
        <w:tc>
          <w:tcPr>
            <w:tcW w:type="dxa" w:w="1949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DOI</w:t>
            </w:r>
          </w:p>
        </w:tc>
        <w:tc>
          <w:tcPr>
            <w:tcW w:type="dxa" w:w="1949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PMID</w:t>
            </w:r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B1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宋体"/>
                <w:b/>
                <w:i w:val="0"/>
                <w:sz w:val="18"/>
              </w:rPr>
              <w:t>Neurotoxicity of a prion protein fragment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宋体"/>
                <w:b w:val="0"/>
                <w:i/>
                <w:sz w:val="18"/>
              </w:rPr>
              <w:t>Nature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1993; 362:543-546</w:t>
            </w:r>
          </w:p>
        </w:tc>
        <w:tc>
          <w:tcPr>
            <w:tcW w:type="dxa" w:w="1949"/>
          </w:tcPr>
          <w:p>
            <w:hyperlink r:id="rId9">
              <w:r>
                <w:rPr>
                  <w:rFonts w:ascii="Calibri" w:hAnsi="Calibri" w:eastAsia="宋体"/>
                  <w:sz w:val="18"/>
                  <w:color w:val="0563C1"/>
                  <w:u w:val="single"/>
                </w:rPr>
                <w:t xml:space="preserve">10.1038/362543a0</w:t>
              </w:r>
            </w:hyperlink>
          </w:p>
        </w:tc>
        <w:tc>
          <w:tcPr>
            <w:tcW w:type="dxa" w:w="1949"/>
          </w:tcPr>
          <w:p>
            <w:hyperlink r:id="rId10">
              <w:r>
                <w:rPr>
                  <w:rFonts w:ascii="Calibri" w:hAnsi="Calibri" w:eastAsia="宋体"/>
                  <w:sz w:val="18"/>
                  <w:color w:val="0563C1"/>
                  <w:u w:val="single"/>
                </w:rPr>
                <w:t xml:space="preserve">8464494</w:t>
              </w:r>
            </w:hyperlink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B2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宋体"/>
                <w:b/>
                <w:i w:val="0"/>
                <w:sz w:val="18"/>
              </w:rPr>
              <w:t>Review: PrP 106-126 - 25 years after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宋体"/>
                <w:b w:val="0"/>
                <w:i/>
                <w:sz w:val="18"/>
              </w:rPr>
              <w:t>Neuropathol Appl Neurobiol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2019; 45:430-440</w:t>
            </w:r>
          </w:p>
        </w:tc>
        <w:tc>
          <w:tcPr>
            <w:tcW w:type="dxa" w:w="1949"/>
          </w:tcPr>
          <w:p>
            <w:hyperlink r:id="rId11">
              <w:r>
                <w:rPr>
                  <w:rFonts w:ascii="Calibri" w:hAnsi="Calibri" w:eastAsia="宋体"/>
                  <w:sz w:val="18"/>
                  <w:color w:val="0563C1"/>
                  <w:u w:val="single"/>
                </w:rPr>
                <w:t xml:space="preserve">10.1111/nan.12538</w:t>
              </w:r>
            </w:hyperlink>
          </w:p>
        </w:tc>
        <w:tc>
          <w:tcPr>
            <w:tcW w:type="dxa" w:w="1949"/>
          </w:tcPr>
          <w:p>
            <w:hyperlink r:id="rId12">
              <w:r>
                <w:rPr>
                  <w:rFonts w:ascii="Calibri" w:hAnsi="Calibri" w:eastAsia="宋体"/>
                  <w:sz w:val="18"/>
                  <w:color w:val="0563C1"/>
                  <w:u w:val="single"/>
                </w:rPr>
                <w:t xml:space="preserve">30635947</w:t>
              </w:r>
            </w:hyperlink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B3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宋体"/>
                <w:b/>
                <w:i w:val="0"/>
                <w:sz w:val="18"/>
              </w:rPr>
              <w:t>PHB2 Alleviates Neurotoxicity of Prion Peptide PrP(106-126) via PINK1/Parkin-Dependent Mitophagy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宋体"/>
                <w:b w:val="0"/>
                <w:i/>
                <w:sz w:val="18"/>
              </w:rPr>
              <w:t>Int J Mol Sci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2023; 24:15919</w:t>
            </w:r>
          </w:p>
        </w:tc>
        <w:tc>
          <w:tcPr>
            <w:tcW w:type="dxa" w:w="1949"/>
          </w:tcPr>
          <w:p>
            <w:hyperlink r:id="rId13">
              <w:r>
                <w:rPr>
                  <w:rFonts w:ascii="Calibri" w:hAnsi="Calibri" w:eastAsia="宋体"/>
                  <w:sz w:val="18"/>
                  <w:color w:val="0563C1"/>
                  <w:u w:val="single"/>
                </w:rPr>
                <w:t xml:space="preserve">10.3390/ijms242115919</w:t>
              </w:r>
            </w:hyperlink>
          </w:p>
        </w:tc>
        <w:tc>
          <w:tcPr>
            <w:tcW w:type="dxa" w:w="1949"/>
          </w:tcPr>
          <w:p>
            <w:hyperlink r:id="rId14">
              <w:r>
                <w:rPr>
                  <w:rFonts w:ascii="Calibri" w:hAnsi="Calibri" w:eastAsia="宋体"/>
                  <w:sz w:val="18"/>
                  <w:color w:val="0563C1"/>
                  <w:u w:val="single"/>
                </w:rPr>
                <w:t xml:space="preserve">37958902</w:t>
              </w:r>
            </w:hyperlink>
          </w:p>
        </w:tc>
      </w:tr>
    </w:tbl>
    <w:p>
      <w:pPr>
        <w:spacing w:after="40"/>
      </w:pPr>
      <w:r>
        <w:rPr>
          <w:sz w:val="4"/>
        </w:rPr>
      </w:r>
    </w:p>
    <w:p>
      <w:r>
        <w:rPr>
          <w:rFonts w:ascii="Calibri" w:hAnsi="Calibri" w:eastAsia="宋体"/>
          <w:b/>
          <w:i w:val="0"/>
          <w:sz w:val="21"/>
        </w:rPr>
        <w:t>对计算的含义</w:t>
      </w:r>
      <w:r>
        <w:rPr>
          <w:rFonts w:ascii="Calibri" w:hAnsi="Calibri" w:eastAsia="宋体"/>
          <w:b w:val="0"/>
          <w:i w:val="0"/>
          <w:sz w:val="21"/>
        </w:rPr>
        <w:t xml:space="preserve">：短肽可自身聚集并致神经元死亡 → 计算应覆盖 </w:t>
      </w:r>
      <w:r>
        <w:rPr>
          <w:rFonts w:ascii="Calibri" w:hAnsi="Calibri" w:eastAsia="宋体"/>
          <w:b/>
          <w:i w:val="0"/>
          <w:sz w:val="21"/>
        </w:rPr>
        <w:t>肽自组装 / 膜相互作用 /（可选）线粒体相关蛋白接触</w:t>
      </w:r>
      <w:r>
        <w:rPr>
          <w:rFonts w:ascii="Calibri" w:hAnsi="Calibri" w:eastAsia="宋体"/>
          <w:b w:val="0"/>
          <w:i w:val="0"/>
          <w:sz w:val="21"/>
        </w:rPr>
        <w:t>，阳性对照序列可用 PrP106–126。</w:t>
      </w:r>
    </w:p>
    <w:p>
      <w:r>
        <w:rPr>
          <w:rFonts w:ascii="Calibri" w:hAnsi="Calibri" w:eastAsia="宋体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Calibri" w:hAnsi="Calibri" w:eastAsia="宋体"/>
          <w:b w:val="0"/>
          <w:i w:val="0"/>
          <w:sz w:val="25"/>
        </w:rPr>
        <w:t>1.2 LL-37（人源抗菌肽，AD 相关非 Aβ 肽）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#</w:t>
            </w:r>
          </w:p>
        </w:tc>
        <w:tc>
          <w:tcPr>
            <w:tcW w:type="dxa" w:w="1949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完整题目</w:t>
            </w:r>
          </w:p>
        </w:tc>
        <w:tc>
          <w:tcPr>
            <w:tcW w:type="dxa" w:w="1949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期刊 / 年</w:t>
            </w:r>
          </w:p>
        </w:tc>
        <w:tc>
          <w:tcPr>
            <w:tcW w:type="dxa" w:w="1949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DOI</w:t>
            </w:r>
          </w:p>
        </w:tc>
        <w:tc>
          <w:tcPr>
            <w:tcW w:type="dxa" w:w="1949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PMID</w:t>
            </w:r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B4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宋体"/>
                <w:b/>
                <w:i w:val="0"/>
                <w:sz w:val="18"/>
              </w:rPr>
              <w:t>Human antimicrobial peptide LL-37 contributes to Alzheimer's disease progression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宋体"/>
                <w:b w:val="0"/>
                <w:i/>
                <w:sz w:val="18"/>
              </w:rPr>
              <w:t>Mol Psychiatry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2022; 27:4790-4799</w:t>
            </w:r>
          </w:p>
        </w:tc>
        <w:tc>
          <w:tcPr>
            <w:tcW w:type="dxa" w:w="1949"/>
          </w:tcPr>
          <w:p>
            <w:hyperlink r:id="rId15">
              <w:r>
                <w:rPr>
                  <w:rFonts w:ascii="Calibri" w:hAnsi="Calibri" w:eastAsia="宋体"/>
                  <w:sz w:val="18"/>
                  <w:color w:val="0563C1"/>
                  <w:u w:val="single"/>
                </w:rPr>
                <w:t xml:space="preserve">10.1038/s41380-022-01790-6</w:t>
              </w:r>
            </w:hyperlink>
          </w:p>
        </w:tc>
        <w:tc>
          <w:tcPr>
            <w:tcW w:type="dxa" w:w="1949"/>
          </w:tcPr>
          <w:p>
            <w:hyperlink r:id="rId16">
              <w:r>
                <w:rPr>
                  <w:rFonts w:ascii="Calibri" w:hAnsi="Calibri" w:eastAsia="宋体"/>
                  <w:sz w:val="18"/>
                  <w:color w:val="0563C1"/>
                  <w:u w:val="single"/>
                </w:rPr>
                <w:t xml:space="preserve">36138130</w:t>
              </w:r>
            </w:hyperlink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B5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宋体"/>
                <w:b/>
                <w:i w:val="0"/>
                <w:sz w:val="18"/>
              </w:rPr>
              <w:t>LL-37: Structures, Antimicrobial Activity, and Influence on Amyloid-Related Diseases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宋体"/>
                <w:b w:val="0"/>
                <w:i/>
                <w:sz w:val="18"/>
              </w:rPr>
              <w:t>Biomolecules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2024; 14:320</w:t>
            </w:r>
          </w:p>
        </w:tc>
        <w:tc>
          <w:tcPr>
            <w:tcW w:type="dxa" w:w="1949"/>
          </w:tcPr>
          <w:p>
            <w:hyperlink r:id="rId17">
              <w:r>
                <w:rPr>
                  <w:rFonts w:ascii="Calibri" w:hAnsi="Calibri" w:eastAsia="宋体"/>
                  <w:sz w:val="18"/>
                  <w:color w:val="0563C1"/>
                  <w:u w:val="single"/>
                </w:rPr>
                <w:t xml:space="preserve">10.3390/biom14030320</w:t>
              </w:r>
            </w:hyperlink>
          </w:p>
        </w:tc>
        <w:tc>
          <w:tcPr>
            <w:tcW w:type="dxa" w:w="1949"/>
          </w:tcPr>
          <w:p>
            <w:hyperlink r:id="rId18">
              <w:r>
                <w:rPr>
                  <w:rFonts w:ascii="Calibri" w:hAnsi="Calibri" w:eastAsia="宋体"/>
                  <w:sz w:val="18"/>
                  <w:color w:val="0563C1"/>
                  <w:u w:val="single"/>
                </w:rPr>
                <w:t xml:space="preserve">38540740</w:t>
              </w:r>
            </w:hyperlink>
          </w:p>
        </w:tc>
      </w:tr>
    </w:tbl>
    <w:p>
      <w:pPr>
        <w:spacing w:after="40"/>
      </w:pPr>
      <w:r>
        <w:rPr>
          <w:sz w:val="4"/>
        </w:rPr>
      </w:r>
    </w:p>
    <w:p>
      <w:r>
        <w:rPr>
          <w:rFonts w:ascii="Calibri" w:hAnsi="Calibri" w:eastAsia="宋体"/>
          <w:b/>
          <w:i w:val="0"/>
          <w:sz w:val="21"/>
        </w:rPr>
        <w:t>对计算的含义</w:t>
      </w:r>
      <w:r>
        <w:rPr>
          <w:rFonts w:ascii="Calibri" w:hAnsi="Calibri" w:eastAsia="宋体"/>
          <w:b w:val="0"/>
          <w:i w:val="0"/>
          <w:sz w:val="21"/>
        </w:rPr>
        <w:t xml:space="preserve">：LL-37 通过 </w:t>
      </w:r>
      <w:r>
        <w:rPr>
          <w:rFonts w:ascii="Calibri" w:hAnsi="Calibri" w:eastAsia="宋体"/>
          <w:b/>
          <w:i w:val="0"/>
          <w:sz w:val="21"/>
        </w:rPr>
        <w:t>CLIC1</w:t>
      </w:r>
      <w:r>
        <w:rPr>
          <w:rFonts w:ascii="Calibri" w:hAnsi="Calibri" w:eastAsia="宋体"/>
          <w:b w:val="0"/>
          <w:i w:val="0"/>
          <w:sz w:val="21"/>
        </w:rPr>
        <w:t xml:space="preserve"> 等膜相关机制 → 对接/MD 优先靶点可设 </w:t>
      </w:r>
      <w:r>
        <w:rPr>
          <w:rFonts w:ascii="Calibri" w:hAnsi="Calibri" w:eastAsia="宋体"/>
          <w:b/>
          <w:i w:val="0"/>
          <w:sz w:val="21"/>
        </w:rPr>
        <w:t>CLIC1 跨膜/近膜区</w:t>
      </w:r>
      <w:r>
        <w:rPr>
          <w:rFonts w:ascii="Calibri" w:hAnsi="Calibri" w:eastAsia="宋体"/>
          <w:b w:val="0"/>
          <w:i w:val="0"/>
          <w:sz w:val="21"/>
        </w:rPr>
        <w:t xml:space="preserve"> 或 </w:t>
      </w:r>
      <w:r>
        <w:rPr>
          <w:rFonts w:ascii="Calibri" w:hAnsi="Calibri" w:eastAsia="宋体"/>
          <w:b/>
          <w:i w:val="0"/>
          <w:sz w:val="21"/>
        </w:rPr>
        <w:t>阴离子膜模型</w:t>
      </w:r>
      <w:r>
        <w:rPr>
          <w:rFonts w:ascii="Calibri" w:hAnsi="Calibri" w:eastAsia="宋体"/>
          <w:b w:val="0"/>
          <w:i w:val="0"/>
          <w:sz w:val="21"/>
        </w:rPr>
        <w:t>；不要默认对接 Aβ。</w:t>
      </w:r>
    </w:p>
    <w:p>
      <w:r>
        <w:rPr>
          <w:rFonts w:ascii="Calibri" w:hAnsi="Calibri" w:eastAsia="宋体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Calibri" w:hAnsi="Calibri" w:eastAsia="宋体"/>
          <w:b w:val="0"/>
          <w:i w:val="0"/>
          <w:sz w:val="25"/>
        </w:rPr>
        <w:t>1.3 人 amylin / IAPP（非 Aβ 淀粉样毒性肽）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#</w:t>
            </w:r>
          </w:p>
        </w:tc>
        <w:tc>
          <w:tcPr>
            <w:tcW w:type="dxa" w:w="1949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完整题目</w:t>
            </w:r>
          </w:p>
        </w:tc>
        <w:tc>
          <w:tcPr>
            <w:tcW w:type="dxa" w:w="1949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期刊 / 年</w:t>
            </w:r>
          </w:p>
        </w:tc>
        <w:tc>
          <w:tcPr>
            <w:tcW w:type="dxa" w:w="1949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DOI</w:t>
            </w:r>
          </w:p>
        </w:tc>
        <w:tc>
          <w:tcPr>
            <w:tcW w:type="dxa" w:w="1949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PMID</w:t>
            </w:r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B6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宋体"/>
                <w:b/>
                <w:i w:val="0"/>
                <w:sz w:val="18"/>
              </w:rPr>
              <w:t>Rapid, scalable assay of amylin-β amyloid co-aggregation in brain tissue and blood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宋体"/>
                <w:b w:val="0"/>
                <w:i/>
                <w:sz w:val="18"/>
              </w:rPr>
              <w:t>J Biol Chem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2023; 299:104682</w:t>
            </w:r>
          </w:p>
        </w:tc>
        <w:tc>
          <w:tcPr>
            <w:tcW w:type="dxa" w:w="1949"/>
          </w:tcPr>
          <w:p>
            <w:hyperlink r:id="rId19">
              <w:r>
                <w:rPr>
                  <w:rFonts w:ascii="Calibri" w:hAnsi="Calibri" w:eastAsia="宋体"/>
                  <w:sz w:val="18"/>
                  <w:color w:val="0563C1"/>
                  <w:u w:val="single"/>
                </w:rPr>
                <w:t xml:space="preserve">10.1016/j.jbc.2023.104682</w:t>
              </w:r>
            </w:hyperlink>
          </w:p>
        </w:tc>
        <w:tc>
          <w:tcPr>
            <w:tcW w:type="dxa" w:w="1949"/>
          </w:tcPr>
          <w:p>
            <w:hyperlink r:id="rId20">
              <w:r>
                <w:rPr>
                  <w:rFonts w:ascii="Calibri" w:hAnsi="Calibri" w:eastAsia="宋体"/>
                  <w:sz w:val="18"/>
                  <w:color w:val="0563C1"/>
                  <w:u w:val="single"/>
                </w:rPr>
                <w:t xml:space="preserve">37030503</w:t>
              </w:r>
            </w:hyperlink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B7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宋体"/>
                <w:b/>
                <w:i w:val="0"/>
                <w:sz w:val="18"/>
              </w:rPr>
              <w:t>Skin capillary amylin deposition resembles brain amylin vasculopathy in rats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宋体"/>
                <w:b w:val="0"/>
                <w:i/>
                <w:sz w:val="18"/>
              </w:rPr>
              <w:t>J Stroke Cerebrovasc Dis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2023; 32:107300</w:t>
            </w:r>
          </w:p>
        </w:tc>
        <w:tc>
          <w:tcPr>
            <w:tcW w:type="dxa" w:w="1949"/>
          </w:tcPr>
          <w:p>
            <w:hyperlink r:id="rId21">
              <w:r>
                <w:rPr>
                  <w:rFonts w:ascii="Calibri" w:hAnsi="Calibri" w:eastAsia="宋体"/>
                  <w:sz w:val="18"/>
                  <w:color w:val="0563C1"/>
                  <w:u w:val="single"/>
                </w:rPr>
                <w:t xml:space="preserve">10.1016/j.jstrokecerebrovasdis.2023.107300</w:t>
              </w:r>
            </w:hyperlink>
          </w:p>
        </w:tc>
        <w:tc>
          <w:tcPr>
            <w:tcW w:type="dxa" w:w="1949"/>
          </w:tcPr>
          <w:p>
            <w:hyperlink r:id="rId22">
              <w:r>
                <w:rPr>
                  <w:rFonts w:ascii="Calibri" w:hAnsi="Calibri" w:eastAsia="宋体"/>
                  <w:sz w:val="18"/>
                  <w:color w:val="0563C1"/>
                  <w:u w:val="single"/>
                </w:rPr>
                <w:t xml:space="preserve">37572602</w:t>
              </w:r>
            </w:hyperlink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B8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宋体"/>
                <w:b/>
                <w:i w:val="0"/>
                <w:sz w:val="18"/>
              </w:rPr>
              <w:t>A unifying framework for amyloid-mediated membrane damage: The lipid-chaperone hypothesis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宋体"/>
                <w:b w:val="0"/>
                <w:i/>
                <w:sz w:val="18"/>
              </w:rPr>
              <w:t>Biochim Biophys Acta Proteins Proteom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2022; 1870:140767</w:t>
            </w:r>
          </w:p>
        </w:tc>
        <w:tc>
          <w:tcPr>
            <w:tcW w:type="dxa" w:w="1949"/>
          </w:tcPr>
          <w:p>
            <w:hyperlink r:id="rId23">
              <w:r>
                <w:rPr>
                  <w:rFonts w:ascii="Calibri" w:hAnsi="Calibri" w:eastAsia="宋体"/>
                  <w:sz w:val="18"/>
                  <w:color w:val="0563C1"/>
                  <w:u w:val="single"/>
                </w:rPr>
                <w:t xml:space="preserve">10.1016/j.bbapap.2022.140767</w:t>
              </w:r>
            </w:hyperlink>
          </w:p>
        </w:tc>
        <w:tc>
          <w:tcPr>
            <w:tcW w:type="dxa" w:w="1949"/>
          </w:tcPr>
          <w:p>
            <w:hyperlink r:id="rId24">
              <w:r>
                <w:rPr>
                  <w:rFonts w:ascii="Calibri" w:hAnsi="Calibri" w:eastAsia="宋体"/>
                  <w:sz w:val="18"/>
                  <w:color w:val="0563C1"/>
                  <w:u w:val="single"/>
                </w:rPr>
                <w:t xml:space="preserve">35144022</w:t>
              </w:r>
            </w:hyperlink>
          </w:p>
        </w:tc>
      </w:tr>
    </w:tbl>
    <w:p>
      <w:pPr>
        <w:spacing w:after="40"/>
      </w:pPr>
      <w:r>
        <w:rPr>
          <w:sz w:val="4"/>
        </w:rPr>
      </w:r>
    </w:p>
    <w:p>
      <w:r>
        <w:rPr>
          <w:rFonts w:ascii="Calibri" w:hAnsi="Calibri" w:eastAsia="宋体"/>
          <w:b/>
          <w:i w:val="0"/>
          <w:sz w:val="21"/>
        </w:rPr>
        <w:t>对计算的含义</w:t>
      </w:r>
      <w:r>
        <w:rPr>
          <w:rFonts w:ascii="Calibri" w:hAnsi="Calibri" w:eastAsia="宋体"/>
          <w:b w:val="0"/>
          <w:i w:val="0"/>
          <w:sz w:val="21"/>
        </w:rPr>
        <w:t xml:space="preserve">：IAPP/α-syn 等共享 </w:t>
      </w:r>
      <w:r>
        <w:rPr>
          <w:rFonts w:ascii="Calibri" w:hAnsi="Calibri" w:eastAsia="宋体"/>
          <w:b/>
          <w:i w:val="0"/>
          <w:sz w:val="21"/>
        </w:rPr>
        <w:t>膜损伤</w:t>
      </w:r>
      <w:r>
        <w:rPr>
          <w:rFonts w:ascii="Calibri" w:hAnsi="Calibri" w:eastAsia="宋体"/>
          <w:b w:val="0"/>
          <w:i w:val="0"/>
          <w:sz w:val="21"/>
        </w:rPr>
        <w:t xml:space="preserve"> 计算问题（肽–脂质、孔道样聚集）→ 可用 </w:t>
      </w:r>
      <w:r>
        <w:rPr>
          <w:rFonts w:ascii="Calibri" w:hAnsi="Calibri" w:eastAsia="宋体"/>
          <w:b/>
          <w:i w:val="0"/>
          <w:sz w:val="21"/>
        </w:rPr>
        <w:t>膜 MD（CHARMM-GUI 双层）</w:t>
      </w:r>
      <w:r>
        <w:rPr>
          <w:rFonts w:ascii="Calibri" w:hAnsi="Calibri" w:eastAsia="宋体"/>
          <w:b w:val="0"/>
          <w:i w:val="0"/>
          <w:sz w:val="21"/>
        </w:rPr>
        <w:t>，不必走 Aβ 专有假说。</w:t>
      </w:r>
    </w:p>
    <w:p>
      <w:r>
        <w:rPr>
          <w:rFonts w:ascii="Calibri" w:hAnsi="Calibri" w:eastAsia="宋体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Calibri" w:hAnsi="Calibri" w:eastAsia="宋体"/>
          <w:b w:val="0"/>
          <w:i w:val="0"/>
          <w:sz w:val="28"/>
        </w:rPr>
        <w:t>2 分子对接（Docking）——具体做法</w:t>
      </w:r>
    </w:p>
    <w:p>
      <w:pPr>
        <w:pStyle w:val="Heading3"/>
      </w:pPr>
      <w:r>
        <w:rPr>
          <w:rFonts w:ascii="Calibri" w:hAnsi="Calibri" w:eastAsia="宋体"/>
          <w:b w:val="0"/>
          <w:i w:val="0"/>
          <w:sz w:val="25"/>
        </w:rPr>
        <w:t>2.1 方法学总则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步骤</w:t>
            </w:r>
          </w:p>
        </w:tc>
        <w:tc>
          <w:tcPr>
            <w:tcW w:type="dxa" w:w="3249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具体做法</w:t>
            </w:r>
          </w:p>
        </w:tc>
        <w:tc>
          <w:tcPr>
            <w:tcW w:type="dxa" w:w="3249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注意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1. 准备肽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用 AF3 或肽结构服务器生成 </w:t>
            </w:r>
            <w:r>
              <w:rPr>
                <w:rFonts w:ascii="Calibri" w:hAnsi="Calibri" w:eastAsia="宋体"/>
                <w:b/>
                <w:i w:val="0"/>
                <w:sz w:val="18"/>
              </w:rPr>
              <w:t>多构象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（≥5–10 个聚类代表）；短肽 7–15 aa </w:t>
            </w:r>
            <w:r>
              <w:rPr>
                <w:rFonts w:ascii="Calibri" w:hAnsi="Calibri" w:eastAsia="宋体"/>
                <w:b/>
                <w:i w:val="0"/>
                <w:sz w:val="18"/>
              </w:rPr>
              <w:t>禁止只对接 1 个刚性构象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短肽柔性大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2. 准备靶标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按假说选：</w:t>
            </w:r>
            <w:r>
              <w:rPr>
                <w:rFonts w:ascii="Calibri" w:hAnsi="Calibri" w:eastAsia="宋体"/>
                <w:b/>
                <w:i w:val="0"/>
                <w:sz w:val="18"/>
              </w:rPr>
              <w:t>膜（隐式/显式）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、</w:t>
            </w:r>
            <w:r>
              <w:rPr>
                <w:rFonts w:ascii="Calibri" w:hAnsi="Calibri" w:eastAsia="宋体"/>
                <w:b/>
                <w:i w:val="0"/>
                <w:sz w:val="18"/>
              </w:rPr>
              <w:t>CLIC1（LL-37 类比）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、</w:t>
            </w:r>
            <w:r>
              <w:rPr>
                <w:rFonts w:ascii="Calibri" w:hAnsi="Calibri" w:eastAsia="宋体"/>
                <w:b/>
                <w:i w:val="0"/>
                <w:sz w:val="18"/>
              </w:rPr>
              <w:t>金属结合口袋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、或自组装界面；下载 PDB，去水、补残基、加氢、分配电荷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靶要与非 Aβ 锚点一致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3. 对接盒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覆盖结合位点 + 边距 ≥1 nm；盲目对接需全蛋白/全膜补丁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记录网格参数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4. 采样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Vina：exhaustiveness ≥16–32；或 HADDOCK 柔性对接（肽侧链 + 界面残基）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输出 top 20–50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5. 筛选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结合能 + 簇大小 + 界面残基合理性 + 与 MD 兼容的取向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对接分 ≠ 毒性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6. 输出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每个肽：最优 3 簇的 PDB、界面残基表（距离 &lt;4 Å）、氢键/盐桥列表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写入补充材料</w:t>
            </w:r>
          </w:p>
        </w:tc>
      </w:tr>
    </w:tbl>
    <w:p>
      <w:pPr>
        <w:spacing w:after="40"/>
      </w:pPr>
      <w:r>
        <w:rPr>
          <w:sz w:val="4"/>
        </w:rPr>
      </w:r>
    </w:p>
    <w:p>
      <w:pPr>
        <w:pStyle w:val="Heading3"/>
      </w:pPr>
      <w:r>
        <w:rPr>
          <w:rFonts w:ascii="Calibri" w:hAnsi="Calibri" w:eastAsia="宋体"/>
          <w:b w:val="0"/>
          <w:i w:val="0"/>
          <w:sz w:val="25"/>
        </w:rPr>
        <w:t>2.2 对接相关可参考文献（完整题目）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#</w:t>
            </w:r>
          </w:p>
        </w:tc>
        <w:tc>
          <w:tcPr>
            <w:tcW w:type="dxa" w:w="1624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完整题目</w:t>
            </w:r>
          </w:p>
        </w:tc>
        <w:tc>
          <w:tcPr>
            <w:tcW w:type="dxa" w:w="1624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用途</w:t>
            </w:r>
          </w:p>
        </w:tc>
        <w:tc>
          <w:tcPr>
            <w:tcW w:type="dxa" w:w="1624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期刊 / 年</w:t>
            </w:r>
          </w:p>
        </w:tc>
        <w:tc>
          <w:tcPr>
            <w:tcW w:type="dxa" w:w="1624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DOI</w:t>
            </w:r>
          </w:p>
        </w:tc>
        <w:tc>
          <w:tcPr>
            <w:tcW w:type="dxa" w:w="1624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PMID</w:t>
            </w:r>
          </w:p>
        </w:tc>
      </w:tr>
      <w:tr>
        <w:tc>
          <w:tcPr>
            <w:tcW w:type="dxa" w:w="1624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C1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宋体"/>
                <w:b/>
                <w:i w:val="0"/>
                <w:sz w:val="18"/>
              </w:rPr>
              <w:t>Accurate structure prediction of biomolecular interactions with AlphaFold 3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复合物/肽–蛋白初始模型；</w:t>
            </w:r>
            <w:r>
              <w:rPr>
                <w:rFonts w:ascii="Calibri" w:hAnsi="Calibri" w:eastAsia="宋体"/>
                <w:b/>
                <w:i w:val="0"/>
                <w:sz w:val="18"/>
              </w:rPr>
              <w:t>不能替代对接+MD 验证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宋体"/>
                <w:b w:val="0"/>
                <w:i/>
                <w:sz w:val="18"/>
              </w:rPr>
              <w:t>Nature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2024; 630:493-500</w:t>
            </w:r>
          </w:p>
        </w:tc>
        <w:tc>
          <w:tcPr>
            <w:tcW w:type="dxa" w:w="1624"/>
          </w:tcPr>
          <w:p>
            <w:hyperlink r:id="rId25">
              <w:r>
                <w:rPr>
                  <w:rFonts w:ascii="Calibri" w:hAnsi="Calibri" w:eastAsia="宋体"/>
                  <w:sz w:val="18"/>
                  <w:color w:val="0563C1"/>
                  <w:u w:val="single"/>
                </w:rPr>
                <w:t xml:space="preserve">10.1038/s41586-024-07487-w</w:t>
              </w:r>
            </w:hyperlink>
          </w:p>
        </w:tc>
        <w:tc>
          <w:tcPr>
            <w:tcW w:type="dxa" w:w="1624"/>
          </w:tcPr>
          <w:p>
            <w:hyperlink r:id="rId26">
              <w:r>
                <w:rPr>
                  <w:rFonts w:ascii="Calibri" w:hAnsi="Calibri" w:eastAsia="宋体"/>
                  <w:sz w:val="18"/>
                  <w:color w:val="0563C1"/>
                  <w:u w:val="single"/>
                </w:rPr>
                <w:t xml:space="preserve">38718835</w:t>
              </w:r>
            </w:hyperlink>
          </w:p>
        </w:tc>
      </w:tr>
      <w:tr>
        <w:tc>
          <w:tcPr>
            <w:tcW w:type="dxa" w:w="1624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C2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宋体"/>
                <w:b/>
                <w:i w:val="0"/>
                <w:sz w:val="18"/>
              </w:rPr>
              <w:t>LL-37: Structures, Antimicrobial Activity, and Influence on Amyloid-Related Diseases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LL-37 螺旋/膜取向结构信息，指导对接姿态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宋体"/>
                <w:b w:val="0"/>
                <w:i/>
                <w:sz w:val="18"/>
              </w:rPr>
              <w:t>Biomolecules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2024</w:t>
            </w:r>
          </w:p>
        </w:tc>
        <w:tc>
          <w:tcPr>
            <w:tcW w:type="dxa" w:w="1624"/>
          </w:tcPr>
          <w:p>
            <w:hyperlink r:id="rId17">
              <w:r>
                <w:rPr>
                  <w:rFonts w:ascii="Calibri" w:hAnsi="Calibri" w:eastAsia="宋体"/>
                  <w:sz w:val="18"/>
                  <w:color w:val="0563C1"/>
                  <w:u w:val="single"/>
                </w:rPr>
                <w:t xml:space="preserve">10.3390/biom14030320</w:t>
              </w:r>
            </w:hyperlink>
          </w:p>
        </w:tc>
        <w:tc>
          <w:tcPr>
            <w:tcW w:type="dxa" w:w="1624"/>
          </w:tcPr>
          <w:p>
            <w:hyperlink r:id="rId18">
              <w:r>
                <w:rPr>
                  <w:rFonts w:ascii="Calibri" w:hAnsi="Calibri" w:eastAsia="宋体"/>
                  <w:sz w:val="18"/>
                  <w:color w:val="0563C1"/>
                  <w:u w:val="single"/>
                </w:rPr>
                <w:t xml:space="preserve">38540740</w:t>
              </w:r>
            </w:hyperlink>
          </w:p>
        </w:tc>
      </w:tr>
      <w:tr>
        <w:tc>
          <w:tcPr>
            <w:tcW w:type="dxa" w:w="1624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C3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宋体"/>
                <w:b/>
                <w:i w:val="0"/>
                <w:sz w:val="18"/>
              </w:rPr>
              <w:t>Human antimicrobial peptide LL-37 contributes to Alzheimer's disease progression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指明计算靶点方向（CLIC1 相互作用），对接后应用实验逻辑验证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宋体"/>
                <w:b w:val="0"/>
                <w:i/>
                <w:sz w:val="18"/>
              </w:rPr>
              <w:t>Mol Psychiatry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2022</w:t>
            </w:r>
          </w:p>
        </w:tc>
        <w:tc>
          <w:tcPr>
            <w:tcW w:type="dxa" w:w="1624"/>
          </w:tcPr>
          <w:p>
            <w:hyperlink r:id="rId15">
              <w:r>
                <w:rPr>
                  <w:rFonts w:ascii="Calibri" w:hAnsi="Calibri" w:eastAsia="宋体"/>
                  <w:sz w:val="18"/>
                  <w:color w:val="0563C1"/>
                  <w:u w:val="single"/>
                </w:rPr>
                <w:t xml:space="preserve">10.1038/s41380-022-01790-6</w:t>
              </w:r>
            </w:hyperlink>
          </w:p>
        </w:tc>
        <w:tc>
          <w:tcPr>
            <w:tcW w:type="dxa" w:w="1624"/>
          </w:tcPr>
          <w:p>
            <w:hyperlink r:id="rId16">
              <w:r>
                <w:rPr>
                  <w:rFonts w:ascii="Calibri" w:hAnsi="Calibri" w:eastAsia="宋体"/>
                  <w:sz w:val="18"/>
                  <w:color w:val="0563C1"/>
                  <w:u w:val="single"/>
                </w:rPr>
                <w:t xml:space="preserve">36138130</w:t>
              </w:r>
            </w:hyperlink>
          </w:p>
        </w:tc>
      </w:tr>
    </w:tbl>
    <w:p>
      <w:pPr>
        <w:spacing w:after="40"/>
      </w:pPr>
      <w:r>
        <w:rPr>
          <w:sz w:val="4"/>
        </w:rPr>
      </w:r>
    </w:p>
    <w:p>
      <w:pPr>
        <w:pStyle w:val="Heading3"/>
      </w:pPr>
      <w:r>
        <w:rPr>
          <w:rFonts w:ascii="Calibri" w:hAnsi="Calibri" w:eastAsia="宋体"/>
          <w:b w:val="0"/>
          <w:i w:val="0"/>
          <w:sz w:val="25"/>
        </w:rPr>
        <w:t>2.3 按假说的对接方案（三选一或并行）</w:t>
      </w:r>
    </w:p>
    <w:p>
      <w:r>
        <w:rPr>
          <w:rFonts w:ascii="Calibri" w:hAnsi="Calibri" w:eastAsia="宋体"/>
          <w:b/>
          <w:i w:val="0"/>
          <w:sz w:val="21"/>
        </w:rPr>
        <w:t>方案 D-A：类 LL-37（膜 / CLIC1）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1"/>
        </w:rPr>
        <w:t>1. 获取 CLIC1 结构（PDB 检索 hCLIC1）；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1"/>
        </w:rPr>
        <w:t>2. 肽多构象 → 对接 CLIC1 膜整合相关表面（参考 Chen 2022 的互作叙事）；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1"/>
        </w:rPr>
        <w:t xml:space="preserve">3. 并行：肽与 </w:t>
      </w:r>
      <w:r>
        <w:rPr>
          <w:rFonts w:ascii="Calibri" w:hAnsi="Calibri" w:eastAsia="宋体"/>
          <w:b/>
          <w:i w:val="0"/>
          <w:sz w:val="21"/>
        </w:rPr>
        <w:t>阴离子磷脂膜</w:t>
      </w:r>
      <w:r>
        <w:rPr>
          <w:rFonts w:ascii="Calibri" w:hAnsi="Calibri" w:eastAsia="宋体"/>
          <w:b w:val="0"/>
          <w:i w:val="0"/>
          <w:sz w:val="21"/>
        </w:rPr>
        <w:t xml:space="preserve"> 的取向对接/吸附模拟（见 MD §3.3）。</w:t>
      </w:r>
    </w:p>
    <w:p>
      <w:r>
        <w:rPr>
          <w:rFonts w:ascii="Calibri" w:hAnsi="Calibri" w:eastAsia="宋体"/>
          <w:b/>
          <w:i w:val="0"/>
          <w:sz w:val="21"/>
        </w:rPr>
        <w:t>方案 D-B：类 PrP106–126（自组装 / 膜）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1"/>
        </w:rPr>
        <w:t>1. 肽–肽对接构建寡聚体种子（二聚→六聚试探）；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1"/>
        </w:rPr>
        <w:t>2. 寡聚体与膜表面对接；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1"/>
        </w:rPr>
        <w:t xml:space="preserve">3. 与 PrP106–126 对照肽做 </w:t>
      </w:r>
      <w:r>
        <w:rPr>
          <w:rFonts w:ascii="Calibri" w:hAnsi="Calibri" w:eastAsia="宋体"/>
          <w:b/>
          <w:i w:val="0"/>
          <w:sz w:val="21"/>
        </w:rPr>
        <w:t>同一流程</w:t>
      </w:r>
      <w:r>
        <w:rPr>
          <w:rFonts w:ascii="Calibri" w:hAnsi="Calibri" w:eastAsia="宋体"/>
          <w:b w:val="0"/>
          <w:i w:val="0"/>
          <w:sz w:val="21"/>
        </w:rPr>
        <w:t xml:space="preserve"> 对比界面。</w:t>
      </w:r>
    </w:p>
    <w:p>
      <w:r>
        <w:rPr>
          <w:rFonts w:ascii="Calibri" w:hAnsi="Calibri" w:eastAsia="宋体"/>
          <w:b/>
          <w:i w:val="0"/>
          <w:sz w:val="21"/>
        </w:rPr>
        <w:t>方案 D-C：金属配位（仅当序列含 His/Cys/Asp/Glu 等）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1"/>
        </w:rPr>
        <w:t>1. 在肽 N 端/侧链设置 Cu²⁺/Fe²⁺/Zn²⁺ 配位对接或配位几何约束；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1"/>
        </w:rPr>
        <w:t>2. 参考金属–肽配位综述选择配位数 4–6；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1"/>
        </w:rPr>
        <w:t>3. Zn 只作结构对照，</w:t>
      </w:r>
      <w:r>
        <w:rPr>
          <w:rFonts w:ascii="Calibri" w:hAnsi="Calibri" w:eastAsia="宋体"/>
          <w:b/>
          <w:i w:val="0"/>
          <w:sz w:val="21"/>
        </w:rPr>
        <w:t>不写 Fenton</w:t>
      </w:r>
      <w:r>
        <w:rPr>
          <w:rFonts w:ascii="Calibri" w:hAnsi="Calibri" w:eastAsia="宋体"/>
          <w:b w:val="0"/>
          <w:i w:val="0"/>
          <w:sz w:val="21"/>
        </w:rPr>
        <w:t>。</w:t>
      </w:r>
    </w:p>
    <w:p>
      <w:r>
        <w:rPr>
          <w:rFonts w:ascii="Calibri" w:hAnsi="Calibri" w:eastAsia="宋体"/>
          <w:b w:val="0"/>
          <w:i w:val="0"/>
          <w:sz w:val="21"/>
        </w:rPr>
        <w:t>参考文献（金属–肽结构化学）：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#</w:t>
            </w:r>
          </w:p>
        </w:tc>
        <w:tc>
          <w:tcPr>
            <w:tcW w:type="dxa" w:w="1949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完整题目</w:t>
            </w:r>
          </w:p>
        </w:tc>
        <w:tc>
          <w:tcPr>
            <w:tcW w:type="dxa" w:w="1949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期刊 / 年</w:t>
            </w:r>
          </w:p>
        </w:tc>
        <w:tc>
          <w:tcPr>
            <w:tcW w:type="dxa" w:w="1949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DOI</w:t>
            </w:r>
          </w:p>
        </w:tc>
        <w:tc>
          <w:tcPr>
            <w:tcW w:type="dxa" w:w="1949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PMID</w:t>
            </w:r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C4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宋体"/>
                <w:b/>
                <w:i w:val="0"/>
                <w:sz w:val="18"/>
              </w:rPr>
              <w:t>Bioinorganic chemistry of copper and zinc ions coordinated to amyloid-beta peptide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宋体"/>
                <w:b w:val="0"/>
                <w:i/>
                <w:sz w:val="18"/>
              </w:rPr>
              <w:t>Dalton Trans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2009</w:t>
            </w:r>
          </w:p>
        </w:tc>
        <w:tc>
          <w:tcPr>
            <w:tcW w:type="dxa" w:w="1949"/>
          </w:tcPr>
          <w:p>
            <w:hyperlink r:id="rId27">
              <w:r>
                <w:rPr>
                  <w:rFonts w:ascii="Calibri" w:hAnsi="Calibri" w:eastAsia="宋体"/>
                  <w:sz w:val="18"/>
                  <w:color w:val="0563C1"/>
                  <w:u w:val="single"/>
                </w:rPr>
                <w:t xml:space="preserve">10.1039/b813398k</w:t>
              </w:r>
            </w:hyperlink>
          </w:p>
        </w:tc>
        <w:tc>
          <w:tcPr>
            <w:tcW w:type="dxa" w:w="1949"/>
          </w:tcPr>
          <w:p>
            <w:hyperlink r:id="rId28">
              <w:r>
                <w:rPr>
                  <w:rFonts w:ascii="Calibri" w:hAnsi="Calibri" w:eastAsia="宋体"/>
                  <w:sz w:val="18"/>
                  <w:color w:val="0563C1"/>
                  <w:u w:val="single"/>
                </w:rPr>
                <w:t xml:space="preserve">19322475</w:t>
              </w:r>
            </w:hyperlink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C5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宋体"/>
                <w:b/>
                <w:i w:val="0"/>
                <w:sz w:val="18"/>
              </w:rPr>
              <w:t>Metal Binding of Alzheimer's Amyloid-β and Its Effect on Peptide Self-Assembly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宋体"/>
                <w:b w:val="0"/>
                <w:i/>
                <w:sz w:val="18"/>
              </w:rPr>
              <w:t>Acc Chem Res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2023; 56:2653-2663</w:t>
            </w:r>
          </w:p>
        </w:tc>
        <w:tc>
          <w:tcPr>
            <w:tcW w:type="dxa" w:w="1949"/>
          </w:tcPr>
          <w:p>
            <w:hyperlink r:id="rId29">
              <w:r>
                <w:rPr>
                  <w:rFonts w:ascii="Calibri" w:hAnsi="Calibri" w:eastAsia="宋体"/>
                  <w:sz w:val="18"/>
                  <w:color w:val="0563C1"/>
                  <w:u w:val="single"/>
                </w:rPr>
                <w:t xml:space="preserve">10.1021/acs.accounts.3c00370</w:t>
              </w:r>
            </w:hyperlink>
          </w:p>
        </w:tc>
        <w:tc>
          <w:tcPr>
            <w:tcW w:type="dxa" w:w="1949"/>
          </w:tcPr>
          <w:p>
            <w:hyperlink r:id="rId30">
              <w:r>
                <w:rPr>
                  <w:rFonts w:ascii="Calibri" w:hAnsi="Calibri" w:eastAsia="宋体"/>
                  <w:sz w:val="18"/>
                  <w:color w:val="0563C1"/>
                  <w:u w:val="single"/>
                </w:rPr>
                <w:t xml:space="preserve">37733746</w:t>
              </w:r>
            </w:hyperlink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C6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宋体"/>
                <w:b/>
                <w:i w:val="0"/>
                <w:sz w:val="18"/>
              </w:rPr>
              <w:t>Molecular Insights into the Effect of Metals on Amyloid Aggregation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宋体"/>
                <w:b w:val="0"/>
                <w:i/>
                <w:sz w:val="18"/>
              </w:rPr>
              <w:t>Methods Mol Biol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2022; 2340:121-137</w:t>
            </w:r>
          </w:p>
        </w:tc>
        <w:tc>
          <w:tcPr>
            <w:tcW w:type="dxa" w:w="1949"/>
          </w:tcPr>
          <w:p>
            <w:hyperlink r:id="rId31">
              <w:r>
                <w:rPr>
                  <w:rFonts w:ascii="Calibri" w:hAnsi="Calibri" w:eastAsia="宋体"/>
                  <w:sz w:val="18"/>
                  <w:color w:val="0563C1"/>
                  <w:u w:val="single"/>
                </w:rPr>
                <w:t xml:space="preserve">10.1007/978-1-0716-1546-1_7</w:t>
              </w:r>
            </w:hyperlink>
          </w:p>
        </w:tc>
        <w:tc>
          <w:tcPr>
            <w:tcW w:type="dxa" w:w="1949"/>
          </w:tcPr>
          <w:p>
            <w:hyperlink r:id="rId32">
              <w:r>
                <w:rPr>
                  <w:rFonts w:ascii="Calibri" w:hAnsi="Calibri" w:eastAsia="宋体"/>
                  <w:sz w:val="18"/>
                  <w:color w:val="0563C1"/>
                  <w:u w:val="single"/>
                </w:rPr>
                <w:t xml:space="preserve">35167073</w:t>
              </w:r>
            </w:hyperlink>
          </w:p>
        </w:tc>
      </w:tr>
    </w:tbl>
    <w:p>
      <w:pPr>
        <w:spacing w:after="40"/>
      </w:pPr>
      <w:r>
        <w:rPr>
          <w:sz w:val="4"/>
        </w:rPr>
      </w:r>
    </w:p>
    <w:p>
      <w:pPr>
        <w:pBdr>
          <w:left w:val="single" w:sz="18" w:space="4" w:color="2E74B5"/>
        </w:pBdr>
        <w:shd w:val="clear" w:color="auto" w:fill="F2F7FB"/>
        <w:spacing w:after="120"/>
        <w:ind w:left="227"/>
      </w:pPr>
      <w:r>
        <w:rPr>
          <w:rFonts w:ascii="Calibri" w:hAnsi="Calibri" w:eastAsia="宋体"/>
          <w:b w:val="0"/>
          <w:i w:val="0"/>
          <w:sz w:val="21"/>
        </w:rPr>
        <w:t xml:space="preserve">说明：C4–C6 讲的是 </w:t>
      </w:r>
      <w:r>
        <w:rPr>
          <w:rFonts w:ascii="Calibri" w:hAnsi="Calibri" w:eastAsia="宋体"/>
          <w:b/>
          <w:i w:val="0"/>
          <w:sz w:val="21"/>
        </w:rPr>
        <w:t>金属–肽计算/结构方法</w:t>
      </w:r>
      <w:r>
        <w:rPr>
          <w:rFonts w:ascii="Calibri" w:hAnsi="Calibri" w:eastAsia="宋体"/>
          <w:b w:val="0"/>
          <w:i w:val="0"/>
          <w:sz w:val="21"/>
        </w:rPr>
        <w:t>，引用时写“金属–肽配位与聚集的计算方法参照”，</w:t>
      </w:r>
      <w:r>
        <w:rPr>
          <w:rFonts w:ascii="Calibri" w:hAnsi="Calibri" w:eastAsia="宋体"/>
          <w:b/>
          <w:i w:val="0"/>
          <w:sz w:val="21"/>
        </w:rPr>
        <w:t>不要</w:t>
      </w:r>
      <w:r>
        <w:rPr>
          <w:rFonts w:ascii="Calibri" w:hAnsi="Calibri" w:eastAsia="宋体"/>
          <w:b w:val="0"/>
          <w:i w:val="0"/>
          <w:sz w:val="21"/>
        </w:rPr>
        <w:t>写成“我们的肽是 Aβ”。</w:t>
      </w:r>
    </w:p>
    <w:p>
      <w:pPr>
        <w:pStyle w:val="Heading3"/>
      </w:pPr>
      <w:r>
        <w:rPr>
          <w:rFonts w:ascii="Calibri" w:hAnsi="Calibri" w:eastAsia="宋体"/>
          <w:b w:val="0"/>
          <w:i w:val="0"/>
          <w:sz w:val="25"/>
        </w:rPr>
        <w:t>2.4 对接结果允许 / 禁止表述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允许</w:t>
            </w:r>
          </w:p>
        </w:tc>
        <w:tc>
          <w:tcPr>
            <w:tcW w:type="dxa" w:w="4873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禁止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“与 CLIC1 形成可重复界面，主要接触残基为…”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“对接证明该肽导致 AD”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“相对对接评分排序为肽 A&gt;B&gt;C”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“Kd = nM（无实验）”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“配位构象提示 His 可参与 Cu 结合，待 MD/QM 验证”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“已证实金属毒性机制”</w:t>
            </w:r>
          </w:p>
        </w:tc>
      </w:tr>
    </w:tbl>
    <w:p>
      <w:pPr>
        <w:spacing w:after="40"/>
      </w:pPr>
      <w:r>
        <w:rPr>
          <w:sz w:val="4"/>
        </w:rPr>
      </w:r>
    </w:p>
    <w:p>
      <w:r>
        <w:rPr>
          <w:rFonts w:ascii="Calibri" w:hAnsi="Calibri" w:eastAsia="宋体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Calibri" w:hAnsi="Calibri" w:eastAsia="宋体"/>
          <w:b w:val="0"/>
          <w:i w:val="0"/>
          <w:sz w:val="28"/>
        </w:rPr>
        <w:t>3 分子动力学（MD）——具体做法</w:t>
      </w:r>
    </w:p>
    <w:p>
      <w:pPr>
        <w:pStyle w:val="Heading3"/>
      </w:pPr>
      <w:r>
        <w:rPr>
          <w:rFonts w:ascii="Calibri" w:hAnsi="Calibri" w:eastAsia="宋体"/>
          <w:b w:val="0"/>
          <w:i w:val="0"/>
          <w:sz w:val="25"/>
        </w:rPr>
        <w:t>3.1 方法学权威文献（完整题目）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#</w:t>
            </w:r>
          </w:p>
        </w:tc>
        <w:tc>
          <w:tcPr>
            <w:tcW w:type="dxa" w:w="1949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完整题目</w:t>
            </w:r>
          </w:p>
        </w:tc>
        <w:tc>
          <w:tcPr>
            <w:tcW w:type="dxa" w:w="1949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期刊 / 年</w:t>
            </w:r>
          </w:p>
        </w:tc>
        <w:tc>
          <w:tcPr>
            <w:tcW w:type="dxa" w:w="1949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DOI</w:t>
            </w:r>
          </w:p>
        </w:tc>
        <w:tc>
          <w:tcPr>
            <w:tcW w:type="dxa" w:w="1949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PMID</w:t>
            </w:r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M1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宋体"/>
                <w:b/>
                <w:i w:val="0"/>
                <w:sz w:val="18"/>
              </w:rPr>
              <w:t>Molecular Dynamics Simulation for All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宋体"/>
                <w:b w:val="0"/>
                <w:i/>
                <w:sz w:val="18"/>
              </w:rPr>
              <w:t>Neuron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2018; 99:1129-1143</w:t>
            </w:r>
          </w:p>
        </w:tc>
        <w:tc>
          <w:tcPr>
            <w:tcW w:type="dxa" w:w="1949"/>
          </w:tcPr>
          <w:p>
            <w:hyperlink r:id="rId33">
              <w:r>
                <w:rPr>
                  <w:rFonts w:ascii="Calibri" w:hAnsi="Calibri" w:eastAsia="宋体"/>
                  <w:sz w:val="18"/>
                  <w:color w:val="0563C1"/>
                  <w:u w:val="single"/>
                </w:rPr>
                <w:t xml:space="preserve">10.1016/j.neuron.2018.08.011</w:t>
              </w:r>
            </w:hyperlink>
          </w:p>
        </w:tc>
        <w:tc>
          <w:tcPr>
            <w:tcW w:type="dxa" w:w="1949"/>
          </w:tcPr>
          <w:p>
            <w:hyperlink r:id="rId34">
              <w:r>
                <w:rPr>
                  <w:rFonts w:ascii="Calibri" w:hAnsi="Calibri" w:eastAsia="宋体"/>
                  <w:sz w:val="18"/>
                  <w:color w:val="0563C1"/>
                  <w:u w:val="single"/>
                </w:rPr>
                <w:t xml:space="preserve">30236283</w:t>
              </w:r>
            </w:hyperlink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M2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宋体"/>
                <w:b/>
                <w:i w:val="0"/>
                <w:sz w:val="18"/>
              </w:rPr>
              <w:t>A unifying framework for amyloid-mediated membrane damage: The lipid-chaperone hypothesis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宋体"/>
                <w:b w:val="0"/>
                <w:i/>
                <w:sz w:val="18"/>
              </w:rPr>
              <w:t>BBA Proteins Proteom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2022</w:t>
            </w:r>
          </w:p>
        </w:tc>
        <w:tc>
          <w:tcPr>
            <w:tcW w:type="dxa" w:w="1949"/>
          </w:tcPr>
          <w:p>
            <w:hyperlink r:id="rId23">
              <w:r>
                <w:rPr>
                  <w:rFonts w:ascii="Calibri" w:hAnsi="Calibri" w:eastAsia="宋体"/>
                  <w:sz w:val="18"/>
                  <w:color w:val="0563C1"/>
                  <w:u w:val="single"/>
                </w:rPr>
                <w:t xml:space="preserve">10.1016/j.bbapap.2022.140767</w:t>
              </w:r>
            </w:hyperlink>
          </w:p>
        </w:tc>
        <w:tc>
          <w:tcPr>
            <w:tcW w:type="dxa" w:w="1949"/>
          </w:tcPr>
          <w:p>
            <w:hyperlink r:id="rId24">
              <w:r>
                <w:rPr>
                  <w:rFonts w:ascii="Calibri" w:hAnsi="Calibri" w:eastAsia="宋体"/>
                  <w:sz w:val="18"/>
                  <w:color w:val="0563C1"/>
                  <w:u w:val="single"/>
                </w:rPr>
                <w:t xml:space="preserve">35144022</w:t>
              </w:r>
            </w:hyperlink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M3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宋体"/>
                <w:b/>
                <w:i w:val="0"/>
                <w:sz w:val="18"/>
              </w:rPr>
              <w:t>Methods for analyzing the coordination and aggregation of metal-amyloid-β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宋体"/>
                <w:b w:val="0"/>
                <w:i/>
                <w:sz w:val="18"/>
              </w:rPr>
              <w:t>Metallomics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2023; 15:mfac102</w:t>
            </w:r>
          </w:p>
        </w:tc>
        <w:tc>
          <w:tcPr>
            <w:tcW w:type="dxa" w:w="1949"/>
          </w:tcPr>
          <w:p>
            <w:hyperlink r:id="rId35">
              <w:r>
                <w:rPr>
                  <w:rFonts w:ascii="Calibri" w:hAnsi="Calibri" w:eastAsia="宋体"/>
                  <w:sz w:val="18"/>
                  <w:color w:val="0563C1"/>
                  <w:u w:val="single"/>
                </w:rPr>
                <w:t xml:space="preserve">10.1093/mtomcs/mfac102</w:t>
              </w:r>
            </w:hyperlink>
          </w:p>
        </w:tc>
        <w:tc>
          <w:tcPr>
            <w:tcW w:type="dxa" w:w="1949"/>
          </w:tcPr>
          <w:p>
            <w:hyperlink r:id="rId36">
              <w:r>
                <w:rPr>
                  <w:rFonts w:ascii="Calibri" w:hAnsi="Calibri" w:eastAsia="宋体"/>
                  <w:sz w:val="18"/>
                  <w:color w:val="0563C1"/>
                  <w:u w:val="single"/>
                </w:rPr>
                <w:t xml:space="preserve">36617236</w:t>
              </w:r>
            </w:hyperlink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M4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宋体"/>
                <w:b/>
                <w:i w:val="0"/>
                <w:sz w:val="18"/>
              </w:rPr>
              <w:t>PHB2 Alleviates Neurotoxicity of Prion Peptide PrP(106-126) via PINK1/Parkin-Dependent Mitophagy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宋体"/>
                <w:b w:val="0"/>
                <w:i/>
                <w:sz w:val="18"/>
              </w:rPr>
              <w:t>IJMS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2023</w:t>
            </w:r>
          </w:p>
        </w:tc>
        <w:tc>
          <w:tcPr>
            <w:tcW w:type="dxa" w:w="1949"/>
          </w:tcPr>
          <w:p>
            <w:hyperlink r:id="rId13">
              <w:r>
                <w:rPr>
                  <w:rFonts w:ascii="Calibri" w:hAnsi="Calibri" w:eastAsia="宋体"/>
                  <w:sz w:val="18"/>
                  <w:color w:val="0563C1"/>
                  <w:u w:val="single"/>
                </w:rPr>
                <w:t xml:space="preserve">10.3390/ijms242115919</w:t>
              </w:r>
            </w:hyperlink>
          </w:p>
        </w:tc>
        <w:tc>
          <w:tcPr>
            <w:tcW w:type="dxa" w:w="1949"/>
          </w:tcPr>
          <w:p>
            <w:hyperlink r:id="rId14">
              <w:r>
                <w:rPr>
                  <w:rFonts w:ascii="Calibri" w:hAnsi="Calibri" w:eastAsia="宋体"/>
                  <w:sz w:val="18"/>
                  <w:color w:val="0563C1"/>
                  <w:u w:val="single"/>
                </w:rPr>
                <w:t xml:space="preserve">37958902</w:t>
              </w:r>
            </w:hyperlink>
          </w:p>
        </w:tc>
      </w:tr>
    </w:tbl>
    <w:p>
      <w:pPr>
        <w:spacing w:after="40"/>
      </w:pPr>
      <w:r>
        <w:rPr>
          <w:sz w:val="4"/>
        </w:rPr>
      </w:r>
    </w:p>
    <w:p>
      <w:pPr>
        <w:pStyle w:val="Heading3"/>
      </w:pPr>
      <w:r>
        <w:rPr>
          <w:rFonts w:ascii="Calibri" w:hAnsi="Calibri" w:eastAsia="宋体"/>
          <w:b w:val="0"/>
          <w:i w:val="0"/>
          <w:sz w:val="25"/>
        </w:rPr>
        <w:t>3.2 标准水溶液 MD（肽–蛋白或肽单体/寡聚）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步骤</w:t>
            </w:r>
          </w:p>
        </w:tc>
        <w:tc>
          <w:tcPr>
            <w:tcW w:type="dxa" w:w="4873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具体参数建议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力场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蛋白/肽：ff19SB 或 CHARMM36m；水：TIP3P 或 OPC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盒子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肽/复合物边缘 ≥1.0–1.2 nm；立方或十二面体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离子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0.15 M NaCl，电中性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最小化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最陡下降至 Fmax &lt;1000 kJ/mol/nm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平衡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NVT 100–500 ps（位置限制）→ NPT 1–5 ns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生产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宋体"/>
                <w:b/>
                <w:i w:val="0"/>
                <w:sz w:val="18"/>
              </w:rPr>
              <w:t>≥200–500 ns/条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；短肽自组装可 </w:t>
            </w:r>
            <w:r>
              <w:rPr>
                <w:rFonts w:ascii="Calibri" w:hAnsi="Calibri" w:eastAsia="宋体"/>
                <w:b/>
                <w:i w:val="0"/>
                <w:sz w:val="18"/>
              </w:rPr>
              <w:t>1 μs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级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重复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宋体"/>
                <w:b/>
                <w:i w:val="0"/>
                <w:sz w:val="18"/>
              </w:rPr>
              <w:t>≥3 条独立轨迹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（不同初速/不同对接簇）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分析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RMSD/RMSF、回转半径、二级结构（DSSP）、氢键占有率、接触图、聚类（GROMOS/TTClust）、（寡聚）链间 β-sheet</w:t>
            </w:r>
          </w:p>
        </w:tc>
      </w:tr>
    </w:tbl>
    <w:p>
      <w:pPr>
        <w:spacing w:after="40"/>
      </w:pPr>
      <w:r>
        <w:rPr>
          <w:sz w:val="4"/>
        </w:rPr>
      </w:r>
    </w:p>
    <w:p>
      <w:r>
        <w:rPr>
          <w:rFonts w:ascii="Calibri" w:hAnsi="Calibri" w:eastAsia="宋体"/>
          <w:b/>
          <w:i w:val="0"/>
          <w:sz w:val="21"/>
        </w:rPr>
        <w:t>收敛判据</w:t>
      </w:r>
      <w:r>
        <w:rPr>
          <w:rFonts w:ascii="Calibri" w:hAnsi="Calibri" w:eastAsia="宋体"/>
          <w:b w:val="0"/>
          <w:i w:val="0"/>
          <w:sz w:val="21"/>
        </w:rPr>
        <w:t>：后半段 RMSD 平台；3 次重复主结论一致（界面残基重叠 ≥70% 或排序不变）。</w:t>
      </w:r>
    </w:p>
    <w:p>
      <w:pPr>
        <w:pStyle w:val="Heading3"/>
      </w:pPr>
      <w:r>
        <w:rPr>
          <w:rFonts w:ascii="Calibri" w:hAnsi="Calibri" w:eastAsia="宋体"/>
          <w:b w:val="0"/>
          <w:i w:val="0"/>
          <w:sz w:val="25"/>
        </w:rPr>
        <w:t>3.3 膜 MD（强烈推荐：非 Aβ 毒性肽共性是膜损伤）</w:t>
      </w:r>
    </w:p>
    <w:p>
      <w:r>
        <w:rPr>
          <w:rFonts w:ascii="Calibri" w:hAnsi="Calibri" w:eastAsia="宋体"/>
          <w:b w:val="0"/>
          <w:i w:val="0"/>
          <w:sz w:val="21"/>
        </w:rPr>
        <w:t>依据 M2（IAPP/α-syn 等膜损伤统一框架）：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步骤</w:t>
            </w:r>
          </w:p>
        </w:tc>
        <w:tc>
          <w:tcPr>
            <w:tcW w:type="dxa" w:w="4873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具体做法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CHARMM-GUI 构建双层：如 POPC:POPS = 4:1 或含脑苷脂的神经元样膜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肽初始：水相靠近膜 或 部分插入（对接取向）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平衡膜面积（NPγT 或半各向异性 NPT）至面积/脂稳定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生产 ≥500 ns；分析：插入深度、倾角、序参数扰动、水缺陷/孔道、脂翻转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对照：PrP106–126 或 LL-37 同膜条件各跑 1–2 条</w:t>
            </w:r>
          </w:p>
        </w:tc>
      </w:tr>
    </w:tbl>
    <w:p>
      <w:pPr>
        <w:spacing w:after="40"/>
      </w:pPr>
      <w:r>
        <w:rPr>
          <w:sz w:val="4"/>
        </w:rPr>
      </w:r>
    </w:p>
    <w:p>
      <w:pPr>
        <w:pStyle w:val="Heading3"/>
      </w:pPr>
      <w:r>
        <w:rPr>
          <w:rFonts w:ascii="Calibri" w:hAnsi="Calibri" w:eastAsia="宋体"/>
          <w:b w:val="0"/>
          <w:i w:val="0"/>
          <w:sz w:val="25"/>
        </w:rPr>
        <w:t>3.4 金属–肽 MD（可选）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步骤</w:t>
            </w:r>
          </w:p>
        </w:tc>
        <w:tc>
          <w:tcPr>
            <w:tcW w:type="dxa" w:w="4873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具体做法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参数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Cu²⁺/Fe²⁺/Fe³⁺/Zn²⁺ 使用 </w:t>
            </w:r>
            <w:r>
              <w:rPr>
                <w:rFonts w:ascii="Calibri" w:hAnsi="Calibri" w:eastAsia="宋体"/>
                <w:b/>
                <w:i w:val="0"/>
                <w:sz w:val="18"/>
              </w:rPr>
              <w:t>12-6-4 或 QM 拟合非键参数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，禁用裸默认金属参数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分析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金属–供体原子距离时间序列、配位数、配体交换、逸出事件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Zn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只报告结构稳定性；</w:t>
            </w:r>
            <w:r>
              <w:rPr>
                <w:rFonts w:ascii="Calibri" w:hAnsi="Calibri" w:eastAsia="宋体"/>
                <w:b/>
                <w:i w:val="0"/>
                <w:sz w:val="18"/>
              </w:rPr>
              <w:t>禁止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写 Zn–Fenton/ROS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文献做法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参考 C5 Abelein 2023（金属–肽动态平衡与聚集）；C6 Miller 2022（金属影响聚集的分子模拟章节）</w:t>
            </w:r>
          </w:p>
        </w:tc>
      </w:tr>
    </w:tbl>
    <w:p>
      <w:pPr>
        <w:spacing w:after="40"/>
      </w:pPr>
      <w:r>
        <w:rPr>
          <w:sz w:val="4"/>
        </w:rPr>
      </w:r>
    </w:p>
    <w:p>
      <w:pPr>
        <w:pStyle w:val="Heading3"/>
      </w:pPr>
      <w:r>
        <w:rPr>
          <w:rFonts w:ascii="Calibri" w:hAnsi="Calibri" w:eastAsia="宋体"/>
          <w:b w:val="0"/>
          <w:i w:val="0"/>
          <w:sz w:val="25"/>
        </w:rPr>
        <w:t>3.5 MD 输出清单（写进报告/论文方法）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1"/>
        </w:rPr>
        <w:t>1. 轨迹与代表性帧 PDB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1"/>
        </w:rPr>
        <w:t>2. RMSD/RMSF 图（含 3 次重复）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1"/>
        </w:rPr>
        <w:t>3. 界面接触表（占有率 &gt;50% 的残基对）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1"/>
        </w:rPr>
        <w:t>4. 若做膜：插入深度与膜厚度扰动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1"/>
        </w:rPr>
        <w:t>5. 若做金属：配位驻留率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1"/>
        </w:rPr>
        <w:t>6. 明确一句：</w:t>
      </w:r>
      <w:r>
        <w:rPr>
          <w:rFonts w:ascii="Calibri" w:hAnsi="Calibri" w:eastAsia="宋体"/>
          <w:b/>
          <w:i w:val="0"/>
          <w:sz w:val="21"/>
        </w:rPr>
        <w:t>MD 稳定 ≠ 神经毒性已证实</w:t>
      </w:r>
    </w:p>
    <w:p>
      <w:r>
        <w:rPr>
          <w:rFonts w:ascii="Calibri" w:hAnsi="Calibri" w:eastAsia="宋体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Calibri" w:hAnsi="Calibri" w:eastAsia="宋体"/>
          <w:b w:val="0"/>
          <w:i w:val="0"/>
          <w:sz w:val="28"/>
        </w:rPr>
        <w:t>4 结合自由能：MM/GBSA、MM/PBSA——具体做法</w:t>
      </w:r>
    </w:p>
    <w:p>
      <w:pPr>
        <w:pStyle w:val="Heading3"/>
      </w:pPr>
      <w:r>
        <w:rPr>
          <w:rFonts w:ascii="Calibri" w:hAnsi="Calibri" w:eastAsia="宋体"/>
          <w:b w:val="0"/>
          <w:i w:val="0"/>
          <w:sz w:val="25"/>
        </w:rPr>
        <w:t>4.1 参考文献（完整题目）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#</w:t>
            </w:r>
          </w:p>
        </w:tc>
        <w:tc>
          <w:tcPr>
            <w:tcW w:type="dxa" w:w="1949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完整题目</w:t>
            </w:r>
          </w:p>
        </w:tc>
        <w:tc>
          <w:tcPr>
            <w:tcW w:type="dxa" w:w="1949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期刊 / 年</w:t>
            </w:r>
          </w:p>
        </w:tc>
        <w:tc>
          <w:tcPr>
            <w:tcW w:type="dxa" w:w="1949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DOI</w:t>
            </w:r>
          </w:p>
        </w:tc>
        <w:tc>
          <w:tcPr>
            <w:tcW w:type="dxa" w:w="1949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PMID</w:t>
            </w:r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G1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宋体"/>
                <w:b/>
                <w:i w:val="0"/>
                <w:sz w:val="18"/>
              </w:rPr>
              <w:t>The MM/PBSA and MM/GBSA methods to estimate ligand-binding affinities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宋体"/>
                <w:b w:val="0"/>
                <w:i/>
                <w:sz w:val="18"/>
              </w:rPr>
              <w:t>Expert Opin Drug Discov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2015; 10:449-461</w:t>
            </w:r>
          </w:p>
        </w:tc>
        <w:tc>
          <w:tcPr>
            <w:tcW w:type="dxa" w:w="1949"/>
          </w:tcPr>
          <w:p>
            <w:hyperlink r:id="rId37">
              <w:r>
                <w:rPr>
                  <w:rFonts w:ascii="Calibri" w:hAnsi="Calibri" w:eastAsia="宋体"/>
                  <w:sz w:val="18"/>
                  <w:color w:val="0563C1"/>
                  <w:u w:val="single"/>
                </w:rPr>
                <w:t xml:space="preserve">10.1517/17460441.2015.1032936</w:t>
              </w:r>
            </w:hyperlink>
          </w:p>
        </w:tc>
        <w:tc>
          <w:tcPr>
            <w:tcW w:type="dxa" w:w="1949"/>
          </w:tcPr>
          <w:p>
            <w:hyperlink r:id="rId38">
              <w:r>
                <w:rPr>
                  <w:rFonts w:ascii="Calibri" w:hAnsi="Calibri" w:eastAsia="宋体"/>
                  <w:sz w:val="18"/>
                  <w:color w:val="0563C1"/>
                  <w:u w:val="single"/>
                </w:rPr>
                <w:t xml:space="preserve">25835573</w:t>
              </w:r>
            </w:hyperlink>
          </w:p>
        </w:tc>
      </w:tr>
    </w:tbl>
    <w:p>
      <w:pPr>
        <w:spacing w:after="40"/>
      </w:pPr>
      <w:r>
        <w:rPr>
          <w:sz w:val="4"/>
        </w:rPr>
      </w:r>
    </w:p>
    <w:p>
      <w:pPr>
        <w:pStyle w:val="Heading3"/>
      </w:pPr>
      <w:r>
        <w:rPr>
          <w:rFonts w:ascii="Calibri" w:hAnsi="Calibri" w:eastAsia="宋体"/>
          <w:b w:val="0"/>
          <w:i w:val="0"/>
          <w:sz w:val="25"/>
        </w:rPr>
        <w:t>4.2 操作要点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项目</w:t>
            </w:r>
          </w:p>
        </w:tc>
        <w:tc>
          <w:tcPr>
            <w:tcW w:type="dxa" w:w="4873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做法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输入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宋体"/>
                <w:b/>
                <w:i w:val="0"/>
                <w:sz w:val="18"/>
              </w:rPr>
              <w:t>平衡后 MD 轨迹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（去掉前 20–50 ns）；隔帧抽 100–200 帧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方法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MM/GBSA（快速排序）为主；关键体系可加 MM/PBSA 对照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比较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宋体"/>
                <w:b/>
                <w:i w:val="0"/>
                <w:sz w:val="18"/>
              </w:rPr>
              <w:t>仅 12 条肽对同一受体/同一膜吸附模型的相对 ΔG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熵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可选 nmode 或交互熵；报告是否含熵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金属体系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慎用；配位键体系优先 QM 校正或只报无金属体系 GBSA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误差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报告平均值 ± SD（帧间 + 重复间）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禁止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把 GBSA 数值写成实验 Kd；跨不同受体直接比绝对值</w:t>
            </w:r>
          </w:p>
        </w:tc>
      </w:tr>
    </w:tbl>
    <w:p>
      <w:pPr>
        <w:spacing w:after="40"/>
      </w:pPr>
      <w:r>
        <w:rPr>
          <w:sz w:val="4"/>
        </w:rPr>
      </w:r>
    </w:p>
    <w:p>
      <w:r>
        <w:rPr>
          <w:rFonts w:ascii="Calibri" w:hAnsi="Calibri" w:eastAsia="宋体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Calibri" w:hAnsi="Calibri" w:eastAsia="宋体"/>
          <w:b w:val="0"/>
          <w:i w:val="0"/>
          <w:sz w:val="28"/>
        </w:rPr>
        <w:t>5 量化计算：QM/MM 与 DFT——具体做法</w:t>
      </w:r>
    </w:p>
    <w:p>
      <w:pPr>
        <w:pStyle w:val="Heading3"/>
      </w:pPr>
      <w:r>
        <w:rPr>
          <w:rFonts w:ascii="Calibri" w:hAnsi="Calibri" w:eastAsia="宋体"/>
          <w:b w:val="0"/>
          <w:i w:val="0"/>
          <w:sz w:val="25"/>
        </w:rPr>
        <w:t>5.1 参考文献（完整题目）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#</w:t>
            </w:r>
          </w:p>
        </w:tc>
        <w:tc>
          <w:tcPr>
            <w:tcW w:type="dxa" w:w="1949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完整题目</w:t>
            </w:r>
          </w:p>
        </w:tc>
        <w:tc>
          <w:tcPr>
            <w:tcW w:type="dxa" w:w="1949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期刊 / 年</w:t>
            </w:r>
          </w:p>
        </w:tc>
        <w:tc>
          <w:tcPr>
            <w:tcW w:type="dxa" w:w="1949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DOI</w:t>
            </w:r>
          </w:p>
        </w:tc>
        <w:tc>
          <w:tcPr>
            <w:tcW w:type="dxa" w:w="1949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PMID</w:t>
            </w:r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Q1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宋体"/>
                <w:b/>
                <w:i w:val="0"/>
                <w:sz w:val="18"/>
              </w:rPr>
              <w:t>QM/MM methods for biomolecular systems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宋体"/>
                <w:b w:val="0"/>
                <w:i/>
                <w:sz w:val="18"/>
              </w:rPr>
              <w:t>Angew Chem Int Ed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2009; 48:1198-1229</w:t>
            </w:r>
          </w:p>
        </w:tc>
        <w:tc>
          <w:tcPr>
            <w:tcW w:type="dxa" w:w="1949"/>
          </w:tcPr>
          <w:p>
            <w:hyperlink r:id="rId39">
              <w:r>
                <w:rPr>
                  <w:rFonts w:ascii="Calibri" w:hAnsi="Calibri" w:eastAsia="宋体"/>
                  <w:sz w:val="18"/>
                  <w:color w:val="0563C1"/>
                  <w:u w:val="single"/>
                </w:rPr>
                <w:t xml:space="preserve">10.1002/anie.200802019</w:t>
              </w:r>
            </w:hyperlink>
          </w:p>
        </w:tc>
        <w:tc>
          <w:tcPr>
            <w:tcW w:type="dxa" w:w="1949"/>
          </w:tcPr>
          <w:p>
            <w:hyperlink r:id="rId40">
              <w:r>
                <w:rPr>
                  <w:rFonts w:ascii="Calibri" w:hAnsi="Calibri" w:eastAsia="宋体"/>
                  <w:sz w:val="18"/>
                  <w:color w:val="0563C1"/>
                  <w:u w:val="single"/>
                </w:rPr>
                <w:t xml:space="preserve">19173328</w:t>
              </w:r>
            </w:hyperlink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Q2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宋体"/>
                <w:b/>
                <w:i w:val="0"/>
                <w:sz w:val="18"/>
              </w:rPr>
              <w:t>Bioinorganic chemistry of copper and zinc ions coordinated to amyloid-beta peptide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宋体"/>
                <w:b w:val="0"/>
                <w:i/>
                <w:sz w:val="18"/>
              </w:rPr>
              <w:t>Dalton Trans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2009</w:t>
            </w:r>
          </w:p>
        </w:tc>
        <w:tc>
          <w:tcPr>
            <w:tcW w:type="dxa" w:w="1949"/>
          </w:tcPr>
          <w:p>
            <w:hyperlink r:id="rId27">
              <w:r>
                <w:rPr>
                  <w:rFonts w:ascii="Calibri" w:hAnsi="Calibri" w:eastAsia="宋体"/>
                  <w:sz w:val="18"/>
                  <w:color w:val="0563C1"/>
                  <w:u w:val="single"/>
                </w:rPr>
                <w:t xml:space="preserve">10.1039/b813398k</w:t>
              </w:r>
            </w:hyperlink>
          </w:p>
        </w:tc>
        <w:tc>
          <w:tcPr>
            <w:tcW w:type="dxa" w:w="1949"/>
          </w:tcPr>
          <w:p>
            <w:hyperlink r:id="rId28">
              <w:r>
                <w:rPr>
                  <w:rFonts w:ascii="Calibri" w:hAnsi="Calibri" w:eastAsia="宋体"/>
                  <w:sz w:val="18"/>
                  <w:color w:val="0563C1"/>
                  <w:u w:val="single"/>
                </w:rPr>
                <w:t xml:space="preserve">19322475</w:t>
              </w:r>
            </w:hyperlink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Q3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宋体"/>
                <w:b/>
                <w:i w:val="0"/>
                <w:sz w:val="18"/>
              </w:rPr>
              <w:t>Metal Binding of Alzheimer's Amyloid-β and Its Effect on Peptide Self-Assembly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宋体"/>
                <w:b w:val="0"/>
                <w:i/>
                <w:sz w:val="18"/>
              </w:rPr>
              <w:t>Acc Chem Res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2023</w:t>
            </w:r>
          </w:p>
        </w:tc>
        <w:tc>
          <w:tcPr>
            <w:tcW w:type="dxa" w:w="1949"/>
          </w:tcPr>
          <w:p>
            <w:hyperlink r:id="rId29">
              <w:r>
                <w:rPr>
                  <w:rFonts w:ascii="Calibri" w:hAnsi="Calibri" w:eastAsia="宋体"/>
                  <w:sz w:val="18"/>
                  <w:color w:val="0563C1"/>
                  <w:u w:val="single"/>
                </w:rPr>
                <w:t xml:space="preserve">10.1021/acs.accounts.3c00370</w:t>
              </w:r>
            </w:hyperlink>
          </w:p>
        </w:tc>
        <w:tc>
          <w:tcPr>
            <w:tcW w:type="dxa" w:w="1949"/>
          </w:tcPr>
          <w:p>
            <w:hyperlink r:id="rId30">
              <w:r>
                <w:rPr>
                  <w:rFonts w:ascii="Calibri" w:hAnsi="Calibri" w:eastAsia="宋体"/>
                  <w:sz w:val="18"/>
                  <w:color w:val="0563C1"/>
                  <w:u w:val="single"/>
                </w:rPr>
                <w:t xml:space="preserve">37733746</w:t>
              </w:r>
            </w:hyperlink>
          </w:p>
        </w:tc>
      </w:tr>
    </w:tbl>
    <w:p>
      <w:pPr>
        <w:spacing w:after="40"/>
      </w:pPr>
      <w:r>
        <w:rPr>
          <w:sz w:val="4"/>
        </w:rPr>
      </w:r>
    </w:p>
    <w:p>
      <w:r>
        <w:rPr>
          <w:rFonts w:ascii="Calibri" w:hAnsi="Calibri" w:eastAsia="宋体"/>
          <w:b w:val="0"/>
          <w:i w:val="0"/>
          <w:sz w:val="21"/>
        </w:rPr>
        <w:t xml:space="preserve">（Q2/Q3 用于 </w:t>
      </w:r>
      <w:r>
        <w:rPr>
          <w:rFonts w:ascii="Calibri" w:hAnsi="Calibri" w:eastAsia="宋体"/>
          <w:b/>
          <w:i w:val="0"/>
          <w:sz w:val="21"/>
        </w:rPr>
        <w:t>配位几何与金属–肽电子结构方法论</w:t>
      </w:r>
      <w:r>
        <w:rPr>
          <w:rFonts w:ascii="Calibri" w:hAnsi="Calibri" w:eastAsia="宋体"/>
          <w:b w:val="0"/>
          <w:i w:val="0"/>
          <w:sz w:val="21"/>
        </w:rPr>
        <w:t>，引用时强调方法而非 Aβ 身份。）</w:t>
      </w:r>
    </w:p>
    <w:p>
      <w:pPr>
        <w:pStyle w:val="Heading3"/>
      </w:pPr>
      <w:r>
        <w:rPr>
          <w:rFonts w:ascii="Calibri" w:hAnsi="Calibri" w:eastAsia="宋体"/>
          <w:b w:val="0"/>
          <w:i w:val="0"/>
          <w:sz w:val="25"/>
        </w:rPr>
        <w:t>5.2 何时做 QM/MM 或 DFT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1"/>
        </w:rPr>
        <w:t xml:space="preserve">MD 显示 </w:t>
      </w:r>
      <w:r>
        <w:rPr>
          <w:rFonts w:ascii="Calibri" w:hAnsi="Calibri" w:eastAsia="宋体"/>
          <w:b/>
          <w:i w:val="0"/>
          <w:sz w:val="21"/>
        </w:rPr>
        <w:t>稳定金属配位</w:t>
      </w:r>
      <w:r>
        <w:rPr>
          <w:rFonts w:ascii="Calibri" w:hAnsi="Calibri" w:eastAsia="宋体"/>
          <w:b w:val="0"/>
          <w:i w:val="0"/>
          <w:sz w:val="21"/>
        </w:rPr>
        <w:t xml:space="preserve"> 的 Top 2–4 条肽；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1"/>
        </w:rPr>
        <w:t xml:space="preserve">或需比较 </w:t>
      </w:r>
      <w:r>
        <w:rPr>
          <w:rFonts w:ascii="Calibri" w:hAnsi="Calibri" w:eastAsia="宋体"/>
          <w:b/>
          <w:i w:val="0"/>
          <w:sz w:val="21"/>
        </w:rPr>
        <w:t>肽–Cu vs 对照肽–Cu</w:t>
      </w:r>
      <w:r>
        <w:rPr>
          <w:rFonts w:ascii="Calibri" w:hAnsi="Calibri" w:eastAsia="宋体"/>
          <w:b w:val="0"/>
          <w:i w:val="0"/>
          <w:sz w:val="21"/>
        </w:rPr>
        <w:t xml:space="preserve"> 相对配位能（螯合/夺金属假说）；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1"/>
        </w:rPr>
        <w:t>纯有机肽无金属、无化学反应问题时，</w:t>
      </w:r>
      <w:r>
        <w:rPr>
          <w:rFonts w:ascii="Calibri" w:hAnsi="Calibri" w:eastAsia="宋体"/>
          <w:b/>
          <w:i w:val="0"/>
          <w:sz w:val="21"/>
        </w:rPr>
        <w:t>可不做 DFT</w:t>
      </w:r>
      <w:r>
        <w:rPr>
          <w:rFonts w:ascii="Calibri" w:hAnsi="Calibri" w:eastAsia="宋体"/>
          <w:b w:val="0"/>
          <w:i w:val="0"/>
          <w:sz w:val="21"/>
        </w:rPr>
        <w:t>，MD+GBSA 足够排序。</w:t>
      </w:r>
    </w:p>
    <w:p>
      <w:pPr>
        <w:pStyle w:val="Heading3"/>
      </w:pPr>
      <w:r>
        <w:rPr>
          <w:rFonts w:ascii="Calibri" w:hAnsi="Calibri" w:eastAsia="宋体"/>
          <w:b w:val="0"/>
          <w:i w:val="0"/>
          <w:sz w:val="25"/>
        </w:rPr>
        <w:t>5.3 具体设置建议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项目</w:t>
            </w:r>
          </w:p>
        </w:tc>
        <w:tc>
          <w:tcPr>
            <w:tcW w:type="dxa" w:w="4873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建议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QM 区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金属 + 第一配位层残基/主链 O/N + 关键第二层（H 键网络）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边界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氢连接原子；或 ONIOM 机械嵌入/电子嵌入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泛函/基组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过渡金属：ωB97X-D / B3LYP-D3 / M06 等 + def2-SVP 优化，def2-TZVP 单点；注明色散校正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自旋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Cu²⁺：二重态（d⁹）；Fe²⁺/Fe³⁺：高低自旋均试；</w:t>
            </w:r>
            <w:r>
              <w:rPr>
                <w:rFonts w:ascii="Calibri" w:hAnsi="Calibri" w:eastAsia="宋体"/>
                <w:b/>
                <w:i w:val="0"/>
                <w:sz w:val="18"/>
              </w:rPr>
              <w:t>Zn²⁺：闭壳层单重态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溶剂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SMD/PCM 或 QM/MM 显式水第一层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输出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优化几何、配位键长/角、NBO/自旋密度、相对结合能（ΔE_coord）、（可选）还原势趋势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校准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能与实验光谱对照最好；否则只报相对排序</w:t>
            </w:r>
          </w:p>
        </w:tc>
      </w:tr>
    </w:tbl>
    <w:p>
      <w:pPr>
        <w:spacing w:after="40"/>
      </w:pPr>
      <w:r>
        <w:rPr>
          <w:sz w:val="4"/>
        </w:rPr>
      </w:r>
    </w:p>
    <w:p>
      <w:pPr>
        <w:pStyle w:val="Heading3"/>
      </w:pPr>
      <w:r>
        <w:rPr>
          <w:rFonts w:ascii="Calibri" w:hAnsi="Calibri" w:eastAsia="宋体"/>
          <w:b w:val="0"/>
          <w:i w:val="0"/>
          <w:sz w:val="25"/>
        </w:rPr>
        <w:t>5.4 量化结论边界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允许</w:t>
            </w:r>
          </w:p>
        </w:tc>
        <w:tc>
          <w:tcPr>
            <w:tcW w:type="dxa" w:w="4873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禁止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“Cu 配位几何为 4N/3N1O，与文献金属–肽配位范围一致”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“DFT 证明产生神经毒性 H₂O₂”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“相对配位能肽 X 强于对照肽”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“已证实 Fenton 机制”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“Zn 配位稳定但无氧化还原活性”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“Zn 介导 ROS 毒性”</w:t>
            </w:r>
          </w:p>
        </w:tc>
      </w:tr>
    </w:tbl>
    <w:p>
      <w:pPr>
        <w:spacing w:after="40"/>
      </w:pPr>
      <w:r>
        <w:rPr>
          <w:sz w:val="4"/>
        </w:rPr>
      </w:r>
    </w:p>
    <w:p>
      <w:r>
        <w:rPr>
          <w:rFonts w:ascii="Calibri" w:hAnsi="Calibri" w:eastAsia="宋体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Calibri" w:hAnsi="Calibri" w:eastAsia="宋体"/>
          <w:b w:val="0"/>
          <w:i w:val="0"/>
          <w:sz w:val="28"/>
        </w:rPr>
        <w:t>6 12 条候选肽：可执行的分步 SOP（计算侧）</w:t>
      </w:r>
    </w:p>
    <w:p>
      <w:pPr>
        <w:pStyle w:val="Heading3"/>
      </w:pPr>
      <w:r>
        <w:rPr>
          <w:rFonts w:ascii="Calibri" w:hAnsi="Calibri" w:eastAsia="宋体"/>
          <w:b w:val="0"/>
          <w:i w:val="0"/>
          <w:sz w:val="25"/>
        </w:rPr>
        <w:t>Stage 0 — 输入与对照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1"/>
        </w:rPr>
        <w:t>1. 整理 12 条序列、净电荷、His/Cys 含量、疏水矩。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1"/>
        </w:rPr>
        <w:t>2. 设立对照：</w:t>
      </w:r>
      <w:r>
        <w:rPr>
          <w:rFonts w:ascii="Calibri" w:hAnsi="Calibri" w:eastAsia="宋体"/>
          <w:b/>
          <w:i w:val="0"/>
          <w:sz w:val="21"/>
        </w:rPr>
        <w:t>PrP106–126</w:t>
      </w:r>
      <w:r>
        <w:rPr>
          <w:rFonts w:ascii="Calibri" w:hAnsi="Calibri" w:eastAsia="宋体"/>
          <w:b w:val="0"/>
          <w:i w:val="0"/>
          <w:sz w:val="21"/>
        </w:rPr>
        <w:t>、</w:t>
      </w:r>
      <w:r>
        <w:rPr>
          <w:rFonts w:ascii="Calibri" w:hAnsi="Calibri" w:eastAsia="宋体"/>
          <w:b/>
          <w:i w:val="0"/>
          <w:sz w:val="21"/>
        </w:rPr>
        <w:t>LL-37</w:t>
      </w:r>
      <w:r>
        <w:rPr>
          <w:rFonts w:ascii="Calibri" w:hAnsi="Calibri" w:eastAsia="宋体"/>
          <w:b w:val="0"/>
          <w:i w:val="0"/>
          <w:sz w:val="21"/>
        </w:rPr>
        <w:t>（或活性片段）、打乱序列肽。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1"/>
        </w:rPr>
        <w:t>3. 文献锚点：B1–B5（非 Aβ 毒性肽）。</w:t>
      </w:r>
    </w:p>
    <w:p>
      <w:pPr>
        <w:pStyle w:val="Heading3"/>
      </w:pPr>
      <w:r>
        <w:rPr>
          <w:rFonts w:ascii="Calibri" w:hAnsi="Calibri" w:eastAsia="宋体"/>
          <w:b w:val="0"/>
          <w:i w:val="0"/>
          <w:sz w:val="25"/>
        </w:rPr>
        <w:t>Stage 1 — 构象 + 对接（约 1–2 周）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1"/>
        </w:rPr>
        <w:t>1. AF3/多构象 → 聚类。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1"/>
        </w:rPr>
        <w:t>2. 按主假说选 D-A / D-B / D-C。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1"/>
        </w:rPr>
        <w:t>3. 每肽保留 3 个对接簇进入 MD。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1"/>
        </w:rPr>
        <w:t>4. 参考文献题目：C1, C2, C3（及金属时 C4–C6）。</w:t>
      </w:r>
    </w:p>
    <w:p>
      <w:pPr>
        <w:pStyle w:val="Heading3"/>
      </w:pPr>
      <w:r>
        <w:rPr>
          <w:rFonts w:ascii="Calibri" w:hAnsi="Calibri" w:eastAsia="宋体"/>
          <w:b w:val="0"/>
          <w:i w:val="0"/>
          <w:sz w:val="25"/>
        </w:rPr>
        <w:t>Stage 2 — MD（约 3–6 周）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1"/>
        </w:rPr>
        <w:t>1. 水溶液复合物 MD：200–500 ns × 3。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1"/>
        </w:rPr>
        <w:t>2. 膜 MD（推荐）：500 ns×（候选子集 + LL-37/PrP 对照）。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1"/>
        </w:rPr>
        <w:t>3. 金属矩阵（可选）：Cu/Fe/Zn 分体系。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1"/>
        </w:rPr>
        <w:t>4. 参考文献题目：M1, M2, M3, M4。</w:t>
      </w:r>
    </w:p>
    <w:p>
      <w:pPr>
        <w:pStyle w:val="Heading3"/>
      </w:pPr>
      <w:r>
        <w:rPr>
          <w:rFonts w:ascii="Calibri" w:hAnsi="Calibri" w:eastAsia="宋体"/>
          <w:b w:val="0"/>
          <w:i w:val="0"/>
          <w:sz w:val="25"/>
        </w:rPr>
        <w:t>Stage 3 — MM/GBSA 排序（约 1 周）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1"/>
        </w:rPr>
        <w:t>1. 对稳定体系算相对 ΔG。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1"/>
        </w:rPr>
        <w:t>2. 输出 12→4–6 条计算先导。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1"/>
        </w:rPr>
        <w:t>3. 参考文献题目：G1。</w:t>
      </w:r>
    </w:p>
    <w:p>
      <w:pPr>
        <w:pStyle w:val="Heading3"/>
      </w:pPr>
      <w:r>
        <w:rPr>
          <w:rFonts w:ascii="Calibri" w:hAnsi="Calibri" w:eastAsia="宋体"/>
          <w:b w:val="0"/>
          <w:i w:val="0"/>
          <w:sz w:val="25"/>
        </w:rPr>
        <w:t>Stage 4 — QM/MM 或 DFT（约 1–2 周，仅头部）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1"/>
        </w:rPr>
        <w:t>1. 稳定 Cu/Fe 配位者做配位能与电子结构。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1"/>
        </w:rPr>
        <w:t>2. 参考文献题目：Q1, Q2, Q3。</w:t>
      </w:r>
    </w:p>
    <w:p>
      <w:pPr>
        <w:pStyle w:val="Heading3"/>
      </w:pPr>
      <w:r>
        <w:rPr>
          <w:rFonts w:ascii="Calibri" w:hAnsi="Calibri" w:eastAsia="宋体"/>
          <w:b w:val="0"/>
          <w:i w:val="0"/>
          <w:sz w:val="25"/>
        </w:rPr>
        <w:t>Stage 5 — 交付物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交付</w:t>
            </w:r>
          </w:p>
        </w:tc>
        <w:tc>
          <w:tcPr>
            <w:tcW w:type="dxa" w:w="4873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表 1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12 肽对接得分与界面残基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表 2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MD 稳定性与接触占有率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表 3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MM/GBSA 相对排序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表 4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（可选）DFT 配位几何与相对能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图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RMSD、膜插入、配位距离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声明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全部为结构假设；毒性需对照 PrP/LL-37 的细胞实验</w:t>
            </w:r>
          </w:p>
        </w:tc>
      </w:tr>
    </w:tbl>
    <w:p>
      <w:pPr>
        <w:spacing w:after="40"/>
      </w:pPr>
      <w:r>
        <w:rPr>
          <w:sz w:val="4"/>
        </w:rPr>
      </w:r>
    </w:p>
    <w:p>
      <w:r>
        <w:rPr>
          <w:rFonts w:ascii="Calibri" w:hAnsi="Calibri" w:eastAsia="宋体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Calibri" w:hAnsi="Calibri" w:eastAsia="宋体"/>
          <w:b w:val="0"/>
          <w:i w:val="0"/>
          <w:sz w:val="28"/>
        </w:rPr>
        <w:t>7 完整参考文献题录表（计算 + 非 Aβ 锚点）</w:t>
      </w:r>
    </w:p>
    <w:p>
      <w:pPr>
        <w:pStyle w:val="Heading3"/>
      </w:pPr>
      <w:r>
        <w:rPr>
          <w:rFonts w:ascii="Calibri" w:hAnsi="Calibri" w:eastAsia="宋体"/>
          <w:b w:val="0"/>
          <w:i w:val="0"/>
          <w:sz w:val="25"/>
        </w:rPr>
        <w:t>7.1 计算方法学（优先精读）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ID</w:t>
            </w:r>
          </w:p>
        </w:tc>
        <w:tc>
          <w:tcPr>
            <w:tcW w:type="dxa" w:w="1392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完整题目</w:t>
            </w:r>
          </w:p>
        </w:tc>
        <w:tc>
          <w:tcPr>
            <w:tcW w:type="dxa" w:w="1392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作者</w:t>
            </w:r>
          </w:p>
        </w:tc>
        <w:tc>
          <w:tcPr>
            <w:tcW w:type="dxa" w:w="1392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期刊</w:t>
            </w:r>
          </w:p>
        </w:tc>
        <w:tc>
          <w:tcPr>
            <w:tcW w:type="dxa" w:w="1392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年</w:t>
            </w:r>
          </w:p>
        </w:tc>
        <w:tc>
          <w:tcPr>
            <w:tcW w:type="dxa" w:w="1392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DOI</w:t>
            </w:r>
          </w:p>
        </w:tc>
        <w:tc>
          <w:tcPr>
            <w:tcW w:type="dxa" w:w="1392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PMID</w:t>
            </w:r>
          </w:p>
        </w:tc>
      </w:tr>
      <w:tr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C1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Accurate structure prediction of biomolecular interactions with AlphaFold 3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Abramson J, et al.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/>
                <w:sz w:val="18"/>
              </w:rPr>
              <w:t>Nature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630:493-500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2024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10.1038/s41586-024-07487-w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38718835</w:t>
            </w:r>
          </w:p>
        </w:tc>
      </w:tr>
      <w:tr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M1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Molecular Dynamics Simulation for All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Hollingsworth SA, Dror RO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/>
                <w:sz w:val="18"/>
              </w:rPr>
              <w:t>Neuron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99:1129-1143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2018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10.1016/j.neuron.2018.08.011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30236283</w:t>
            </w:r>
          </w:p>
        </w:tc>
      </w:tr>
      <w:tr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G1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The MM/PBSA and MM/GBSA methods to estimate ligand-binding affinities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Genheden S, Ryde U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/>
                <w:sz w:val="18"/>
              </w:rPr>
              <w:t>Expert Opin Drug Discov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10:449-461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2015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10.1517/17460441.2015.1032936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25835573</w:t>
            </w:r>
          </w:p>
        </w:tc>
      </w:tr>
      <w:tr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Q1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QM/MM methods for biomolecular systems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Senn HM, Thiel W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/>
                <w:sz w:val="18"/>
              </w:rPr>
              <w:t>Angew Chem Int Ed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48:1198-1229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2009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10.1002/anie.200802019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19173328</w:t>
            </w:r>
          </w:p>
        </w:tc>
      </w:tr>
      <w:tr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M2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A unifying framework for amyloid-mediated membrane damage: The lipid-chaperone hypothesis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Tempra C, et al.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/>
                <w:sz w:val="18"/>
              </w:rPr>
              <w:t>BBA Proteins Proteom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1870:140767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2022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10.1016/j.bbapap.2022.140767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35144022</w:t>
            </w:r>
          </w:p>
        </w:tc>
      </w:tr>
      <w:tr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C5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Metal Binding of Alzheimer's Amyloid-β and Its Effect on Peptide Self-Assembly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Abelein A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/>
                <w:sz w:val="18"/>
              </w:rPr>
              <w:t>Acc Chem Res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56:2653-2663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2023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10.1021/acs.accounts.3c00370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37733746</w:t>
            </w:r>
          </w:p>
        </w:tc>
      </w:tr>
      <w:tr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M3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Methods for analyzing the coordination and aggregation of metal-amyloid-β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Park S, et al.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/>
                <w:sz w:val="18"/>
              </w:rPr>
              <w:t>Metallomics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15:mfac102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2023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10.1093/mtomcs/mfac102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36617236</w:t>
            </w:r>
          </w:p>
        </w:tc>
      </w:tr>
      <w:tr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C6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Molecular Insights into the Effect of Metals on Amyloid Aggregation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Miller Y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/>
                <w:sz w:val="18"/>
              </w:rPr>
              <w:t>Methods Mol Biol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2340:121-137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2022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10.1007/978-1-0716-1546-1_7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35167073</w:t>
            </w:r>
          </w:p>
        </w:tc>
      </w:tr>
      <w:tr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C4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Bioinorganic chemistry of copper and zinc ions coordinated to amyloid-beta peptide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Faller P, Hureau C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/>
                <w:sz w:val="18"/>
              </w:rPr>
              <w:t>Dalton Trans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(7):1080-1094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2009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10.1039/b813398k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19322475</w:t>
            </w:r>
          </w:p>
        </w:tc>
      </w:tr>
    </w:tbl>
    <w:p>
      <w:pPr>
        <w:spacing w:after="40"/>
      </w:pPr>
      <w:r>
        <w:rPr>
          <w:sz w:val="4"/>
        </w:rPr>
      </w:r>
    </w:p>
    <w:p>
      <w:pPr>
        <w:pStyle w:val="Heading3"/>
      </w:pPr>
      <w:r>
        <w:rPr>
          <w:rFonts w:ascii="Calibri" w:hAnsi="Calibri" w:eastAsia="宋体"/>
          <w:b w:val="0"/>
          <w:i w:val="0"/>
          <w:sz w:val="25"/>
        </w:rPr>
        <w:t>7.2 非 Aβ 毒性肽生物学锚点（计算服务的对象）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ID</w:t>
            </w:r>
          </w:p>
        </w:tc>
        <w:tc>
          <w:tcPr>
            <w:tcW w:type="dxa" w:w="1392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完整题目</w:t>
            </w:r>
          </w:p>
        </w:tc>
        <w:tc>
          <w:tcPr>
            <w:tcW w:type="dxa" w:w="1392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作者</w:t>
            </w:r>
          </w:p>
        </w:tc>
        <w:tc>
          <w:tcPr>
            <w:tcW w:type="dxa" w:w="1392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期刊</w:t>
            </w:r>
          </w:p>
        </w:tc>
        <w:tc>
          <w:tcPr>
            <w:tcW w:type="dxa" w:w="1392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年</w:t>
            </w:r>
          </w:p>
        </w:tc>
        <w:tc>
          <w:tcPr>
            <w:tcW w:type="dxa" w:w="1392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DOI</w:t>
            </w:r>
          </w:p>
        </w:tc>
        <w:tc>
          <w:tcPr>
            <w:tcW w:type="dxa" w:w="1392"/>
            <w:shd w:val="clear" w:color="auto" w:fill="DEEAF6"/>
          </w:tcPr>
          <w:p>
            <w:pPr>
              <w:jc w:val="center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PMID</w:t>
            </w:r>
          </w:p>
        </w:tc>
      </w:tr>
      <w:tr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B1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Neurotoxicity of a prion protein fragment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Forloni G, et al.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/>
                <w:sz w:val="18"/>
              </w:rPr>
              <w:t>Nature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362:543-546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1993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10.1038/362543a0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8464494</w:t>
            </w:r>
          </w:p>
        </w:tc>
      </w:tr>
      <w:tr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B2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Review: PrP 106-126 - 25 years after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Forloni G, et al.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/>
                <w:sz w:val="18"/>
              </w:rPr>
              <w:t>Neuropathol Appl Neurobiol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45:430-440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2019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10.1111/nan.12538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30635947</w:t>
            </w:r>
          </w:p>
        </w:tc>
      </w:tr>
      <w:tr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B3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PHB2 Alleviates Neurotoxicity of Prion Peptide PrP(106-126) via PINK1/Parkin-Dependent Mitophagy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Zheng X, et al.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/>
                <w:sz w:val="18"/>
              </w:rPr>
              <w:t>Int J Mol Sci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24:15919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2023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10.3390/ijms242115919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37958902</w:t>
            </w:r>
          </w:p>
        </w:tc>
      </w:tr>
      <w:tr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B4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Human antimicrobial peptide LL-37 contributes to Alzheimer's disease progression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Chen X, et al.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/>
                <w:sz w:val="18"/>
              </w:rPr>
              <w:t>Mol Psychiatry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27:4790-4799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2022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10.1038/s41380-022-01790-6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36138130</w:t>
            </w:r>
          </w:p>
        </w:tc>
      </w:tr>
      <w:tr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B5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LL-37: Structures, Antimicrobial Activity, and Influence on Amyloid-Related Diseases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Bhattacharjya S, et al.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/>
                <w:sz w:val="18"/>
              </w:rPr>
              <w:t>Biomolecules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14:320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2024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10.3390/biom14030320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38540740</w:t>
            </w:r>
          </w:p>
        </w:tc>
      </w:tr>
      <w:tr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B6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Rapid, scalable assay of amylin-β amyloid co-aggregation in brain tissue and blood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Kotiya D, et al.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/>
                <w:sz w:val="18"/>
              </w:rPr>
              <w:t>J Biol Chem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299:104682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2023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10.1016/j.jbc.2023.104682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37030503</w:t>
            </w:r>
          </w:p>
        </w:tc>
      </w:tr>
      <w:tr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B7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Skin capillary amylin deposition resembles brain amylin vasculopathy in rats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Das S, et al.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/>
                <w:sz w:val="18"/>
              </w:rPr>
              <w:t>J Stroke Cerebrovasc Dis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32:107300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2023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10.1016/j.jstrokecerebrovasdis.2023.107300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  <w:t>37572602</w:t>
            </w:r>
          </w:p>
        </w:tc>
      </w:tr>
    </w:tbl>
    <w:p>
      <w:pPr>
        <w:spacing w:after="40"/>
      </w:pPr>
      <w:r>
        <w:rPr>
          <w:sz w:val="4"/>
        </w:rPr>
      </w:r>
    </w:p>
    <w:p>
      <w:pPr>
        <w:pStyle w:val="Heading3"/>
      </w:pPr>
      <w:r>
        <w:rPr>
          <w:rFonts w:ascii="Calibri" w:hAnsi="Calibri" w:eastAsia="宋体"/>
          <w:b w:val="0"/>
          <w:i w:val="0"/>
          <w:sz w:val="25"/>
        </w:rPr>
        <w:t>7.3 链接速查（复制用）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1"/>
        </w:rPr>
        <w:t>AF3: https://doi.org/10.1038/s41586-024-07487-w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1"/>
        </w:rPr>
        <w:t>MD for All: https://doi.org/10.1016/j.neuron.2018.08.011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1"/>
        </w:rPr>
        <w:t>MM/GBSA: https://doi.org/10.1517/17460441.2015.1032936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1"/>
        </w:rPr>
        <w:t>QM/MM: https://doi.org/10.1002/anie.200802019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1"/>
        </w:rPr>
        <w:t>膜损伤框架: https://doi.org/10.1016/j.bbapap.2022.140767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1"/>
        </w:rPr>
        <w:t>LL-37→AD: https://doi.org/10.1038/s41380-022-01790-6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1"/>
        </w:rPr>
        <w:t>PrP 毒性肽: https://doi.org/10.1038/362543a0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1"/>
        </w:rPr>
        <w:t>Abelein 金属–肽: https://doi.org/10.1021/acs.accounts.3c00370</w:t>
      </w:r>
    </w:p>
    <w:p>
      <w:r>
        <w:rPr>
          <w:rFonts w:ascii="Calibri" w:hAnsi="Calibri" w:eastAsia="宋体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Calibri" w:hAnsi="Calibri" w:eastAsia="宋体"/>
          <w:b w:val="0"/>
          <w:i w:val="0"/>
          <w:sz w:val="28"/>
        </w:rPr>
        <w:t>8 方案正文可粘贴段落（计算方法）</w:t>
      </w:r>
    </w:p>
    <w:p>
      <w:pPr>
        <w:pBdr>
          <w:left w:val="single" w:sz="18" w:space="4" w:color="2E74B5"/>
        </w:pBdr>
        <w:shd w:val="clear" w:color="auto" w:fill="F2F7FB"/>
        <w:spacing w:after="120"/>
        <w:ind w:left="227"/>
      </w:pPr>
      <w:r>
        <w:rPr>
          <w:rFonts w:ascii="Calibri" w:hAnsi="Calibri" w:eastAsia="宋体"/>
          <w:b w:val="0"/>
          <w:i w:val="0"/>
          <w:sz w:val="21"/>
        </w:rPr>
        <w:t xml:space="preserve">本研究候选肽为非 Aβ 序列。计算工作对标非 Aβ 神经毒性肽研究范式：PrP106–126 短肽神经毒性（Forloni et al., </w:t>
      </w:r>
      <w:r>
        <w:rPr>
          <w:rFonts w:ascii="Calibri" w:hAnsi="Calibri" w:eastAsia="宋体"/>
          <w:b w:val="0"/>
          <w:i/>
          <w:sz w:val="21"/>
        </w:rPr>
        <w:t>Nature</w:t>
      </w:r>
      <w:r>
        <w:rPr>
          <w:rFonts w:ascii="Calibri" w:hAnsi="Calibri" w:eastAsia="宋体"/>
          <w:b w:val="0"/>
          <w:i w:val="0"/>
          <w:sz w:val="21"/>
        </w:rPr>
        <w:t xml:space="preserve">, 1993; Forloni et al., 2019）、人源 LL-37 推动 AD 相关病理（Chen et al., </w:t>
      </w:r>
      <w:r>
        <w:rPr>
          <w:rFonts w:ascii="Calibri" w:hAnsi="Calibri" w:eastAsia="宋体"/>
          <w:b w:val="0"/>
          <w:i/>
          <w:sz w:val="21"/>
        </w:rPr>
        <w:t>Mol Psychiatry</w:t>
      </w:r>
      <w:r>
        <w:rPr>
          <w:rFonts w:ascii="Calibri" w:hAnsi="Calibri" w:eastAsia="宋体"/>
          <w:b w:val="0"/>
          <w:i w:val="0"/>
          <w:sz w:val="21"/>
        </w:rPr>
        <w:t xml:space="preserve">, 2022）以及 amylin/IAPP 等膜损伤型淀粉样肽（Tempra et al., 2022; Despa 研究线）。结构预测采用 AlphaFold 3 生成肽及复合物多构象（Abramson et al., </w:t>
      </w:r>
      <w:r>
        <w:rPr>
          <w:rFonts w:ascii="Calibri" w:hAnsi="Calibri" w:eastAsia="宋体"/>
          <w:b w:val="0"/>
          <w:i/>
          <w:sz w:val="21"/>
        </w:rPr>
        <w:t>Nature</w:t>
      </w:r>
      <w:r>
        <w:rPr>
          <w:rFonts w:ascii="Calibri" w:hAnsi="Calibri" w:eastAsia="宋体"/>
          <w:b w:val="0"/>
          <w:i w:val="0"/>
          <w:sz w:val="21"/>
        </w:rPr>
        <w:t xml:space="preserve">, 2024），继以分子对接获得结合姿态假设；分子动力学在显式溶剂及（推荐）磷脂双层中评估结合稳定性、膜插入与（可选）金属配位驻留（Hollingsworth &amp; Dror, </w:t>
      </w:r>
      <w:r>
        <w:rPr>
          <w:rFonts w:ascii="Calibri" w:hAnsi="Calibri" w:eastAsia="宋体"/>
          <w:b w:val="0"/>
          <w:i/>
          <w:sz w:val="21"/>
        </w:rPr>
        <w:t>Neuron</w:t>
      </w:r>
      <w:r>
        <w:rPr>
          <w:rFonts w:ascii="Calibri" w:hAnsi="Calibri" w:eastAsia="宋体"/>
          <w:b w:val="0"/>
          <w:i w:val="0"/>
          <w:sz w:val="21"/>
        </w:rPr>
        <w:t>, 2018）。相对结合自由能采用 MM/GBSA 对同系列肽排序（Genheden &amp; Ryde, 2015）。对稳定金属配位体系进一步以 QM/MM 或 DFT 分析配位几何与相对配位能（Senn &amp; Thiel, 2009）。金属–肽配位与聚集的分析方法参照相关生物无机与模拟文献（Faller &amp; Hureau, 2009; Abelein, 2023; Park et al., 2023）。计算结论仅用于候选优先级排序与结构假说生成；神经毒性判定需以 PrP106–126、LL-37 等为阳性对照的实验读出裁决。</w:t>
      </w:r>
    </w:p>
    <w:p>
      <w:r>
        <w:rPr>
          <w:rFonts w:ascii="Calibri" w:hAnsi="Calibri" w:eastAsia="宋体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Calibri" w:hAnsi="Calibri" w:eastAsia="宋体"/>
          <w:b w:val="0"/>
          <w:i w:val="0"/>
          <w:sz w:val="28"/>
        </w:rPr>
        <w:t>9 说明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1"/>
        </w:rPr>
        <w:t xml:space="preserve">1. 环境无 </w:t>
      </w:r>
      <w:r>
        <w:rPr>
          <w:rFonts w:ascii="Calibri" w:hAnsi="Calibri" w:eastAsia="宋体"/>
          <w:b/>
          <w:i w:val="0"/>
          <w:sz w:val="21"/>
        </w:rPr>
        <w:t>officecli</w:t>
      </w:r>
      <w:r>
        <w:rPr>
          <w:rFonts w:ascii="Calibri" w:hAnsi="Calibri" w:eastAsia="宋体"/>
          <w:b w:val="0"/>
          <w:i w:val="0"/>
          <w:sz w:val="21"/>
        </w:rPr>
        <w:t xml:space="preserve">，本 docx 用 </w:t>
      </w:r>
      <w:r>
        <w:rPr>
          <w:rFonts w:ascii="Calibri" w:hAnsi="Calibri" w:eastAsia="宋体"/>
          <w:b/>
          <w:i w:val="0"/>
          <w:sz w:val="21"/>
        </w:rPr>
        <w:t>python-docx</w:t>
      </w:r>
      <w:r>
        <w:rPr>
          <w:rFonts w:ascii="Calibri" w:hAnsi="Calibri" w:eastAsia="宋体"/>
          <w:b w:val="0"/>
          <w:i w:val="0"/>
          <w:sz w:val="21"/>
        </w:rPr>
        <w:t xml:space="preserve"> 生成标准 Office Open XML，Word 2007+ / WPS / Google Docs 可打开。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1"/>
        </w:rPr>
        <w:t>2. 题目、DOI、PMID 均经 PubMed 核验。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1"/>
        </w:rPr>
        <w:t xml:space="preserve">3. C4–C6、Abelein 等含 “amyloid-β” 字样处，仅作 </w:t>
      </w:r>
      <w:r>
        <w:rPr>
          <w:rFonts w:ascii="Calibri" w:hAnsi="Calibri" w:eastAsia="宋体"/>
          <w:b/>
          <w:i w:val="0"/>
          <w:sz w:val="21"/>
        </w:rPr>
        <w:t>金属–肽计算与配位方法</w:t>
      </w:r>
      <w:r>
        <w:rPr>
          <w:rFonts w:ascii="Calibri" w:hAnsi="Calibri" w:eastAsia="宋体"/>
          <w:b w:val="0"/>
          <w:i w:val="0"/>
          <w:sz w:val="21"/>
        </w:rPr>
        <w:t xml:space="preserve"> 参考，不将候选肽等同 Aβ。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1"/>
        </w:rPr>
        <w:t>4. 具体软件版本、力场文件名请按课题组集群环境在正式 SOP 中替换。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1038/362543a0" TargetMode="External"/><Relationship Id="rId10" Type="http://schemas.openxmlformats.org/officeDocument/2006/relationships/hyperlink" Target="https://pubmed.ncbi.nlm.nih.gov/8464494/" TargetMode="External"/><Relationship Id="rId11" Type="http://schemas.openxmlformats.org/officeDocument/2006/relationships/hyperlink" Target="https://doi.org/10.1111/nan.12538" TargetMode="External"/><Relationship Id="rId12" Type="http://schemas.openxmlformats.org/officeDocument/2006/relationships/hyperlink" Target="https://pubmed.ncbi.nlm.nih.gov/30635947/" TargetMode="External"/><Relationship Id="rId13" Type="http://schemas.openxmlformats.org/officeDocument/2006/relationships/hyperlink" Target="https://doi.org/10.3390/ijms242115919" TargetMode="External"/><Relationship Id="rId14" Type="http://schemas.openxmlformats.org/officeDocument/2006/relationships/hyperlink" Target="https://pubmed.ncbi.nlm.nih.gov/37958902/" TargetMode="External"/><Relationship Id="rId15" Type="http://schemas.openxmlformats.org/officeDocument/2006/relationships/hyperlink" Target="https://doi.org/10.1038/s41380-022-01790-6" TargetMode="External"/><Relationship Id="rId16" Type="http://schemas.openxmlformats.org/officeDocument/2006/relationships/hyperlink" Target="https://pubmed.ncbi.nlm.nih.gov/36138130/" TargetMode="External"/><Relationship Id="rId17" Type="http://schemas.openxmlformats.org/officeDocument/2006/relationships/hyperlink" Target="https://doi.org/10.3390/biom14030320" TargetMode="External"/><Relationship Id="rId18" Type="http://schemas.openxmlformats.org/officeDocument/2006/relationships/hyperlink" Target="https://pubmed.ncbi.nlm.nih.gov/38540740/" TargetMode="External"/><Relationship Id="rId19" Type="http://schemas.openxmlformats.org/officeDocument/2006/relationships/hyperlink" Target="https://doi.org/10.1016/j.jbc.2023.104682" TargetMode="External"/><Relationship Id="rId20" Type="http://schemas.openxmlformats.org/officeDocument/2006/relationships/hyperlink" Target="https://pubmed.ncbi.nlm.nih.gov/37030503/" TargetMode="External"/><Relationship Id="rId21" Type="http://schemas.openxmlformats.org/officeDocument/2006/relationships/hyperlink" Target="https://doi.org/10.1016/j.jstrokecerebrovasdis.2023.107300" TargetMode="External"/><Relationship Id="rId22" Type="http://schemas.openxmlformats.org/officeDocument/2006/relationships/hyperlink" Target="https://pubmed.ncbi.nlm.nih.gov/37572602/" TargetMode="External"/><Relationship Id="rId23" Type="http://schemas.openxmlformats.org/officeDocument/2006/relationships/hyperlink" Target="https://doi.org/10.1016/j.bbapap.2022.140767" TargetMode="External"/><Relationship Id="rId24" Type="http://schemas.openxmlformats.org/officeDocument/2006/relationships/hyperlink" Target="https://pubmed.ncbi.nlm.nih.gov/35144022/" TargetMode="External"/><Relationship Id="rId25" Type="http://schemas.openxmlformats.org/officeDocument/2006/relationships/hyperlink" Target="https://doi.org/10.1038/s41586-024-07487-w" TargetMode="External"/><Relationship Id="rId26" Type="http://schemas.openxmlformats.org/officeDocument/2006/relationships/hyperlink" Target="https://pubmed.ncbi.nlm.nih.gov/38718835/" TargetMode="External"/><Relationship Id="rId27" Type="http://schemas.openxmlformats.org/officeDocument/2006/relationships/hyperlink" Target="https://doi.org/10.1039/b813398k" TargetMode="External"/><Relationship Id="rId28" Type="http://schemas.openxmlformats.org/officeDocument/2006/relationships/hyperlink" Target="https://pubmed.ncbi.nlm.nih.gov/19322475/" TargetMode="External"/><Relationship Id="rId29" Type="http://schemas.openxmlformats.org/officeDocument/2006/relationships/hyperlink" Target="https://doi.org/10.1021/acs.accounts.3c00370" TargetMode="External"/><Relationship Id="rId30" Type="http://schemas.openxmlformats.org/officeDocument/2006/relationships/hyperlink" Target="https://pubmed.ncbi.nlm.nih.gov/37733746/" TargetMode="External"/><Relationship Id="rId31" Type="http://schemas.openxmlformats.org/officeDocument/2006/relationships/hyperlink" Target="https://doi.org/10.1007/978-1-0716-1546-1_7" TargetMode="External"/><Relationship Id="rId32" Type="http://schemas.openxmlformats.org/officeDocument/2006/relationships/hyperlink" Target="https://pubmed.ncbi.nlm.nih.gov/35167073/" TargetMode="External"/><Relationship Id="rId33" Type="http://schemas.openxmlformats.org/officeDocument/2006/relationships/hyperlink" Target="https://doi.org/10.1016/j.neuron.2018.08.011" TargetMode="External"/><Relationship Id="rId34" Type="http://schemas.openxmlformats.org/officeDocument/2006/relationships/hyperlink" Target="https://pubmed.ncbi.nlm.nih.gov/30236283/" TargetMode="External"/><Relationship Id="rId35" Type="http://schemas.openxmlformats.org/officeDocument/2006/relationships/hyperlink" Target="https://doi.org/10.1093/mtomcs/mfac102" TargetMode="External"/><Relationship Id="rId36" Type="http://schemas.openxmlformats.org/officeDocument/2006/relationships/hyperlink" Target="https://pubmed.ncbi.nlm.nih.gov/36617236/" TargetMode="External"/><Relationship Id="rId37" Type="http://schemas.openxmlformats.org/officeDocument/2006/relationships/hyperlink" Target="https://doi.org/10.1517/17460441.2015.1032936" TargetMode="External"/><Relationship Id="rId38" Type="http://schemas.openxmlformats.org/officeDocument/2006/relationships/hyperlink" Target="https://pubmed.ncbi.nlm.nih.gov/25835573/" TargetMode="External"/><Relationship Id="rId39" Type="http://schemas.openxmlformats.org/officeDocument/2006/relationships/hyperlink" Target="https://doi.org/10.1002/anie.200802019" TargetMode="External"/><Relationship Id="rId40" Type="http://schemas.openxmlformats.org/officeDocument/2006/relationships/hyperlink" Target="https://pubmed.ncbi.nlm.nih.gov/191733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AChE/AD 相关候选肽后续机制研究——文献证据基础与实施方案</dc:title>
  <dc:subject>Cu/Fe-ROS-脂质过氧化-神经毒性；Aβ/tau/ApoE4/ferritin/transferrin 定位；计算结构生物学方法学；12 肽 Go/No-Go 方案</dc:subject>
  <dc:creator>Auto-Empirical-Research-Skills (AERS)</dc:creator>
  <cp:keywords>AChE, PAS, Aβ42, tau, ApoE4, ferritin, transferrin, Cu, Fe, Zn, ROS, AlphaFold3, MD, MM/GBSA, QM/MM, iPSC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