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黑体"/>
          <w:b/>
          <w:color w:val="1F4E79"/>
          <w:sz w:val="42"/>
        </w:rPr>
        <w:t>12 条候选肽：AChE–PAS 对接后的机制研究路线与核心文献</w:t>
      </w:r>
    </w:p>
    <w:p>
      <w:r>
        <w:rPr>
          <w:b/>
        </w:rPr>
        <w:t>用途</w:t>
      </w:r>
      <w:r>
        <w:t xml:space="preserve">：为已完成的 12 条肽–AChE PAS 分子对接及拟开展的 MD，建立可检验、不过度外推的 AD 相关机制研究框架。 </w:t>
      </w:r>
    </w:p>
    <w:p>
      <w:r>
        <w:rPr>
          <w:b/>
        </w:rPr>
        <w:t>检索与整理日期</w:t>
      </w:r>
      <w:r>
        <w:t xml:space="preserve">：2026-08-02。 </w:t>
      </w:r>
    </w:p>
    <w:p>
      <w:r>
        <w:rPr>
          <w:b/>
        </w:rPr>
        <w:t>重要边界</w:t>
      </w:r>
      <w:r>
        <w:t>：目前没有提供 12 条序列、来源、修饰状态、净电荷或对接构象。因此，本报告提出的是“候选肽优先级与验证路线”，不能据此断言任一肽具有促氧化/神经毒性或抗 AD 活性。尤其是 7–15 aa 肽高度柔性，单一 docking score 不能作为结合或机制证据。</w:t>
      </w:r>
    </w:p>
    <w:p>
      <w:pPr>
        <w:spacing w:after="60"/>
        <w:pBdr>
          <w:bottom w:val="single" w:sz="6" w:color="9EADBA"/>
        </w:pBdr>
      </w:pPr>
    </w:p>
    <w:p>
      <w:pPr>
        <w:pStyle w:val="Heading1"/>
      </w:pPr>
      <w:r>
        <w:t>一、结论先行：最值得做的三条机制链</w:t>
      </w:r>
    </w:p>
    <w:p>
      <w:pPr>
        <w:pStyle w:val="Heading2"/>
      </w:pPr>
      <w:r>
        <w:t>主线 1（优先级最高）：AChE–PAS 占位 → AChE 促 Aβ42 聚集是否被改变</w:t>
      </w:r>
    </w:p>
    <w:p>
      <w:r>
        <w:t>这是与现有结果衔接最紧、实验可证伪性最高的主线。AChE 可通过 PAS 促进 Aβ 成纤维；该作用不依赖催化位点抑制，并会被 PAS 配体 propidium 抑制，而缺少 PAS 的 BChE 未显示同类促聚集作用 [1]。因此，候选肽的关键不是“PAS docking 分数高”，而是：</w:t>
      </w:r>
    </w:p>
    <w:p>
      <w:pPr>
        <w:pStyle w:val="ListNumber"/>
      </w:pPr>
      <w:r>
        <w:t>是否真实结合 AChE 的 PAS（而非仅贴近 gorge 口）；</w:t>
      </w:r>
    </w:p>
    <w:p>
      <w:pPr>
        <w:pStyle w:val="ListNumber"/>
      </w:pPr>
      <w:r>
        <w:t>是否同时/分别抑制 AChE 催化活性（CAS）和 AChE 促进 Aβ42 聚集的非催化功能；</w:t>
      </w:r>
    </w:p>
    <w:p>
      <w:pPr>
        <w:pStyle w:val="ListNumber"/>
      </w:pPr>
      <w:r>
        <w:t>其对 Aβ42 单独聚集、AChE–Aβ42 复合聚集及细胞毒性是抑制、无效还是促进。</w:t>
      </w:r>
    </w:p>
    <w:p>
      <w:r>
        <w:rPr>
          <w:b/>
        </w:rPr>
        <w:t>最小可发表的证据组合</w:t>
      </w:r>
      <w:r>
        <w:t>：SPR/MST 或 ITC（肽–AChE）+ Ellman（AChE/BChE）+ ThT 动力学（Aβ42 ± AChE ± 肽）+ TEM/AFM + Aβ 寡聚体特异 ELISA/dot blot。一定要纳入 PAS 阳性对照 propidium 或 fasciculin、CAS 对照 donepezil，以及 scrambled 肽。</w:t>
      </w:r>
    </w:p>
    <w:p>
      <w:pPr>
        <w:pStyle w:val="Heading2"/>
      </w:pPr>
      <w:r>
        <w:t>主线 2（优先级最高）：Cu/Fe 配位–氧化还原循环 → ROS/脂质过氧化 → 神经元损伤</w:t>
      </w:r>
    </w:p>
    <w:p>
      <w:r>
        <w:t>这条链最能直接检验题述“金属相关促氧化神经毒性”的因果主张。Aβ 可还原 Cu(II)/Fe(III)，在氧存在下产生 H2O2，并在 Cu/Fe 存在时出现与羟自由基生成相符的 TBARS 信号 [2]。APP 的富 His 铜结合肽段也曾增强铜相关脂质过氧化；将关键 His 置换为 Asn 后，毒性消失 [3]。这为“短肽–金属配位是否驱动氧化还原活性”提供了强的可检验先例。</w:t>
      </w:r>
    </w:p>
    <w:p>
      <w:r>
        <w:t>但要特别区分：</w:t>
      </w:r>
      <w:r>
        <w:rPr>
          <w:b/>
        </w:rPr>
        <w:t>Zn2+ 本身通常不是 Fenton 金属，不能与 Cu/Fe 同等地被表述为 ROS 催化剂</w:t>
      </w:r>
      <w:r>
        <w:t>。Zn2+ 更应作为配位/聚集构象调节因子和竞争性金属对照；Cu/Fe 才是 ROS 因果实验的核心。</w:t>
      </w:r>
    </w:p>
    <w:p>
      <w:pPr>
        <w:pStyle w:val="Heading2"/>
      </w:pPr>
      <w:r>
        <w:t>主线 3（第二优先级）：ApoE4–金属–Aβ / 铁稳态–tau–脂质过氧化</w:t>
      </w:r>
    </w:p>
    <w:p>
      <w:r>
        <w:t>这条主线有 AD 相关性，但相对不适合一开始就做“候选肽直接 docking 到 ferritin/transferrin 后下机制结论”。ApoE 异构体会改变金属诱导 Aβ 聚集；在接近 CSF 的体外浓度下，ApoE4 条件下的 Zn/Cu 诱导 Aβ 聚集最高 [4]。CSF ferritin 在 AD 连续谱中与神经退行/炎症和 tau 指标相关 [5]，也与较快 Aβ 病理进展相关 [6]。这支持将 ApoE4、ferritin、transferrin 放入</w:t>
      </w:r>
      <w:r>
        <w:rPr>
          <w:b/>
        </w:rPr>
        <w:t>分层调节因子/生物标志物</w:t>
      </w:r>
      <w:r>
        <w:t>层面，而非未经实验验证地认定它们是候选肽的直接病原靶点。</w:t>
      </w:r>
    </w:p>
    <w:p>
      <w:pPr>
        <w:spacing w:after="60"/>
        <w:pBdr>
          <w:bottom w:val="single" w:sz="6" w:color="9EADBA"/>
        </w:pBdr>
      </w:pPr>
    </w:p>
    <w:p>
      <w:pPr>
        <w:pStyle w:val="Heading1"/>
      </w:pPr>
      <w:r>
        <w:t>二、按靶点重审：科学问题、可做/不可直接做的事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  <w:shd w:fill="D9EAF7"/>
          </w:tcPr>
          <w:p>
            <w:pPr>
              <w:spacing w:after="40"/>
            </w:pPr>
            <w:r>
              <w:rPr>
                <w:b/>
                <w:sz w:val="17"/>
              </w:rPr>
              <w:t>模块</w:t>
            </w:r>
          </w:p>
        </w:tc>
        <w:tc>
          <w:tcPr>
            <w:tcW w:type="dxa" w:w="2408"/>
            <w:vAlign w:val="center"/>
            <w:shd w:fill="D9EAF7"/>
          </w:tcPr>
          <w:p>
            <w:pPr>
              <w:spacing w:after="40"/>
            </w:pPr>
            <w:r>
              <w:rPr>
                <w:b/>
                <w:sz w:val="17"/>
              </w:rPr>
              <w:t>文献支持的病理关联</w:t>
            </w:r>
          </w:p>
        </w:tc>
        <w:tc>
          <w:tcPr>
            <w:tcW w:type="dxa" w:w="2408"/>
            <w:vAlign w:val="center"/>
            <w:shd w:fill="D9EAF7"/>
          </w:tcPr>
          <w:p>
            <w:pPr>
              <w:spacing w:after="40"/>
            </w:pPr>
            <w:r>
              <w:rPr>
                <w:b/>
                <w:sz w:val="17"/>
              </w:rPr>
              <w:t>对 12 条肽最合适的问题</w:t>
            </w:r>
          </w:p>
        </w:tc>
        <w:tc>
          <w:tcPr>
            <w:tcW w:type="dxa" w:w="2408"/>
            <w:vAlign w:val="center"/>
            <w:shd w:fill="D9EAF7"/>
          </w:tcPr>
          <w:p>
            <w:pPr>
              <w:spacing w:after="40"/>
            </w:pPr>
            <w:r>
              <w:rPr>
                <w:b/>
                <w:sz w:val="17"/>
              </w:rPr>
              <w:t>关键否定对照/判读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AChE PAS / CAS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AChE PAS 可促进 Aβ 聚集；CAS 负责胆碱酯水解 [1,7]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肽是否 PAS 占位，是否改变 AChE–Aβ42 聚集和/或 AChE 活性？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PAS 对照 propidium；CAS 对照 donepezil；BChE；scrambled 肽；无 AChE Aβ42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BChE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BChE 与 AChE 口袋和 PAS 架构不同；不能以 AChE 结果外推 [1]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肽对 BChE 是否有交叉抑制？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Ellman IC50/Ki，报告 AChE/BChE 选择性；避免把 BChE 当 PAS 机制替代物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Aβ42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Cu/Zn/Fe 可改变 Aβ 聚集；Cu/Fe 可参与氧化还原 [2,8]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肽是否改变 Aβ42 寡聚体、纤维、金属诱导聚集或 ROS？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Aβ42 单独、各金属单独、肽单独，等离子强度/pH 对照；测游离金属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tau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金属失衡与 tau 磷酸化/聚集有关，但链条复杂 [8,9]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候选肽能否改变 seed-induced tau 聚集或细胞内 p-tau？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先采用 tau K18/P301S 聚集体系，再进细胞；不要由对接直接推出“稳定 tau”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ApoE4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ApoE4 是晚发 AD 最强遗传风险因素；可改变金属诱导 Aβ 聚集 [4,10]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ApoE2/3/4 是否改变肽对 Aβ–金属体系的效应？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必须并列 ApoE2、E3、E4；使用脂化重组 ApoE 或定义清楚的 rApoE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ferritin / transferrin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反映铁储存/转运与 AD 病理、炎症、tau 的关系 [5,6,11]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肽是否扰动 Fe 结合、铁释放或 TfR 摄取，而非是否“dock 到蛋白表面”？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apo/holo-transferrin；ferritin Fe 负载状态；游离 Fe、pH、还原剂；ICP-MS/ferrozine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Cu2+、Fe2+/Fe3+、Zn2+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金属稳态失调与 Aβ/tau 和氧化应激相连，但体内总量结论并不一致 [8,12]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肽的化学计量、亲和力、配位几何及 redox consequence 是什么？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7"/>
              </w:rPr>
              <w:t>EDTA/BCS/DFO 等适当螯合对照；金属滴定；避免只凭 docking 声称“螯合”</w:t>
            </w:r>
          </w:p>
        </w:tc>
      </w:tr>
    </w:tbl>
    <w:p/>
    <w:p>
      <w:r>
        <w:rPr>
          <w:b/>
        </w:rPr>
        <w:t>对 ferritin/transferrin 的关键修正</w:t>
      </w:r>
      <w:r>
        <w:t>：二者应先作为“铁稳态功能节点”研究。只有当通过直接结合及功能实验显示候选肽改变 ferritin 的储铁/释铁或 transferrin 的 Fe3+ 装载、TfR1 结合/摄取，才有依据进入蛋白–肽结构建模。它们不是与 AChE PAS 同等成熟的“小肽致病结合位点”。</w:t>
      </w:r>
    </w:p>
    <w:p>
      <w:pPr>
        <w:spacing w:after="60"/>
        <w:pBdr>
          <w:bottom w:val="single" w:sz="6" w:color="9EADBA"/>
        </w:pBdr>
      </w:pPr>
    </w:p>
    <w:p>
      <w:pPr>
        <w:pStyle w:val="Heading1"/>
      </w:pPr>
      <w:r>
        <w:t>三、建议的分阶段工作包（12 条肽可执行）</w:t>
      </w:r>
    </w:p>
    <w:p>
      <w:pPr>
        <w:pStyle w:val="Heading2"/>
      </w:pPr>
      <w:r>
        <w:t>WP0：先补齐候选肽可比性（所有后续工作的前提）</w:t>
      </w:r>
    </w:p>
    <w:p>
      <w:pPr>
        <w:pStyle w:val="ListBullet"/>
      </w:pPr>
      <w:r>
        <w:t>记录序列、N/C 端状态、环化/脂化/其他修饰、纯度、盐形式、分子量；用 LC–MS/HPLC 复核。</w:t>
      </w:r>
    </w:p>
    <w:p>
      <w:pPr>
        <w:pStyle w:val="ListBullet"/>
      </w:pPr>
      <w:r>
        <w:t>计算/实测净电荷、pI、His/Cys/Asp/Glu/Tyr/Met 数量、疏水性、聚集倾向、溶解度和血清稳定性。</w:t>
      </w:r>
    </w:p>
    <w:p>
      <w:pPr>
        <w:pStyle w:val="ListBullet"/>
      </w:pPr>
      <w:r>
        <w:t>设计每条肽的 scrambled 肽；若假设金属配位，另设计</w:t>
      </w:r>
      <w:r>
        <w:rPr>
          <w:b/>
        </w:rPr>
        <w:t>配位残基突变肽</w:t>
      </w:r>
      <w:r>
        <w:t>（例如 His→Ala/Asn，Asp/Glu→Asn/Gln）。这类“失配位突变”比仅用 docking 更能建立因果性。</w:t>
      </w:r>
    </w:p>
    <w:p>
      <w:pPr>
        <w:pStyle w:val="ListBullet"/>
      </w:pPr>
      <w:r>
        <w:t>先做无细胞的自聚集/浊度/ThT 背景和细胞培养基稳定性；短肽常出现假阳性荧光、表面吸附或胶体聚集。</w:t>
      </w:r>
    </w:p>
    <w:p>
      <w:pPr>
        <w:pStyle w:val="Heading2"/>
      </w:pPr>
      <w:r>
        <w:t>WP1：把现有 AChE–PAS 对接升级为可检验构象假说（优先）</w:t>
      </w:r>
    </w:p>
    <w:p>
      <w:r>
        <w:rPr>
          <w:b/>
        </w:rPr>
        <w:t>计算</w:t>
      </w:r>
    </w:p>
    <w:p>
      <w:pPr>
        <w:pStyle w:val="ListNumber"/>
      </w:pPr>
      <w:r>
        <w:t>使用人源 AChE 的实验结构，保留与实验 pH 一致的关键质子化状态；明确 CAS（Ser203–His447–Glu334）与 PAS（Tyr72、Asp74、Tyr124、Trp286、Tyr337 等）的接触占有率，而不是只报 docking score。</w:t>
      </w:r>
    </w:p>
    <w:p>
      <w:pPr>
        <w:pStyle w:val="ListNumber"/>
      </w:pPr>
      <w:r>
        <w:t>每肽至少多起点、多重复 MD（建议每体系 ≥3 独立重复；生产段以收敛性而非固定时长为准）。报告 RMSD/RMSF、接触概率、氢键、芳香堆积、盐桥、水桥、gorge 出入口开闭及肽是否离位。</w:t>
      </w:r>
    </w:p>
    <w:p>
      <w:pPr>
        <w:pStyle w:val="ListNumber"/>
      </w:pPr>
      <w:r>
        <w:t>对 PAS、CAS 与 gorge-spanning 三类姿势分别聚类；MM/GBSA 或 MM/PBSA 仅用于同一体系内的</w:t>
      </w:r>
      <w:r>
        <w:rPr>
          <w:b/>
        </w:rPr>
        <w:t>相对排序</w:t>
      </w:r>
      <w:r>
        <w:t>，不可当作绝对 Ki。</w:t>
      </w:r>
    </w:p>
    <w:p>
      <w:pPr>
        <w:pStyle w:val="ListNumber"/>
      </w:pPr>
      <w:r>
        <w:t>加入 Aβ42 时，不宜用单一刚性 Aβ42 结构断言三元复合物。应使用 Aβ42 单体/寡聚体构象集合，比较 “AChE–Aβ42” 和 “AChE–肽–Aβ42” 的界面与可及性。</w:t>
      </w:r>
    </w:p>
    <w:p>
      <w:r>
        <w:rPr>
          <w:b/>
        </w:rPr>
        <w:t>实验门槛</w:t>
      </w:r>
    </w:p>
    <w:p>
      <w:pPr>
        <w:pStyle w:val="ListBullet"/>
      </w:pPr>
      <w:r>
        <w:t>AChE/BChE 抑制：Ellman 法测浓度–反应曲线，给出 IC50、Ki、抑制类型；检查肽对 DTNB/底物读数的干扰。</w:t>
      </w:r>
    </w:p>
    <w:p>
      <w:pPr>
        <w:pStyle w:val="ListBullet"/>
      </w:pPr>
      <w:r>
        <w:t>直接结合：优先 MST 或 SPR；对很短肽，应严防表面固定和质量传递假象。ITC 可在溶解度充分时用于给出化学计量和热力学。</w:t>
      </w:r>
    </w:p>
    <w:p>
      <w:pPr>
        <w:pStyle w:val="ListBullet"/>
      </w:pPr>
      <w:r>
        <w:t>Aβ42：ThT 做全时程（lag time、增长速率、平台），并用 TEM/AFM + SEC-MALS 或 native PAGE/寡聚体抗体交叉验证。只用 ThT 不足以证明“抑制聚集”。</w:t>
      </w:r>
    </w:p>
    <w:p>
      <w:r>
        <w:rPr>
          <w:b/>
        </w:rPr>
        <w:t>Go/No-Go 条件</w:t>
      </w:r>
      <w:r>
        <w:t>：仅保留满足“直接 AChE 结合 + 至少一种 AChE/Aβ 功能读出一致 + scrambled/竞争对照支持”的 3–4 条肽进入 WP2。</w:t>
      </w:r>
    </w:p>
    <w:p>
      <w:pPr>
        <w:pStyle w:val="Heading2"/>
      </w:pPr>
      <w:r>
        <w:t>WP2：金属配位、氧化还原与脂质过氧化（优先）</w:t>
      </w:r>
    </w:p>
    <w:p>
      <w:r>
        <w:rPr>
          <w:b/>
        </w:rPr>
        <w:t>先化学、后计算</w:t>
      </w:r>
      <w:r>
        <w:t>。金属配位对质子化、溶剂、竞争配体和氧化态极其敏感，常规 protein–ligand docking 和经典力场不能单独验证配位键或电子转移。</w:t>
      </w:r>
    </w:p>
    <w:p>
      <w:pPr>
        <w:pStyle w:val="ListNumber"/>
      </w:pPr>
      <w:r>
        <w:rPr>
          <w:b/>
        </w:rPr>
        <w:t>结合与化学计量</w:t>
      </w:r>
      <w:r>
        <w:t>：以 Cu2+、Fe2+、Fe3+、Zn2+ 分别滴定肽；优先用 UV–Vis、CD、荧光猝灭（须排除内滤效应）、ITC、ESI-MS。可获得条件时，Cu 用 EPR，Fe 用 Mössbauer/EPR，配位几何可用 XAS/EXAFS。用竞争螯合剂估计条件稳定常数。</w:t>
      </w:r>
    </w:p>
    <w:p>
      <w:pPr>
        <w:pStyle w:val="ListNumber"/>
      </w:pPr>
      <w:r>
        <w:rPr>
          <w:b/>
        </w:rPr>
        <w:t>redox 读出</w:t>
      </w:r>
      <w:r>
        <w:t>：</w:t>
      </w:r>
    </w:p>
    <w:p>
      <w:pPr>
        <w:pStyle w:val="ListBullet"/>
      </w:pPr>
      <w:r>
        <w:t>Cu2+/Cu+：Cu(I) 特异探针或 BCS 捕获，配合 O2 消耗；</w:t>
      </w:r>
    </w:p>
    <w:p>
      <w:pPr>
        <w:pStyle w:val="ListBullet"/>
      </w:pPr>
      <w:r>
        <w:t>Fe3+/Fe2+：ferrozine 法定量 Fe2+；</w:t>
      </w:r>
    </w:p>
    <w:p>
      <w:pPr>
        <w:pStyle w:val="ListBullet"/>
      </w:pPr>
      <w:r>
        <w:t>H2O2：Amplex Red/HRP（同时设置肽/金属对荧光体系的直接干扰控制）；</w:t>
      </w:r>
    </w:p>
    <w:p>
      <w:pPr>
        <w:pStyle w:val="ListBullet"/>
      </w:pPr>
      <w:r>
        <w:t>自由基：EPR spin trapping 是强证据；普通 DCFH-DA 不能作为唯一 ROS 结论。</w:t>
      </w:r>
    </w:p>
    <w:p>
      <w:pPr>
        <w:pStyle w:val="ListNumber"/>
      </w:pPr>
      <w:r>
        <w:rPr>
          <w:b/>
        </w:rPr>
        <w:t>脂质过氧化</w:t>
      </w:r>
      <w:r>
        <w:t>：无细胞 liposome/LDL 体系先筛，再进细胞。建议 C11-BODIPY 581/591、4-HNE/MDA 加合物；TBARS 可做但特异性不足，必须有正交读出。</w:t>
      </w:r>
    </w:p>
    <w:p>
      <w:pPr>
        <w:pStyle w:val="ListNumber"/>
      </w:pPr>
      <w:r>
        <w:rPr>
          <w:b/>
        </w:rPr>
        <w:t>因果验证</w:t>
      </w:r>
      <w:r>
        <w:t>：若肽+Cu/Fe 增加 ROS/LPO，效应应被合适螯合剂、配位残基突变肽及缺氧/抗氧化策略显著削弱；若没有这一组证据，只能称“相关”，不能称“金属配位导致”。</w:t>
      </w:r>
    </w:p>
    <w:p>
      <w:r>
        <w:rPr>
          <w:b/>
        </w:rPr>
        <w:t>计算分层</w:t>
      </w:r>
      <w:r>
        <w:t>：</w:t>
      </w:r>
    </w:p>
    <w:p>
      <w:pPr>
        <w:pStyle w:val="ListBullet"/>
      </w:pPr>
      <w:r>
        <w:t>初筛：金属感知的构象采样/对接，用多个质子化状态及明确氧化态；把结果当作候选配位模型，而非结论。</w:t>
      </w:r>
    </w:p>
    <w:p>
      <w:pPr>
        <w:pStyle w:val="ListBullet"/>
      </w:pPr>
      <w:r>
        <w:t>MD：必须采用经验证的金属参数或 bonded model，检查配位距离、配位数、配体交换及重复间一致性。对 Fe2+/Fe3+、Cu2+/Cu+ 应分别建模。</w:t>
      </w:r>
    </w:p>
    <w:p>
      <w:pPr>
        <w:pStyle w:val="ListBullet"/>
      </w:pPr>
      <w:r>
        <w:t>QM/MM 或 DFT：只对 WP2 实验支持的 1–2 个体系。报告方法、基组、溶剂模型、自旋态（尤其 Fe/Cu）、BSSE/频率校正和与实验谱学的对应。所谓“配位能”必须说明参照态，避免跨电荷/跨自旋态的无意义比较。</w:t>
      </w:r>
    </w:p>
    <w:p>
      <w:pPr>
        <w:pStyle w:val="Heading2"/>
      </w:pPr>
      <w:r>
        <w:t>WP3：Aβ、tau、ApoE4 与铁稳态的分层验证（第二优先）</w:t>
      </w:r>
    </w:p>
    <w:p>
      <w:r>
        <w:rPr>
          <w:b/>
        </w:rPr>
        <w:t>Aβ42–金属–肽</w:t>
      </w:r>
    </w:p>
    <w:p>
      <w:pPr>
        <w:pStyle w:val="ListBullet"/>
      </w:pPr>
      <w:r>
        <w:t>采用 full factorial 设计：肽（±）× 金属（无/Cu/Fe/Zn）× Aβ42（±），同时包括 AChE（±）。</w:t>
      </w:r>
    </w:p>
    <w:p>
      <w:pPr>
        <w:pStyle w:val="ListBullet"/>
      </w:pPr>
      <w:r>
        <w:t>输出至少包括：Aβ 聚集动力学、寡聚体比例、游离金属、H2O2/脂质过氧化。这样可区分“肽直接促聚集”“肽只在金属存在时促聚集”“肽只是改变 ROS 而非聚集”。</w:t>
      </w:r>
    </w:p>
    <w:p>
      <w:r>
        <w:rPr>
          <w:b/>
        </w:rPr>
        <w:t>tau</w:t>
      </w:r>
    </w:p>
    <w:p>
      <w:pPr>
        <w:pStyle w:val="ListBullet"/>
      </w:pPr>
      <w:r>
        <w:t>先选一个明确体系：重组 tau K18/P301S 的 heparin 或 seed-induced 聚集，监测 FRET/ThT、沉淀比例和 TEM；细胞中再测 AT8/PHF-1 p-tau、可溶/不溶 tau、细胞活性。</w:t>
      </w:r>
    </w:p>
    <w:p>
      <w:pPr>
        <w:pStyle w:val="ListBullet"/>
      </w:pPr>
      <w:r>
        <w:t>仅当 Aβ/金属或 ROS 条件确实改变 tau 读数时，才将候选肽定位为该轴调节物。</w:t>
      </w:r>
    </w:p>
    <w:p>
      <w:r>
        <w:rPr>
          <w:b/>
        </w:rPr>
        <w:t>ApoE4</w:t>
      </w:r>
    </w:p>
    <w:p>
      <w:pPr>
        <w:pStyle w:val="ListBullet"/>
      </w:pPr>
      <w:r>
        <w:t>以 ApoE2/E3/E4 并行而非只测 E4。优先问“E4 是否使肽的 Aβ–金属效应增强”，而不是先假设肽直接结合 ApoE4。</w:t>
      </w:r>
    </w:p>
    <w:p>
      <w:pPr>
        <w:pStyle w:val="ListBullet"/>
      </w:pPr>
      <w:r>
        <w:t>脂质化状态会改变 ApoE 行为；论文必须说明 ApoE 制备方式、脂蛋白颗粒/脂质组成和浓度。</w:t>
      </w:r>
    </w:p>
    <w:p>
      <w:r>
        <w:rPr>
          <w:b/>
        </w:rPr>
        <w:t>ferritin/transferrin</w:t>
      </w:r>
    </w:p>
    <w:p>
      <w:pPr>
        <w:pStyle w:val="ListBullet"/>
      </w:pPr>
      <w:r>
        <w:t>在纯化体系先测铁释放/氧化还原（ferritin）以及 Fe3+ 装载、TfR1 结合或细胞摄取（transferrin）。</w:t>
      </w:r>
    </w:p>
    <w:p>
      <w:pPr>
        <w:pStyle w:val="ListBullet"/>
      </w:pPr>
      <w:r>
        <w:t>在神经元、星形胶质细胞和小胶质细胞中分别检测 labile iron pool、FTH1/FTL、TF、TFRC、FPN1、DMT1、hepcidin 与 ferritinophagy（NCOA4）。</w:t>
      </w:r>
    </w:p>
    <w:p>
      <w:pPr>
        <w:pStyle w:val="ListBullet"/>
      </w:pPr>
      <w:r>
        <w:t>如观察到 Fe 依赖性脂质过氧化，可加入 ferrostatin-1/liproxstatin-1、DFO，以及 GPX4、ACSL4、SLC7A11 指标，判断是否符合 ferroptosis；不能以“铁增加+细胞死”直接命名 ferroptosis。</w:t>
      </w:r>
    </w:p>
    <w:p>
      <w:pPr>
        <w:pStyle w:val="Heading2"/>
      </w:pPr>
      <w:r>
        <w:t>WP4：神经毒性与因果闭环（最终验证）</w:t>
      </w:r>
    </w:p>
    <w:p>
      <w:r>
        <w:rPr>
          <w:b/>
        </w:rPr>
        <w:t>推荐阶梯</w:t>
      </w:r>
      <w:r>
        <w:t>：SH-SY5Y/HT22 初筛 → 人 iPSC 来源神经元（必要时与星形胶质/小胶质共培养）确认。若论文主张 AD 转化意义，后者明显更有说服力。</w:t>
      </w:r>
    </w:p>
    <w:p>
      <w:pPr>
        <w:pStyle w:val="ListBullet"/>
      </w:pPr>
      <w:r>
        <w:t>处理设计：肽单独、金属单独、肽+金属、Aβ42 单独、Aβ42+肽、Aβ42+金属+肽；每组加相应螯合/抗氧化/突变肽救援。</w:t>
      </w:r>
    </w:p>
    <w:p>
      <w:pPr>
        <w:pStyle w:val="ListBullet"/>
      </w:pPr>
      <w:r>
        <w:t>细胞读出：CellTiter-Glo/LDH + Annexin V/PI；线粒体膜电位；C11-BODIPY/4-HNE；神经突长度/突触标记；AChE/BChE 酶活。</w:t>
      </w:r>
    </w:p>
    <w:p>
      <w:pPr>
        <w:pStyle w:val="ListBullet"/>
      </w:pPr>
      <w:r>
        <w:t>必须区分细胞外配位、培养基中金属沉淀、肽吸附/摄取和真正细胞内效应。培养基中的白蛋白、血清、转铁蛋白会强烈竞争金属，建议在定义清楚的低蛋白/无血清短时体系和更生理的完全培养基中都验证。</w:t>
      </w:r>
    </w:p>
    <w:p>
      <w:r>
        <w:rPr>
          <w:b/>
        </w:rPr>
        <w:t>支持“金属相关促氧化神经毒性”的最低判定标准</w:t>
      </w:r>
      <w:r>
        <w:t>：</w:t>
      </w:r>
    </w:p>
    <w:p>
      <w:pPr>
        <w:spacing w:before="80" w:after="80"/>
        <w:ind w:left="397"/>
      </w:pPr>
      <w:r>
        <w:rPr>
          <w:i/>
          <w:color w:val="505050"/>
        </w:rPr>
        <w:t>候选肽在定义金属条件下，重复性地提高 ROS 和至少一种正交脂质过氧化指标，并降低神经细胞存活/损伤神经突；该效应被金属螯合、关键配位残基突变或抗氧化/抗铁死亡干预所削弱，并伴有可复核的金属结合/价态变化证据。</w:t>
      </w:r>
    </w:p>
    <w:p>
      <w:r>
        <w:t>反之，任何一个单独的 docking score、MM/GBSA、DCFH-DA 信号或 MTT 下降，都不足以支持该结论。</w:t>
      </w:r>
    </w:p>
    <w:p>
      <w:pPr>
        <w:spacing w:after="60"/>
        <w:pBdr>
          <w:bottom w:val="single" w:sz="6" w:color="9EADBA"/>
        </w:pBdr>
      </w:pPr>
    </w:p>
    <w:p>
      <w:pPr>
        <w:pStyle w:val="Heading1"/>
      </w:pPr>
      <w:r>
        <w:t>四、AlphaFold 3 与多构象策略：应如何写进方案</w:t>
      </w:r>
    </w:p>
    <w:p>
      <w:r>
        <w:t>AlphaFold 3 的原始 Nature 论文显示它可联合预测蛋白、核酸、小分子、离子与修饰残基组成的复合物 [13]。可将它用于生成“肽–靶标”结构假说和复合物初始构象；但短肽、多构象 Aβ/tau、金属配位和蛋白表面瞬时结合是其高风险场景。独立评估也指出 AF3 对本征柔性区域/结构域并不可靠，且 ipTM 不能捕获全部大误差 [14]。</w:t>
      </w:r>
    </w:p>
    <w:p>
      <w:r>
        <w:rPr>
          <w:b/>
        </w:rPr>
        <w:t>可执行规范</w:t>
      </w:r>
      <w:r>
        <w:t>：</w:t>
      </w:r>
    </w:p>
    <w:p>
      <w:pPr>
        <w:pStyle w:val="ListNumber"/>
      </w:pPr>
      <w:r>
        <w:t>不把 AF3 输出称为“肽的真实结构”；每个短肽使用多 seed、多模型、多起始构象。</w:t>
      </w:r>
    </w:p>
    <w:p>
      <w:pPr>
        <w:pStyle w:val="ListNumber"/>
      </w:pPr>
      <w:r>
        <w:t>以跨模型重复出现的接触、界面 PAE、局部 pLDDT/ipTM 为筛选指标；低置信构象应保留为“未解析集合”，不是强行选一个赢家。</w:t>
      </w:r>
    </w:p>
    <w:p>
      <w:pPr>
        <w:pStyle w:val="ListNumber"/>
      </w:pPr>
      <w:r>
        <w:t>对 Aβ42/tau，将 AF3 作为初始模型生成器，并以 enhanced-sampling MD、实验聚集数据和谱学约束验证。</w:t>
      </w:r>
    </w:p>
    <w:p>
      <w:pPr>
        <w:pStyle w:val="ListNumber"/>
      </w:pPr>
      <w:r>
        <w:t>对 Cu/Fe/Zn，AF3/对接只提出“可能近邻残基”；配位数、键长、氧化态与电子转移必须由谱学 + QM/MM/DFT + 实验 redox 数据共同支持。</w:t>
      </w:r>
    </w:p>
    <w:p>
      <w:pPr>
        <w:spacing w:after="60"/>
        <w:pBdr>
          <w:bottom w:val="single" w:sz="6" w:color="9EADBA"/>
        </w:pBdr>
      </w:pPr>
    </w:p>
    <w:p>
      <w:pPr>
        <w:pStyle w:val="Heading1"/>
      </w:pPr>
      <w:r>
        <w:t>五、建议的论文叙事与优先级</w:t>
      </w:r>
    </w:p>
    <w:p>
      <w:pPr>
        <w:pStyle w:val="Heading2"/>
      </w:pPr>
      <w:r>
        <w:t>最强、最聚焦的第一篇机制论文</w:t>
      </w:r>
    </w:p>
    <w:p>
      <w:r>
        <w:rPr>
          <w:b/>
        </w:rPr>
        <w:t>题眼</w:t>
      </w:r>
      <w:r>
        <w:t>：</w:t>
      </w:r>
      <w:r>
        <w:rPr>
          <w:rFonts w:ascii="Consolas" w:hAnsi="Consolas"/>
        </w:rPr>
        <w:t>Short peptide X binds the AChE peripheral anionic site and modulates the AChE–Aβ42–metal oxidative axis</w:t>
      </w:r>
      <w:r>
        <w:t>。</w:t>
      </w:r>
    </w:p>
    <w:p>
      <w:pPr>
        <w:pStyle w:val="ListBullet"/>
      </w:pPr>
      <w:r>
        <w:t>不必一次覆盖 ApoE4、tau、ferritin、transferrin 所有靶点。</w:t>
      </w:r>
    </w:p>
    <w:p>
      <w:pPr>
        <w:pStyle w:val="ListBullet"/>
      </w:pPr>
      <w:r>
        <w:t>从 12 条中以 WP1+WP2 的预注册式评分选 1 条主肽、1 条备选肽；其余作为 SAR/阴性对照。</w:t>
      </w:r>
    </w:p>
    <w:p>
      <w:pPr>
        <w:pStyle w:val="ListBullet"/>
      </w:pPr>
      <w:r>
        <w:t>主图逻辑：序列–构象集合 → AChE PAS 结合/酶学 → AChE–Aβ42 聚集 → 金属配位/红氧 → 脂质过氧化 → 神经元损伤与救援。</w:t>
      </w:r>
    </w:p>
    <w:p>
      <w:pPr>
        <w:pStyle w:val="Heading2"/>
      </w:pPr>
      <w:r>
        <w:t>第二篇/扩展工作</w:t>
      </w:r>
    </w:p>
    <w:p>
      <w:r>
        <w:t>将最可靠的肽放入 ApoE2/E3/E4 背景和人 iPSC 细胞模型，研究铁稳态与 tau 下游改变。这样可避免在第一篇中因靶点过多而每个机制证据不足。</w:t>
      </w:r>
    </w:p>
    <w:p>
      <w:pPr>
        <w:pStyle w:val="Heading2"/>
      </w:pPr>
      <w:r>
        <w:t>不建议的做法</w:t>
      </w:r>
    </w:p>
    <w:p>
      <w:pPr>
        <w:pStyle w:val="ListBullet"/>
      </w:pPr>
      <w:r>
        <w:t>将 12 条肽同时对接 7 个大靶点后，凭 docking score 绘制完整 AD 机制网络；</w:t>
      </w:r>
    </w:p>
    <w:p>
      <w:pPr>
        <w:pStyle w:val="ListBullet"/>
      </w:pPr>
      <w:r>
        <w:t>将 Zn2+ 与 Cu/Fe 一并解释为 Fenton ROS 源；</w:t>
      </w:r>
    </w:p>
    <w:p>
      <w:pPr>
        <w:pStyle w:val="ListBullet"/>
      </w:pPr>
      <w:r>
        <w:t>用 MM/PBSA 的单点数值宣称结合亲和力或金属螯合能力；</w:t>
      </w:r>
    </w:p>
    <w:p>
      <w:pPr>
        <w:pStyle w:val="ListBullet"/>
      </w:pPr>
      <w:r>
        <w:t>未经直接结合/功能实验就称 ferritin/transferrin 为“致病靶点”；</w:t>
      </w:r>
    </w:p>
    <w:p>
      <w:pPr>
        <w:pStyle w:val="ListBullet"/>
      </w:pPr>
      <w:r>
        <w:t>将 AChE PAS 占位自动等同于 AChE 酶抑制或抗 Aβ 聚集。</w:t>
      </w:r>
    </w:p>
    <w:p>
      <w:pPr>
        <w:spacing w:after="60"/>
        <w:pBdr>
          <w:bottom w:val="single" w:sz="6" w:color="9EADBA"/>
        </w:pBdr>
      </w:pPr>
    </w:p>
    <w:p>
      <w:pPr>
        <w:pStyle w:val="Heading1"/>
      </w:pPr>
      <w:r>
        <w:t>六、核心 SCI 文献（按直接可用性精选）</w:t>
      </w:r>
    </w:p>
    <w:p>
      <w:pPr>
        <w:pStyle w:val="Heading2"/>
      </w:pPr>
      <w:r>
        <w:t>AChE–PAS–Aβ</w:t>
      </w:r>
    </w:p>
    <w:p>
      <w:pPr>
        <w:pStyle w:val="ListNumber"/>
      </w:pPr>
      <w:r>
        <w:rPr>
          <w:b/>
        </w:rPr>
        <w:t>Inestrosa NC, et al.</w:t>
      </w:r>
      <w:r>
        <w:t xml:space="preserve"> Acetylcholinesterase accelerates assembly of amyloid-β-peptides into Alzheimer’s fibrils: possible role of the peripheral site of the enzyme. </w:t>
      </w:r>
      <w:r>
        <w:rPr>
          <w:i/>
        </w:rPr>
        <w:t>Neuron</w:t>
      </w:r>
      <w:r>
        <w:t xml:space="preserve"> (1996). </w:t>
      </w:r>
      <w:r>
        <w:rPr>
          <w:b/>
        </w:rPr>
        <w:t>PMID: 8608006</w:t>
      </w:r>
      <w:r>
        <w:t xml:space="preserve">.  </w:t>
      </w:r>
    </w:p>
    <w:p>
      <w:r>
        <w:t xml:space="preserve">  价值：最直接的 AChE–PAS 促 Aβ 聚集机制依据；propidium 抑制、BChE 不促聚集，是本项目最重要的阳性/机制对照来源。链接：</w:t>
      </w:r>
      <w:r>
        <w:rPr>
          <w:color w:val="0563C1"/>
          <w:u w:val="single"/>
        </w:rPr>
        <w:t>PubMed</w:t>
      </w:r>
      <w:r>
        <w:t>（https://pubmed.ncbi.nlm.nih.gov/8608006/）</w:t>
      </w:r>
    </w:p>
    <w:p>
      <w:pPr>
        <w:pStyle w:val="ListNumber"/>
      </w:pPr>
      <w:r>
        <w:rPr>
          <w:b/>
        </w:rPr>
        <w:t>Inestrosa NC, et al.</w:t>
      </w:r>
      <w:r>
        <w:t xml:space="preserve"> Amyloid–cholinesterase interactions. </w:t>
      </w:r>
      <w:r>
        <w:rPr>
          <w:i/>
        </w:rPr>
        <w:t>FEBS Journal</w:t>
      </w:r>
      <w:r>
        <w:t xml:space="preserve"> (2008). DOI: </w:t>
      </w:r>
      <w:r>
        <w:rPr>
          <w:b/>
        </w:rPr>
        <w:t>10.1111/j.1742-4658.2007.06238.x</w:t>
      </w:r>
      <w:r>
        <w:t xml:space="preserve">.  </w:t>
      </w:r>
    </w:p>
    <w:p>
      <w:r>
        <w:t xml:space="preserve">  价值：总结 AChE–Aβ 复合体、PAS 阻断与神经毒性的机制背景。链接：</w:t>
      </w:r>
      <w:r>
        <w:rPr>
          <w:color w:val="0563C1"/>
          <w:u w:val="single"/>
        </w:rPr>
        <w:t>期刊</w:t>
      </w:r>
      <w:r>
        <w:t>（https://febs.onlinelibrary.wiley.com/doi/10.1111/j.1742-4658.2007.06238.x）</w:t>
      </w:r>
    </w:p>
    <w:p>
      <w:pPr>
        <w:pStyle w:val="Heading2"/>
      </w:pPr>
      <w:r>
        <w:t>Aβ–金属–氧化应激</w:t>
      </w:r>
    </w:p>
    <w:p>
      <w:pPr>
        <w:pStyle w:val="ListNumber"/>
      </w:pPr>
      <w:r>
        <w:rPr>
          <w:b/>
        </w:rPr>
        <w:t>Huang X, et al.</w:t>
      </w:r>
      <w:r>
        <w:t xml:space="preserve"> The Aβ peptide of Alzheimer’s disease directly produces hydrogen peroxide through metal ion reduction. </w:t>
      </w:r>
      <w:r>
        <w:rPr>
          <w:i/>
        </w:rPr>
        <w:t>Biochemistry</w:t>
      </w:r>
      <w:r>
        <w:t xml:space="preserve"> (1999) 38:7609–7616. DOI: </w:t>
      </w:r>
      <w:r>
        <w:rPr>
          <w:b/>
        </w:rPr>
        <w:t>10.1021/bi990438f</w:t>
      </w:r>
      <w:r>
        <w:t xml:space="preserve">.  </w:t>
      </w:r>
    </w:p>
    <w:p>
      <w:r>
        <w:t xml:space="preserve">  价值：Cu(II)/Fe(III) 还原、H2O2、Fenton 型化学和 TBARS 的经典原始证据。链接：</w:t>
      </w:r>
      <w:r>
        <w:rPr>
          <w:color w:val="0563C1"/>
          <w:u w:val="single"/>
        </w:rPr>
        <w:t>ACS</w:t>
      </w:r>
      <w:r>
        <w:t>（https://pubs.acs.org/doi/10.1021/bi990438f）</w:t>
      </w:r>
    </w:p>
    <w:p>
      <w:pPr>
        <w:pStyle w:val="ListNumber"/>
      </w:pPr>
      <w:r>
        <w:rPr>
          <w:b/>
        </w:rPr>
        <w:t>White AR, et al.</w:t>
      </w:r>
      <w:r>
        <w:t xml:space="preserve"> The Alzheimer’s disease amyloid precursor protein modulates copper-induced toxicity and oxidative stress in primary neuronal cultures. </w:t>
      </w:r>
      <w:r>
        <w:rPr>
          <w:i/>
        </w:rPr>
        <w:t>Journal of Neuroscience</w:t>
      </w:r>
      <w:r>
        <w:t xml:space="preserve"> (1999). </w:t>
      </w:r>
      <w:r>
        <w:rPr>
          <w:b/>
        </w:rPr>
        <w:t>PMCID: PMC6782934</w:t>
      </w:r>
      <w:r>
        <w:t xml:space="preserve">.  </w:t>
      </w:r>
    </w:p>
    <w:p>
      <w:r>
        <w:t xml:space="preserve">  价值：富 His 肽段、关键 His 突变、铜依赖脂质过氧化与神经元毒性的强因果范例。链接：</w:t>
      </w:r>
      <w:r>
        <w:rPr>
          <w:color w:val="0563C1"/>
          <w:u w:val="single"/>
        </w:rPr>
        <w:t>PMC</w:t>
      </w:r>
      <w:r>
        <w:t>（https://pmc.ncbi.nlm.nih.gov/articles/PMC6782934/）</w:t>
      </w:r>
    </w:p>
    <w:p>
      <w:pPr>
        <w:pStyle w:val="ListNumber"/>
      </w:pPr>
      <w:r>
        <w:rPr>
          <w:b/>
        </w:rPr>
        <w:t>Bush AI, Tanzi RE.</w:t>
      </w:r>
      <w:r>
        <w:t xml:space="preserve"> Therapeutics for Alzheimer’s disease based on the metal hypothesis. </w:t>
      </w:r>
      <w:r>
        <w:rPr>
          <w:i/>
        </w:rPr>
        <w:t>Neurotherapeutics</w:t>
      </w:r>
      <w:r>
        <w:t xml:space="preserve"> (2008).  </w:t>
      </w:r>
    </w:p>
    <w:p>
      <w:r>
        <w:t xml:space="preserve">  价值：Aβ–Cu/Zn/Fe、聚集与金属稳态治疗假说的高质量综述。链接：</w:t>
      </w:r>
      <w:r>
        <w:rPr>
          <w:color w:val="0563C1"/>
          <w:u w:val="single"/>
        </w:rPr>
        <w:t>ScienceDirect</w:t>
      </w:r>
      <w:r>
        <w:t>（https://www.sciencedirect.com/science/article/pii/S1878747923004890）</w:t>
      </w:r>
    </w:p>
    <w:p>
      <w:pPr>
        <w:pStyle w:val="Heading2"/>
      </w:pPr>
      <w:r>
        <w:t>ApoE4、铁稳态、ferritin/transferrin</w:t>
      </w:r>
    </w:p>
    <w:p>
      <w:pPr>
        <w:pStyle w:val="ListNumber"/>
      </w:pPr>
      <w:r>
        <w:rPr>
          <w:b/>
        </w:rPr>
        <w:t>Moir RD, et al.</w:t>
      </w:r>
      <w:r>
        <w:t xml:space="preserve"> Differential effects of apolipoprotein E isoforms on metal-induced aggregation of Aβ. </w:t>
      </w:r>
      <w:r>
        <w:rPr>
          <w:i/>
        </w:rPr>
        <w:t>Journal of Biological Chemistry</w:t>
      </w:r>
      <w:r>
        <w:t xml:space="preserve"> (1999). </w:t>
      </w:r>
      <w:r>
        <w:rPr>
          <w:b/>
        </w:rPr>
        <w:t>PMID: 10194381</w:t>
      </w:r>
      <w:r>
        <w:t xml:space="preserve">.  </w:t>
      </w:r>
    </w:p>
    <w:p>
      <w:r>
        <w:t xml:space="preserve">  价值：在近生理 CSF 浓度下，ApoE4 条件中 Cu/Zn 诱导 Aβ 聚集最高；直接支持 E2/E3/E4 并行实验。链接：</w:t>
      </w:r>
      <w:r>
        <w:rPr>
          <w:color w:val="0563C1"/>
          <w:u w:val="single"/>
        </w:rPr>
        <w:t>PubMed</w:t>
      </w:r>
      <w:r>
        <w:t>（https://pubmed.ncbi.nlm.nih.gov/10194381/）</w:t>
      </w:r>
    </w:p>
    <w:p>
      <w:pPr>
        <w:pStyle w:val="ListNumber"/>
      </w:pPr>
      <w:r>
        <w:rPr>
          <w:b/>
        </w:rPr>
        <w:t>Ayton S, Faux NG, Bush AI; ADNI.</w:t>
      </w:r>
      <w:r>
        <w:t xml:space="preserve"> Ferritin levels in the cerebrospinal fluid predict Alzheimer’s disease outcomes and are regulated by APOE. </w:t>
      </w:r>
      <w:r>
        <w:rPr>
          <w:i/>
        </w:rPr>
        <w:t>Nature Communications</w:t>
      </w:r>
      <w:r>
        <w:t xml:space="preserve"> (2015) 6:6760.  </w:t>
      </w:r>
    </w:p>
    <w:p>
      <w:r>
        <w:t xml:space="preserve">  价值：高影响力纵向生物标志物论文；将 ferritin 与 APOE 和 AD 病程连接。链接：</w:t>
      </w:r>
      <w:r>
        <w:rPr>
          <w:color w:val="0563C1"/>
          <w:u w:val="single"/>
        </w:rPr>
        <w:t>PubMed</w:t>
      </w:r>
      <w:r>
        <w:t>（https://pubmed.ncbi.nlm.nih.gov/25772989/）</w:t>
      </w:r>
    </w:p>
    <w:p>
      <w:pPr>
        <w:pStyle w:val="ListNumber"/>
      </w:pPr>
      <w:r>
        <w:rPr>
          <w:b/>
        </w:rPr>
        <w:t>Ayton S, Diouf I, Bush AI; ADNI.</w:t>
      </w:r>
      <w:r>
        <w:t xml:space="preserve"> Evidence that iron accelerates Alzheimer’s pathology: a CSF biomarker study. </w:t>
      </w:r>
      <w:r>
        <w:rPr>
          <w:i/>
        </w:rPr>
        <w:t>Journal of Neurology, Neurosurgery &amp; Psychiatry</w:t>
      </w:r>
      <w:r>
        <w:t xml:space="preserve"> (2018). </w:t>
      </w:r>
      <w:r>
        <w:rPr>
          <w:b/>
        </w:rPr>
        <w:t>PMID: 28939683</w:t>
      </w:r>
      <w:r>
        <w:t xml:space="preserve">.  </w:t>
      </w:r>
    </w:p>
    <w:p>
      <w:r>
        <w:t xml:space="preserve">  价值：CSF ferritin 高与 Aβ 病理更快进展相关；不是直接肽靶点证据。链接：</w:t>
      </w:r>
      <w:r>
        <w:rPr>
          <w:color w:val="0563C1"/>
          <w:u w:val="single"/>
        </w:rPr>
        <w:t>PubMed</w:t>
      </w:r>
      <w:r>
        <w:t>（https://pubmed.ncbi.nlm.nih.gov/28939683/）</w:t>
      </w:r>
    </w:p>
    <w:p>
      <w:pPr>
        <w:pStyle w:val="ListNumber"/>
      </w:pPr>
      <w:r>
        <w:rPr>
          <w:b/>
        </w:rPr>
        <w:t>Pan R, et al.</w:t>
      </w:r>
      <w:r>
        <w:t xml:space="preserve"> The associations of CSF ferritin with neurodegeneration and neuroinflammation along the AD continuum. </w:t>
      </w:r>
      <w:r>
        <w:rPr>
          <w:i/>
        </w:rPr>
        <w:t>Journal of Alzheimer’s Disease</w:t>
      </w:r>
      <w:r>
        <w:t xml:space="preserve"> (2022). </w:t>
      </w:r>
      <w:r>
        <w:rPr>
          <w:b/>
        </w:rPr>
        <w:t>PMID: 35754266</w:t>
      </w:r>
      <w:r>
        <w:t xml:space="preserve">.  </w:t>
      </w:r>
    </w:p>
    <w:p>
      <w:r>
        <w:t xml:space="preserve">  价值：ADNI 302 人，CSF ferritin 与 p-tau/t-tau、认知和炎症蛋白相关。链接：</w:t>
      </w:r>
      <w:r>
        <w:rPr>
          <w:color w:val="0563C1"/>
          <w:u w:val="single"/>
        </w:rPr>
        <w:t>PubMed</w:t>
      </w:r>
      <w:r>
        <w:t>（https://pubmed.ncbi.nlm.nih.gov/35754266/）</w:t>
      </w:r>
    </w:p>
    <w:p>
      <w:pPr>
        <w:pStyle w:val="ListNumber"/>
      </w:pPr>
      <w:r>
        <w:rPr>
          <w:b/>
        </w:rPr>
        <w:t>Goozee K, et al.</w:t>
      </w:r>
      <w:r>
        <w:t xml:space="preserve"> Plasma transferrin and hemopexin are associated with altered Aβ and tau burden in Alzheimer’s disease. </w:t>
      </w:r>
      <w:r>
        <w:rPr>
          <w:i/>
        </w:rPr>
        <w:t>Alzheimer’s Research &amp; Therapy</w:t>
      </w:r>
      <w:r>
        <w:t xml:space="preserve"> (2020). </w:t>
      </w:r>
      <w:r>
        <w:rPr>
          <w:b/>
        </w:rPr>
        <w:t>PMID: 32517787</w:t>
      </w:r>
      <w:r>
        <w:t xml:space="preserve">.  </w:t>
      </w:r>
    </w:p>
    <w:p>
      <w:r>
        <w:t xml:space="preserve">  价值：transferrin 与脑淀粉样沉积、海马体积和认知的队列关联；提示其适合作为铁稳态层的 readout。链接：</w:t>
      </w:r>
      <w:r>
        <w:rPr>
          <w:color w:val="0563C1"/>
          <w:u w:val="single"/>
        </w:rPr>
        <w:t>PubMed</w:t>
      </w:r>
      <w:r>
        <w:t>（https://pubmed.ncbi.nlm.nih.gov/32517787/）</w:t>
      </w:r>
    </w:p>
    <w:p>
      <w:pPr>
        <w:pStyle w:val="Heading2"/>
      </w:pPr>
      <w:r>
        <w:t>综述、争议与方法边界</w:t>
      </w:r>
    </w:p>
    <w:p>
      <w:pPr>
        <w:pStyle w:val="ListNumber"/>
      </w:pPr>
      <w:r>
        <w:rPr>
          <w:b/>
        </w:rPr>
        <w:t>Schrag M, et al.</w:t>
      </w:r>
      <w:r>
        <w:t xml:space="preserve"> Iron, zinc and copper in the Alzheimer’s disease brain: a quantitative meta-analysis. </w:t>
      </w:r>
      <w:r>
        <w:rPr>
          <w:i/>
        </w:rPr>
        <w:t>Metallomics</w:t>
      </w:r>
      <w:r>
        <w:t xml:space="preserve"> (2011). DOI: </w:t>
      </w:r>
      <w:r>
        <w:rPr>
          <w:b/>
        </w:rPr>
        <w:t>10.1039/C1MT00046K</w:t>
      </w:r>
      <w:r>
        <w:t xml:space="preserve">.  </w:t>
      </w:r>
    </w:p>
    <w:p>
      <w:r>
        <w:t xml:space="preserve">  价值：提醒不能将局部斑块金属富集混同于全脑“总金属升高”；金属总体结论有异质性和引用偏倚。链接：</w:t>
      </w:r>
      <w:r>
        <w:rPr>
          <w:color w:val="0563C1"/>
          <w:u w:val="single"/>
        </w:rPr>
        <w:t>PMC</w:t>
      </w:r>
      <w:r>
        <w:t>（https://pmc.ncbi.nlm.nih.gov/articles/PMC3134620/）</w:t>
      </w:r>
    </w:p>
    <w:p>
      <w:pPr>
        <w:pStyle w:val="ListNumber"/>
      </w:pPr>
      <w:r>
        <w:rPr>
          <w:b/>
        </w:rPr>
        <w:t>Braidy N, et al.</w:t>
      </w:r>
      <w:r>
        <w:t xml:space="preserve"> Metals in Alzheimer’s disease. </w:t>
      </w:r>
      <w:r>
        <w:rPr>
          <w:i/>
        </w:rPr>
        <w:t>International Journal of Molecular Sciences</w:t>
      </w:r>
      <w:r>
        <w:t xml:space="preserve"> (2023). </w:t>
      </w:r>
      <w:r>
        <w:rPr>
          <w:b/>
        </w:rPr>
        <w:t>PMCID: PMC10136077</w:t>
      </w:r>
      <w:r>
        <w:t xml:space="preserve">.  </w:t>
      </w:r>
    </w:p>
    <w:p>
      <w:r>
        <w:t xml:space="preserve">  价值：覆盖 Aβ、tau、ApoE、金属稳态及临床转化局限的近期综述。链接：</w:t>
      </w:r>
      <w:r>
        <w:rPr>
          <w:color w:val="0563C1"/>
          <w:u w:val="single"/>
        </w:rPr>
        <w:t>PMC</w:t>
      </w:r>
      <w:r>
        <w:t>（https://pmc.ncbi.nlm.nih.gov/articles/PMC10136077/）</w:t>
      </w:r>
    </w:p>
    <w:p>
      <w:pPr>
        <w:pStyle w:val="ListNumber"/>
      </w:pPr>
      <w:r>
        <w:rPr>
          <w:b/>
        </w:rPr>
        <w:t>Abramson J, et al.</w:t>
      </w:r>
      <w:r>
        <w:t xml:space="preserve"> Accurate structure prediction of biomolecular interactions with AlphaFold 3. </w:t>
      </w:r>
      <w:r>
        <w:rPr>
          <w:i/>
        </w:rPr>
        <w:t>Nature</w:t>
      </w:r>
      <w:r>
        <w:t xml:space="preserve"> (2024) 630:493–500. DOI: </w:t>
      </w:r>
      <w:r>
        <w:rPr>
          <w:b/>
        </w:rPr>
        <w:t>10.1038/s41586-024-07487-w</w:t>
      </w:r>
      <w:r>
        <w:t xml:space="preserve">.  </w:t>
      </w:r>
    </w:p>
    <w:p>
      <w:r>
        <w:t xml:space="preserve">  价值：AF3 原始论文；可用于复杂体系的候选构象生成。链接：</w:t>
      </w:r>
      <w:r>
        <w:rPr>
          <w:color w:val="0563C1"/>
          <w:u w:val="single"/>
        </w:rPr>
        <w:t>Nature</w:t>
      </w:r>
      <w:r>
        <w:t>（https://www.nature.com/articles/s41586-024-07487-w）</w:t>
      </w:r>
    </w:p>
    <w:p>
      <w:pPr>
        <w:pStyle w:val="ListNumber"/>
      </w:pPr>
      <w:r>
        <w:rPr>
          <w:b/>
        </w:rPr>
        <w:t>Wee J, Wei G-W.</w:t>
      </w:r>
      <w:r>
        <w:t xml:space="preserve"> Evaluation of AlphaFold 3’s protein–protein complexes for predicting mutation-induced binding free energy changes. </w:t>
      </w:r>
      <w:r>
        <w:rPr>
          <w:i/>
        </w:rPr>
        <w:t>Journal of Chemical Information and Modeling</w:t>
      </w:r>
      <w:r>
        <w:t xml:space="preserve"> (2024). DOI: </w:t>
      </w:r>
      <w:r>
        <w:rPr>
          <w:b/>
        </w:rPr>
        <w:t>10.1021/acs.jcim.4c00976</w:t>
      </w:r>
      <w:r>
        <w:t xml:space="preserve">.  </w:t>
      </w:r>
    </w:p>
    <w:p>
      <w:r>
        <w:t xml:space="preserve">  价值：独立评估显示柔性区域风险、ipTM 漏报大误差；支持本方案的“AF3 + ensemble + 实验”原则。链接：</w:t>
      </w:r>
      <w:r>
        <w:rPr>
          <w:color w:val="0563C1"/>
          <w:u w:val="single"/>
        </w:rPr>
        <w:t>ACS</w:t>
      </w:r>
      <w:r>
        <w:t>（https://pubs.acs.org/doi/10.1021/acs.jcim.4c00976）</w:t>
      </w:r>
    </w:p>
    <w:p>
      <w:pPr>
        <w:spacing w:after="60"/>
        <w:pBdr>
          <w:bottom w:val="single" w:sz="6" w:color="9EADBA"/>
        </w:pBdr>
      </w:pPr>
    </w:p>
    <w:p>
      <w:pPr>
        <w:pStyle w:val="Heading1"/>
      </w:pPr>
      <w:r>
        <w:t>七、下一步需要提供的信息</w:t>
      </w:r>
    </w:p>
    <w:p>
      <w:r>
        <w:t>若要把本路线从通用方案变成对 12 条肽的具体研究计划，请补充：</w:t>
      </w:r>
    </w:p>
    <w:p>
      <w:pPr>
        <w:pStyle w:val="ListNumber"/>
      </w:pPr>
      <w:r>
        <w:t>12 条肽的</w:t>
      </w:r>
      <w:r>
        <w:rPr>
          <w:b/>
        </w:rPr>
        <w:t>完整序列、N/C 端修饰、是否环化/脂化</w:t>
      </w:r>
      <w:r>
        <w:t>及来源；</w:t>
      </w:r>
    </w:p>
    <w:p>
      <w:pPr>
        <w:pStyle w:val="ListNumber"/>
      </w:pPr>
      <w:r>
        <w:t>已用的 AChE 物种/PDB、对接软件、结合构象、打分和是否有 PAS 残基接触表；</w:t>
      </w:r>
    </w:p>
    <w:p>
      <w:pPr>
        <w:pStyle w:val="ListNumber"/>
      </w:pPr>
      <w:r>
        <w:t>计划使用的 MD 软件/力场、金属模型能力和可获得的实验平台；</w:t>
      </w:r>
    </w:p>
    <w:p>
      <w:pPr>
        <w:pStyle w:val="ListNumber"/>
      </w:pPr>
      <w:r>
        <w:t>研究目标究竟是筛选</w:t>
      </w:r>
      <w:r>
        <w:rPr>
          <w:b/>
        </w:rPr>
        <w:t>促氧化神经毒肽</w:t>
      </w:r>
      <w:r>
        <w:t>、</w:t>
      </w:r>
      <w:r>
        <w:rPr>
          <w:b/>
        </w:rPr>
        <w:t>保护性/抑制性肽</w:t>
      </w:r>
      <w:r>
        <w:t>，还是同时寻找二者。</w:t>
      </w:r>
    </w:p>
    <w:p>
      <w:r>
        <w:t>拿到这些资料后，下一步应输出：每条肽的配位位点预测、PAS/CAS 构象分类、金属实验浓度矩阵、scrambled/突变对照序列及可直接执行的统计与样本量框架。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7"/>
      </w:rPr>
      <w:t>候选肽后续机制研究路线｜文献证据与实验设计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4E79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14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1F4E79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12条候选肽后续机制研究：文献证据与研究路线</dc:title>
  <dc:subject>AD候选肽、金属配位与神经毒性机制</dc:subject>
  <dc:creator>Arena.ai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