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牙周炎口腔smORF来源微肽占据AChE外周位点：22项UniDL4BioPep打分、对接与分子动力学模拟</w:t>
      </w:r>
    </w:p>
    <w:p>
      <w:pPr>
        <w:pStyle w:val="Heading2"/>
        <w:keepNext/>
      </w:pPr>
      <w:r>
        <w:t>摘要</w:t>
      </w:r>
    </w:p>
    <w:p>
      <w:pPr>
        <w:pStyle w:val="Normal"/>
      </w:pPr>
      <w:r>
        <w:t>牙周炎与阿尔茨海默病（AD）在临床和实验中有关联，但仍缺少能够作用于突触酶的肽水平配体。本研究对已处理好的口腔小开放阅读框（smORF）做 UniDL4BioPep 打分，将 12 条 7–9 残基肽对接到人源乙酰胆碱酯酶（AChE，PDB 4EY6），并对 apo AChE 与三种复合物做 100 ns 分子动力学（MD）。健康标记库 11,269,961 条与牙周炎标记库 11,721,988 条均按 ≥0.80 跑完 22 个分类头。随后仅对牙周炎分支与口腔基因组、宏蛋白质组目录做精确匹配。血脑屏障（BBB）阳性在健康库为 1,095,861 条（9.72%），在牙周炎库为 1,125,832 条（9.60%）。牙周炎 BBB 集合与 33,786 条目录支持的独特肽取交集得 3,518 条；经 NTxPred2、mebipred 与 AnOxPePred 收至 12 条明示序列。12 条在 pH 7.4 均带净正电荷。本地 AutoDock Vina（三次）最优构象介于 −8.25 至 −9.60 kcal/mol。FLLHTTR、YLSLLQR 与 LLHPLRL 接触外周阴离子位点（PAS）。100 ns 内 FLLHTTR 与 YLSLLQR 复合物比 apo 更紧凑（骨架 RMSD 0.1640、0.1625 nm，相对 apo 0.1897 nm）。FLLHTTR 氢键网最密（7.03 ± 1.28）；仅 YLSLLQR 收缩溶剂可及面积。计算勾勒出口腔微肽占据促 Aβ 成纤同一 PAS 的可能路径。</w:t>
      </w:r>
    </w:p>
    <w:p>
      <w:pPr>
        <w:pStyle w:val="Keywords"/>
      </w:pPr>
      <w:r>
        <w:rPr>
          <w:b/>
        </w:rPr>
        <w:t>关键词：</w:t>
      </w:r>
      <w:r>
        <w:t xml:space="preserve"> 阿尔茨海默病；牙龈卟啉单胞菌；牙周炎；smORF；微肽；乙酰胆碱酯酶；外周阴离子位点；UniDL4BioPep；分子对接；分子动力学</w:t>
      </w:r>
    </w:p>
    <w:p>
      <w:pPr>
        <w:pStyle w:val="Heading2"/>
        <w:keepNext/>
      </w:pPr>
      <w:r>
        <w:t>引言</w:t>
      </w:r>
    </w:p>
    <w:p>
      <w:pPr>
        <w:pStyle w:val="BodyText"/>
      </w:pPr>
      <w:r>
        <w:t>阿尔茨海默病（AD）在漫长临床前过程中同时出现淀粉样沉积、tau 病理、突触衰竭、免疫激活和血管损伤</w:t>
      </w:r>
      <w:r>
        <w:t>[1]</w:t>
      </w:r>
      <w:r>
        <w:t>。APP 经 β、γ 分泌酶依次切割，释放 Aβ40 和 Aβ42；可溶寡聚体损伤突触；家族性 APP/PSEN 突变改变肽长度和产量</w:t>
      </w:r>
      <w:r>
        <w:t>[2]</w:t>
      </w:r>
      <w:r>
        <w:t>。淀粉样负荷解释不了疾病的空间与临床异质性，因此外周炎症暴露被当作易感性的可能修饰因素，而不是单一充分病因。</w:t>
      </w:r>
    </w:p>
    <w:p>
      <w:pPr>
        <w:pStyle w:val="BodyText"/>
      </w:pPr>
      <w:r>
        <w:t>基底前脑乙酰胆碱丢失解释相当部分认知表型，故 AChE 抑制剂仍在常规使用</w:t>
      </w:r>
      <w:r>
        <w:t>[3]</w:t>
      </w:r>
      <w:r>
        <w:t>。对该酶而言，催化只是一部分功能。AChE 经外周阴离子位点（PAS）加速 Aβ 成纤，AChE–Aβ 颗粒毒性高于游离肽</w:t>
      </w:r>
      <w:r>
        <w:t>[4]</w:t>
      </w:r>
      <w:r>
        <w:t>。一段疏水 PAS 基序即足以产生这种伴侣效应</w:t>
      </w:r>
      <w:r>
        <w:t>[5]</w:t>
      </w:r>
      <w:r>
        <w:t>。PAS 导向小分子可在生化体系中阻断 AChE 诱导的聚集</w:t>
      </w:r>
      <w:r>
        <w:t>[19]</w:t>
      </w:r>
      <w:r>
        <w:t>。同一蛋白表面因而把胆碱能衰竭与淀粉样沉积连在一起。</w:t>
      </w:r>
    </w:p>
    <w:p>
      <w:pPr>
        <w:pStyle w:val="BodyText"/>
      </w:pPr>
      <w:r>
        <w:t>慢性牙周炎在破损黏膜屏障维持低度炎症负荷，并使微生物产物进入血液</w:t>
      </w:r>
      <w:r>
        <w:t>[6]</w:t>
      </w:r>
      <w:r>
        <w:t>。口腔活动具物种和位点特异性，16S 丰度不能替代分子配体</w:t>
      </w:r>
      <w:r>
        <w:t>[7]</w:t>
      </w:r>
      <w:r>
        <w:t>。综合分析报告牙周病与认知障碍相关，但效应随病例定义而变动</w:t>
      </w:r>
      <w:r>
        <w:t>[10]</w:t>
      </w:r>
      <w:r>
        <w:t>。AD 队列中牙周炎与后续下降相关</w:t>
      </w:r>
      <w:r>
        <w:t>[11]</w:t>
      </w:r>
      <w:r>
        <w:t>。两样本孟德尔随机化并未支持牙周病对 AD 的遗传因果效应</w:t>
      </w:r>
      <w:r>
        <w:t>[14]</w:t>
      </w:r>
      <w:r>
        <w:t>。流行病学因此推动分子搜寻，本身并不给出配体。</w:t>
      </w:r>
    </w:p>
    <w:p>
      <w:pPr>
        <w:pStyle w:val="BodyText"/>
      </w:pPr>
      <w:r>
        <w:t>牙龈卟啉单胞菌的牙龈蛋白酶与外膜囊泡是一对已定位的毒力因子</w:t>
      </w:r>
      <w:r>
        <w:t>[8–9]</w:t>
      </w:r>
      <w:r>
        <w:t>。AD 脑内曾检出该菌与牙龈蛋白酶</w:t>
      </w:r>
      <w:r>
        <w:t>[12]</w:t>
      </w:r>
      <w:r>
        <w:t>，小鼠反复口腔感染可产生神经炎症和 Aβ 相关改变</w:t>
      </w:r>
      <w:r>
        <w:t>[13]</w:t>
      </w:r>
      <w:r>
        <w:t>。这些观察支持检查口腔产物，但并不能单独指出占据 AChE 的肽。</w:t>
      </w:r>
    </w:p>
    <w:p>
      <w:pPr>
        <w:pStyle w:val="BodyText"/>
      </w:pPr>
      <w:r>
        <w:t>微生物组 smORF 编码大量尚未绘图的小蛋白</w:t>
      </w:r>
      <w:r>
        <w:t>[15–16]</w:t>
      </w:r>
      <w:r>
        <w:t>。人体微生物组抗菌肽挖掘先对数百万条翻译开放阅读框打分，再做实验过滤</w:t>
      </w:r>
      <w:r>
        <w:t>[31]</w:t>
      </w:r>
      <w:r>
        <w:t>。UniDL4BioPep 在 ESM-2 嵌入上提供二十余个二分类活性头</w:t>
      </w:r>
      <w:r>
        <w:t>[23]</w:t>
      </w:r>
      <w:r>
        <w:t>。此处沿用同一顺序：先预测，再与目录匹配。分类器分数回答不了结构问题，即 7–9 aa 牙周炎肽能否占据 Aβ 结合 PAS。</w:t>
      </w:r>
    </w:p>
    <w:p>
      <w:pPr>
        <w:pStyle w:val="BodyText"/>
      </w:pPr>
      <w:r>
        <w:t>加速 MD 把 Aβ 放到 AChE 表面，并把该酶视为成核中心</w:t>
      </w:r>
      <w:r>
        <w:t>[17]</w:t>
      </w:r>
      <w:r>
        <w:t>。1 μs、以 PAS 为中心的 AChE–Aβ 轨迹保持结合，主驻留区为残基 344–361</w:t>
      </w:r>
      <w:r>
        <w:t>[18]</w:t>
      </w:r>
      <w:r>
        <w:t>。PDB 4EY6 给出 2.40 Å 人源 AChE 对接框架</w:t>
      </w:r>
      <w:r>
        <w:t>[20]</w:t>
      </w:r>
      <w:r>
        <w:t>。连接催化三联体与 PAS 的芳香峡部早先在电鳗 AChE 上被定位</w:t>
      </w:r>
      <w:r>
        <w:t>[36]</w:t>
      </w:r>
      <w:r>
        <w:t>。仍缺少的是从口腔 smORF 取出、并在同一 PAS 上检验的肽水平配体。</w:t>
      </w:r>
    </w:p>
    <w:p>
      <w:pPr>
        <w:pStyle w:val="BodyText"/>
      </w:pPr>
      <w:r>
        <w:t>本研究对 PRJNA678453 已处理好的口腔 smORF 文库用 22 个 UniDL4BioPep 头打分，比较健康与牙周炎命中率，将牙周炎分支与口腔基因组和宏蛋白质组目录匹配，再用 NTxPred2、mebipred 和 AnOxPePred 收窄名单。12 条 7–9 aa 肽对接到人源 AChE。三个复合物与 apo 酶一起做 100 ns 模拟，检验肽是否留在 PAS 上且不使折叠打开。</w:t>
      </w:r>
    </w:p>
    <w:p>
      <w:pPr>
        <w:pStyle w:val="Heading2"/>
        <w:keepNext/>
      </w:pPr>
      <w:r>
        <w:t>材料与方法</w:t>
      </w:r>
    </w:p>
    <w:p>
      <w:pPr>
        <w:pStyle w:val="Heading3"/>
        <w:keepNext/>
      </w:pPr>
      <w:r>
        <w:t>研究设计</w:t>
      </w:r>
    </w:p>
    <w:p>
      <w:pPr>
        <w:pStyle w:val="BodyText"/>
      </w:pPr>
      <w:r>
        <w:t>工作为纯计算。未新增患者、标本、测序或湿实验。健康与牙周炎标记是文库标签，不是肽水平临床诊断。对接使用本地三次 AutoDock Vina 构象。MD 使用 apo AChE 与三种肽复合物的 100 ns GROMACS 轨迹。</w:t>
      </w:r>
    </w:p>
    <w:p>
      <w:pPr>
        <w:pStyle w:val="Heading3"/>
        <w:keepNext/>
      </w:pPr>
      <w:r>
        <w:t>来源文库</w:t>
      </w:r>
    </w:p>
    <w:p>
      <w:pPr>
        <w:pStyle w:val="BodyText"/>
      </w:pPr>
      <w:r>
        <w:t>4–50 aa 的翻译 smORF 作为已处理好的肽字符串使用，未重新组装读段或重新预测基因。成对口腔宏基因组与宏转录组的公共来源为 PRJNA678453</w:t>
      </w:r>
      <w:r>
        <w:t>[7]</w:t>
      </w:r>
      <w:r>
        <w:t>。该 BioProject 另有派生的 MGnify 第三方组装 PRJEB65451（metaSPAdes v3.15.3），并非第二个临床队列。文库规模为健康标记 11,269,961 条、牙周炎标记 11,721,988 条。</w:t>
      </w:r>
    </w:p>
    <w:p>
      <w:pPr>
        <w:pStyle w:val="Heading3"/>
        <w:keepNext/>
      </w:pPr>
      <w:r>
        <w:t>UniDL4BioPep（22 项任务）</w:t>
      </w:r>
    </w:p>
    <w:p>
      <w:pPr>
        <w:pStyle w:val="BodyText"/>
      </w:pPr>
      <w:r>
        <w:t>两库均先跑 UniDL4BioPep，顺序与微生物组抗菌肽挖掘的“先预测再过滤”一致</w:t>
      </w:r>
      <w:r>
        <w:t>[23,31]</w:t>
      </w:r>
      <w:r>
        <w:t>。Du 等固定 ESM-2（</w:t>
      </w:r>
      <w:r>
        <w:rPr>
          <w:rFonts w:ascii="Consolas" w:hAnsi="Consolas" w:eastAsia="等线"/>
          <w:shd w:val="clear" w:color="auto" w:fill="F2F4F7"/>
        </w:rPr>
        <w:t>esm2_t6_8M_UR50D</w:t>
      </w:r>
      <w:r>
        <w:t>，6 层、800 万参数、残基态 320 维），对残基嵌入取平均，使任意长度肽落到同一向量。卷积分类器在该向量上按活性分别训练，骨架跨数据集复用，而不是为每个终点另设计网络。原文在 20 项二分类任务中有 15 项超过当时最优。本研究未再训练。打分的 22 个头为：ACE 抑制、DPP-IV 抑制、苦味、鲜味、抗菌、抗疟（备选）、抗疟（主）、群体感应、抗癌（主）、抗癌（备选）、抗 MRSA、TTCA、BBB（BBP）、抗寄生虫（APP）、NeuroPred、抗细菌、抗真菌、抗病毒、毒性、抗氧化 FRS、致敏性和细胞穿透肽（CPP）。各头截断均为 ≥0.80。“BBB 高分”只是 BBP 头上的该截断，不是实测跨细胞转运。Augur 等其他 BBB 工具的阳性集与编码不同，其发表 AUC 不能搬到这些 4–50 aa 口腔串</w:t>
      </w:r>
      <w:r>
        <w:t>[35]</w:t>
      </w:r>
      <w:r>
        <w:t>。</w:t>
      </w:r>
    </w:p>
    <w:p>
      <w:pPr>
        <w:pStyle w:val="Heading3"/>
        <w:keepNext/>
      </w:pPr>
      <w:r>
        <w:t>目录匹配（仅牙周炎分支）</w:t>
      </w:r>
    </w:p>
    <w:p>
      <w:pPr>
        <w:pStyle w:val="BodyText"/>
      </w:pPr>
      <w:r>
        <w:t>打分之后，仅将牙周炎标记序列与口腔基因组、宏蛋白质组资源精确匹配并合并为独特肽。HOMD 与 eHOMD 提供经整理的呼吸道–消化道基因组</w:t>
      </w:r>
      <w:r>
        <w:t>[21,32]</w:t>
      </w:r>
      <w:r>
        <w:t>。唾液宏蛋白质组在其自身错误发现框架内记录肽</w:t>
      </w:r>
      <w:r>
        <w:t>[22]</w:t>
      </w:r>
      <w:r>
        <w:t>。其他口腔宏蛋白质组集合补充不同临床背景下的序列观察</w:t>
      </w:r>
      <w:r>
        <w:t>[33–34]</w:t>
      </w:r>
      <w:r>
        <w:t>。匹配支持该字符串曾经被观察到，不能证明它在 PRJNA678453 样本中表达。牙周炎库得到 33,786 条目录支持的独特肽，与 1,125,832 条牙周炎 BBB（BBP）命中取交集，得到 3,518 条（5–30 aa 3,446；31–50 aa 72）。健康库停留在 22 项打分表，不去冗余。</w:t>
      </w:r>
    </w:p>
    <w:p>
      <w:pPr>
        <w:pStyle w:val="Heading3"/>
        <w:keepNext/>
      </w:pPr>
      <w:r>
        <w:t>NTxPred2</w:t>
      </w:r>
    </w:p>
    <w:p>
      <w:pPr>
        <w:pStyle w:val="BodyText"/>
      </w:pPr>
      <w:r>
        <w:t>NTxPred2 把肽模型和蛋白模型分开，因为单一神经毒素分类器不能在长度等级之间迁移</w:t>
      </w:r>
      <w:r>
        <w:t>[24]</w:t>
      </w:r>
      <w:r>
        <w:t>。肽集为神经毒性与非毒性各 877 条，蛋白集各 775 条。组成/二元谱机器学习模型 AUC 为肽 0.97、蛋白 0.85。在肽集上微调 ESM2-t30 后，独立集 AUC 达 0.98（MCC 0.90）。公开服务器对 7–50 aa 用 ESM2-t30（默认概率 0.5），对 ≥51 aa 用 extra-trees。我们对 3,518 集合中 7–50 aa 成员使用肽模式（ESM2-t30）。阳性是分类器标签，不是神经元实验。</w:t>
      </w:r>
    </w:p>
    <w:p>
      <w:pPr>
        <w:pStyle w:val="Heading3"/>
        <w:keepNext/>
      </w:pPr>
      <w:r>
        <w:t>mebipred</w:t>
      </w:r>
    </w:p>
    <w:p>
      <w:pPr>
        <w:pStyle w:val="BodyText"/>
      </w:pPr>
      <w:r>
        <w:t>mebipred 只靠序列、不做比对，因而可用于短翻译片段</w:t>
      </w:r>
      <w:r>
        <w:t>[25]</w:t>
      </w:r>
      <w:r>
        <w:t>。输入为 219 维序列特征：氨基酸组成、理化描述符、金属结合 5-mer 计数。第一级前馈网（两层 219 个 ReLU，dropout 0.2，RMSprop）区分是否结合金属；第二级给出 11 种离子。作者报告金属有无准确率 &gt;80%，精确率–召回率曲线下面积 0.91。离子默认概率 0.5，提到 0.9 会提高精确率、降低召回。Cu、Fe、Zn 相关分数此处保持 0.50。输出不是实测 Kd，也不给出配位几何。</w:t>
      </w:r>
    </w:p>
    <w:p>
      <w:pPr>
        <w:pStyle w:val="Heading3"/>
        <w:keepNext/>
      </w:pPr>
      <w:r>
        <w:t>AnOxPePred</w:t>
      </w:r>
    </w:p>
    <w:p>
      <w:pPr>
        <w:pStyle w:val="BodyText"/>
      </w:pPr>
      <w:r>
        <w:t>AnOxPePred 是一维 CNN，两个头分别打自由基清除（FRS）和金属螯合（CHEL），输入为 one-hot 肽序列</w:t>
      </w:r>
      <w:r>
        <w:t>[26]</w:t>
      </w:r>
      <w:r>
        <w:t>。阳性来自 BIOPEP-UWM 和抗氧化肽文献，每条标 FRS、螯合或二者。FRS 头优于 k-NN 基线；螯合头较弱，因该训练子集小。两头输出 [0, 1]。串联截断为 CHEL≥0.25，再加 FRS&lt;0.50，再加 FRS&lt;0.45。四个工具的一致是过滤栈，不是独立实验重复。</w:t>
      </w:r>
    </w:p>
    <w:p>
      <w:pPr>
        <w:pStyle w:val="Heading3"/>
        <w:keepNext/>
      </w:pPr>
      <w:r>
        <w:t>理化描述符</w:t>
      </w:r>
    </w:p>
    <w:p>
      <w:pPr>
        <w:pStyle w:val="BodyText"/>
      </w:pPr>
      <w:r>
        <w:t>对 12 条互不重复的 7–9 aa 字符串重新计算长度、组氨酸、半胱氨酸、Arg+Lys、平均分子量、等电点、pH 7.4 净电荷、Kyte–Doolittle GRAVY、Ikai 脂肪族指数、疏水残基比例（A、I、L、M、F、V、W、Y）和 Boman 指数。标度只作用于氨基酸字符串，未做 HPLC 或 CD。</w:t>
      </w:r>
    </w:p>
    <w:p>
      <w:pPr>
        <w:pStyle w:val="Heading3"/>
        <w:keepNext/>
      </w:pPr>
      <w:r>
        <w:t>分子对接</w:t>
      </w:r>
    </w:p>
    <w:p>
      <w:pPr>
        <w:pStyle w:val="BodyText"/>
      </w:pPr>
      <w:r>
        <w:t>人源重组 AChE（PDB 4EY6，2.40 Å）去除加兰他敏与结晶水，修复链断裂，并按 pH 7.4 分配质子化</w:t>
      </w:r>
      <w:r>
        <w:t>[20]</w:t>
      </w:r>
      <w:r>
        <w:t>。12 条配体 ALLLHRC、FCLHLQLR、FLLHTTR、HLLTLKKHV、HLPLLHRCC、HVLLLRQCA、LLHLPKRTT、LLHPLRC、LLHPLRL、WLLVHLKK、YHHLLCRR 和 YLSLLQR 用 AutoDock Vina 对接，exhaustiveness = 32</w:t>
      </w:r>
      <w:r>
        <w:t>[27–28]</w:t>
      </w:r>
      <w:r>
        <w:t>。网格以 PAS（Tyr72、Asp74、Thr75、Leu76、Trp286、His287、Tyr341）为中心，覆盖峡部颈（Phe295）、胆碱亚位点（Trp86、Glu202、Tyr337）和催化三联体（Ser203、His447、Glu334）。每条配体跑三次。报告最优单次亲和力、三次均值±SD、氢键数和最优构象的 PAS 接触。Vina 分数用于排序，不是实验自由能。</w:t>
      </w:r>
    </w:p>
    <w:p>
      <w:pPr>
        <w:pStyle w:val="Heading3"/>
        <w:keepNext/>
      </w:pPr>
      <w:r>
        <w:t>分子动力学</w:t>
      </w:r>
    </w:p>
    <w:p>
      <w:pPr>
        <w:pStyle w:val="BodyText"/>
      </w:pPr>
      <w:r>
        <w:t>四个显式溶剂体系在 GROMACS 中以 Amber99SB-ILDN 和 TIP3P、0.15 M NaCl 构建</w:t>
      </w:r>
      <w:r>
        <w:t>[29–30]</w:t>
      </w:r>
      <w:r>
        <w:t>：apo AChE（A 链）以及 ALLLHRC、FLLHTTR、YLSLLQR 复合物。盒子为三斜，溶质至壁缓冲 1.0 nm。平衡为 2,000 步最速下降、1.0 ns 受限 NVT 升至 300 K、1.0 ns 受限 NPT 和 1.0 ns 自由 NPT。生产相 100 ns（dt = 2.0 fs），300 K、1.0 bar，LINCS、1.2 nm 截断和粒子网格 Ewald。每 20 ps 存一帧。</w:t>
      </w:r>
    </w:p>
    <w:p>
      <w:pPr>
        <w:pStyle w:val="BodyText"/>
      </w:pPr>
      <w:r>
        <w:t>与图5–7对齐的指标包括 Cα RMSD、逐残基 RMSF、SASA、Rg、DSSP 占有率和分子间氢键（</w:t>
      </w:r>
      <w:r>
        <w:rPr>
          <w:rFonts w:ascii="Consolas" w:hAnsi="Consolas" w:eastAsia="等线"/>
          <w:shd w:val="clear" w:color="auto" w:fill="F2F4F7"/>
        </w:rPr>
        <w:t>gmx hbond</w:t>
      </w:r>
      <w:r>
        <w:t>；供体–受体 ≤ 3.0 Å）。另记录微肽自拟合 RMSD 和持续性接触（7.0 Å）。均值±SD 取最后 20 ns（80–100 ns）。方案沿用 Atanasova 等 AChE–Aβ MD 的逻辑，窗口为 100 ns 而非 1 μs</w:t>
      </w:r>
      <w:r>
        <w:t>[18]</w:t>
      </w:r>
      <w:r>
        <w:t>。</w:t>
      </w:r>
    </w:p>
    <w:p>
      <w:pPr>
        <w:pStyle w:val="Heading2"/>
        <w:keepNext/>
      </w:pPr>
      <w:r>
        <w:t>结果</w:t>
      </w:r>
    </w:p>
    <w:p>
      <w:pPr>
        <w:pStyle w:val="Heading3"/>
        <w:keepNext/>
      </w:pPr>
      <w:r>
        <w:t>两库 22 项 UniDL4BioPep 任务</w:t>
      </w:r>
    </w:p>
    <w:p>
      <w:pPr>
        <w:pStyle w:val="BodyText"/>
      </w:pPr>
      <w:r>
        <w:t>图1概括筛选。两库均按 ≥0.80 跑完 22 个头（表1、表2）。命中率接近。抗菌在牙周炎库为 10,302,093/11,721,988（87.89%），健康库为 9,882,657/11,269,961（87.69%）。BBB（BBP）分别为 1,125,832（9.60%）与 1,095,861（9.72%）。抗寄生虫（APP）和群体感应次之；两库最小的都是 DPP-IV 抑制。标签可重叠。两库 BBB 率只差 0.12 个百分点，故 BBB 高分不是牙周炎特异印记。22 个头大多接近（表3）。牙周炎高于健康 ≥1 个百分点的只有群体感应（+1.39）。健康高于牙周炎 ≥1 个百分点的有抗真菌（−2.50）、抗寄生虫（−2.36）、抗氧化 FRS（−1.95）、抗病毒（−1.89）、抗细菌（−1.42）、CPP（−1.24）、抗癌主（−1.22）和鲜味（−1.00）。抗菌几乎持平（87.89% 对 87.69%）。这是全库打分率，不是序列水平差异肽：没有逐条交集表，不能说这 12 条对接序列在健康库中不存在。下游对接只用牙周炎、目录匹配后的分支。</w:t>
      </w:r>
    </w:p>
    <w:p>
      <w:pPr>
        <w:sectPr>
          <w:pgSz w:w="11906" w:h="16838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Caption"/>
      </w:pPr>
      <w:r>
        <w:rPr>
          <w:b/>
        </w:rPr>
        <w:t>表1. 牙周炎标记库（11,721,988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489"/>
        <w:gridCol w:w="3489"/>
        <w:gridCol w:w="3489"/>
        <w:gridCol w:w="3489"/>
      </w:tblGrid>
      <w:tr>
        <w:trPr>
          <w:tblHeader/>
        </w:trPr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1,236,442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10.55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139,056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1.19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1,831,185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15.62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3,100,811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10,302,093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87.89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695,608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5.93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2,010,724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17.15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4,491,507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2,357,718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2,015,652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17.20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843,977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7.20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2,666,759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22.75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5,462,493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1,714,373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14.63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2,597,877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2,960,118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3,275,203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1,714,299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2,521,106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1,713,798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14.62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925,627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表2. 健康标记库（11,269,961 条 smORF）的 UniDL4BioPep 计数（≥0.80）。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489"/>
        <w:gridCol w:w="3489"/>
        <w:gridCol w:w="3489"/>
        <w:gridCol w:w="3489"/>
      </w:tblGrid>
      <w:tr>
        <w:trPr>
          <w:tblHeader/>
        </w:trPr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%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ACE 抑制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1,237,451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10.98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DPP-IV 抑制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131,426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1.17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苦味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1,840,368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16.33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3,094,287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9,882,657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87.69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抗疟（备选）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703,632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6.24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抗疟（主）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1,954,667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17.34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4,161,825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2,404,084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抗癌（备选）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1,979,643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17.57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 MRSA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769,955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6.83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TTCA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2,618,849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23.24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1,095,861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5,517,278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NeuroPred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1,690,436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15.00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2,658,234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3,128,057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3,362,295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毒性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1,725,268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15.31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2,643,538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致敏性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1,635,019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14.51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1,029,770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</w:tr>
    </w:tbl>
    <w:p>
      <w:pPr>
        <w:spacing w:after="40"/>
      </w:pPr>
    </w:p>
    <w:p>
      <w:pPr>
        <w:pStyle w:val="Caption"/>
      </w:pPr>
      <w:r>
        <w:rPr>
          <w:b/>
        </w:rPr>
        <w:t>表3. 两库打分率之差（牙周炎% − 健康%）。BBB 供对照。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489"/>
        <w:gridCol w:w="3489"/>
        <w:gridCol w:w="3489"/>
        <w:gridCol w:w="3489"/>
      </w:tblGrid>
      <w:tr>
        <w:trPr>
          <w:tblHeader/>
        </w:trPr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任务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健康 %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%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Δ 百分点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群体感应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36.93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38.32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+1.39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鲜味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27.46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26.45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−1.00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抗癌（主）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21.33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20.11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−1.22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细胞穿透肽（CPP）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9.14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7.90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−1.24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抗细菌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23.59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22.16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−1.42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抗病毒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29.83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27.94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−1.89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抗氧化 FRS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23.46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21.51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−1.95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抗寄生虫（APP）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48.96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46.60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−2.36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抗真菌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27.76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25.25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−2.50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血脑屏障（BBP）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9.72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9.60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−0.12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7313045"/>
            <wp:effectExtent l="0" t="0" r="0" b="0"/>
            <wp:docPr id="1" name="Figure 1" descr="图1. 从口腔smORF文库到12条肽和3个MD复合物的筛选级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eening_casc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7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图1. 筛选级联。</w:t>
      </w:r>
      <w:r>
        <w:t xml:space="preserve"> 两库均先跑 UniDL4BioPep（22 项）。目录匹配与后续过滤只用于牙周炎分支，最终 12 条 7–9 aa 肽做对接，3 个复合物做 MD 模拟。</w:t>
      </w:r>
    </w:p>
    <w:p>
      <w:pPr>
        <w:pStyle w:val="Heading3"/>
        <w:keepNext/>
      </w:pPr>
      <w:r>
        <w:t>牙周炎漏斗至 12 条序列</w:t>
      </w:r>
    </w:p>
    <w:p>
      <w:pPr>
        <w:pStyle w:val="BodyText"/>
      </w:pPr>
      <w:r>
        <w:t>牙周炎库目录匹配保留 33,786 条独特肽，与 BBB 高分交集得 3,518 条。NTxPred2 评价 3,299/3,518（93.77%），阳性 923/3,299（27.98%）。后续截断留下 mebipred 阳性 111 条、CHEL≥0.25 者 15 条、CHEL≥0.25 且 FRS&lt;0.50 者 12 条、更严 FRS&lt;0.45 者 8 条（表4）。923 条 NTxPred2 阳性肽均 ≤30 aa，故金属/CHEL/FRS 步骤只保留短肽。</w:t>
      </w:r>
    </w:p>
    <w:p>
      <w:pPr>
        <w:sectPr>
          <w:pgSz w:w="11906" w:h="16838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Caption"/>
      </w:pPr>
      <w:r>
        <w:rPr>
          <w:b/>
        </w:rPr>
        <w:t>表4. UniDL4BioPep 打分后的牙周炎分支。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3489"/>
        <w:gridCol w:w="3489"/>
        <w:gridCol w:w="3489"/>
        <w:gridCol w:w="3489"/>
      </w:tblGrid>
      <w:tr>
        <w:trPr>
          <w:tblHeader/>
        </w:trPr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阶段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规则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489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分母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牙周炎 smORF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4–50 aa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文库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BBB（BBP）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评分 ≥0.80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目录支持的独特肽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精确匹配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33,786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11,721,988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BBB 高分 ∩ 目录支持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交集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1,125,832 ∩ 33,786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短肽（5–30 aa）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3,446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长肽（31–50 aa）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长度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已评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7–50 aa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3,518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NTxPred2 阳性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模型标签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923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3,299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mebipred 阳性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≥0.50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 优先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主集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FRS&lt;0.50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</w:t>
            </w:r>
          </w:p>
        </w:tc>
      </w:tr>
      <w:tr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更严子集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CHEL≥0.25 且 FRS&lt;0.45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489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Heading3"/>
        <w:keepNext/>
      </w:pPr>
      <w:r>
        <w:t>12 条肽的理化轮廓</w:t>
      </w:r>
    </w:p>
    <w:p>
      <w:pPr>
        <w:pStyle w:val="BodyText"/>
      </w:pPr>
      <w:r>
        <w:t>下列描述符刻画这 12 条对接配体，不是健康库与牙周炎库的比较。</w:t>
      </w:r>
    </w:p>
    <w:p>
      <w:pPr>
        <w:pStyle w:val="BodyText"/>
      </w:pPr>
      <w:r>
        <w:t>12 条为标准残基组成的互不重复 7–9 aa 肽（表5）。11 条含组氨酸，6 条含半胱氨酸，每条至少 1 个 Arg 或 Lys。分子量 825.03–1,097.30 Da。等电点偏碱（8.28–11.54）。pH 7.4 净电荷全部为正（0.85–2.08）。10 条 GRAVY 为正，与富亮氨酸核心一致；LLHLPKRTT（−0.36）与 YHHLLCRR（−0.95）为两条亲水例外。脂肪族指数从 97.5（YHHLLCRR）到 222.9（LLHPLRL）。YLSLLQR 是唯一不含组氨酸的肽。这些数字描述组成，不是 HPLC 或 CD 实测。</w:t>
      </w:r>
    </w:p>
    <w:p>
      <w:pPr>
        <w:sectPr>
          <w:pgSz w:w="11906" w:h="16838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Caption"/>
      </w:pPr>
      <w:r>
        <w:rPr>
          <w:b/>
        </w:rPr>
        <w:t>表5. 12条7–9 aa肽的组成与计算理化描述符。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395"/>
        <w:gridCol w:w="1395"/>
        <w:gridCol w:w="1395"/>
        <w:gridCol w:w="1395"/>
        <w:gridCol w:w="1395"/>
        <w:gridCol w:w="1395"/>
        <w:gridCol w:w="1395"/>
        <w:gridCol w:w="1395"/>
        <w:gridCol w:w="1395"/>
        <w:gridCol w:w="1395"/>
      </w:tblGrid>
      <w:tr>
        <w:trPr>
          <w:tblHeader/>
        </w:trPr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aa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MW (Da)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pI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z（pH 7.4）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GRAVY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His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Cys</w:t>
            </w:r>
          </w:p>
        </w:tc>
        <w:tc>
          <w:tcPr>
            <w:tcW w:w="1395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R+K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825.03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1.14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181.4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1029.26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146.2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887.04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111.4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1088.35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2.08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162.2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1091.35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8.28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0.85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0.43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1052.30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0.97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173.3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1078.32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11.54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−0.36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130.0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851.07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9.00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0.66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861.09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11.09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1.04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0.84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222.9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1036.32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10.63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2.04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0.46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182.5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1097.30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9.91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−0.95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97.5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892.06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9.89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0.99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0.04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167.1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395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Heading3"/>
        <w:keepNext/>
      </w:pPr>
      <w:r>
        <w:t>对人源 AChE 的对接</w:t>
      </w:r>
    </w:p>
    <w:p>
      <w:pPr>
        <w:pStyle w:val="BodyText"/>
      </w:pPr>
      <w:r>
        <w:t>12 条配体均给出有利 Vina 分数（表6，图2）。最优单次 −8.25 至 −9.60 kcal/mol；三次均值 −8.07 ± 0.16 至 −9.44 ± 0.09 kcal/mol。最优构象排序为 FLLHTTR（−9.60）、YLSLLQR（−9.49）、ALLLHRC（−9.29）。均值排序 YLSLLQR 居首（−9.44 ± 0.09），ALLLHRC 次之（−9.18 ± 0.11）。FLLHTTR 单次最强、SD 最大（−8.77 ± 1.41）。最优构象形成 3–10 个氢键（平均键长 2.83–3.28 Å；图3、图4）。</w:t>
      </w:r>
    </w:p>
    <w:p>
      <w:pPr>
        <w:sectPr>
          <w:pgSz w:w="11906" w:h="16838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Caption"/>
      </w:pPr>
      <w:r>
        <w:rPr>
          <w:b/>
        </w:rPr>
        <w:t>表6. 对人源AChE（PDB 4EY6）的三次 AutoDock Vina 打分。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26"/>
        <w:gridCol w:w="2326"/>
        <w:gridCol w:w="2326"/>
        <w:gridCol w:w="2326"/>
        <w:gridCol w:w="2326"/>
        <w:gridCol w:w="2326"/>
      </w:tblGrid>
      <w:tr>
        <w:trPr>
          <w:tblHeader/>
        </w:trPr>
        <w:tc>
          <w:tcPr>
            <w:tcW w:w="232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肽</w:t>
            </w:r>
          </w:p>
        </w:tc>
        <w:tc>
          <w:tcPr>
            <w:tcW w:w="232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氢键</w:t>
            </w:r>
          </w:p>
        </w:tc>
        <w:tc>
          <w:tcPr>
            <w:tcW w:w="232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</w:t>
            </w:r>
          </w:p>
        </w:tc>
        <w:tc>
          <w:tcPr>
            <w:tcW w:w="232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均值±SD（n=3）</w:t>
            </w:r>
          </w:p>
        </w:tc>
        <w:tc>
          <w:tcPr>
            <w:tcW w:w="232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PAS</w:t>
            </w:r>
          </w:p>
        </w:tc>
        <w:tc>
          <w:tcPr>
            <w:tcW w:w="2326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主要接触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−9.29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−9.18 ± 0.11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Ser203, Tyr124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−9.27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−8.96 ± 0.48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Thr75, Tyr341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−9.60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−8.77 ± 1.41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Asp74, Tyr72, His287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−8.88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−8.69 ± 0.20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Phe346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−8.35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−8.28 ± 0.07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Tyr124, Tyr337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−8.25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−8.07 ± 0.16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Thr75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−9.01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−8.89 ± 0.16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邻近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Ser203, Val340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−8.78 ± 0.11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Ser125, Ser293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−8.91 ± 0.05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Trp286, Tyr341, His447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−8.94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−8.64 ± 0.26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Asn283, Gln279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−9.03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−8.62 ± 0.43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Trp86, Ser203</w:t>
            </w:r>
          </w:p>
        </w:tc>
      </w:tr>
      <w:tr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−9.49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−9.44 ± 0.09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</w:t>
            </w:r>
          </w:p>
        </w:tc>
        <w:tc>
          <w:tcPr>
            <w:tcW w:w="2326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Tyr72, Thr75, Glu202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253339"/>
            <wp:effectExtent l="0" t="0" r="0" b="0"/>
            <wp:docPr id="2" name="Figure 2" descr="图2. 12条候选微肽的本地 AutoDock Vina 打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2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图2. 对人源AChE（PDB 4EY6）的三次 Vina 打分。</w:t>
      </w:r>
      <w:r>
        <w:t xml:space="preserve"> 蓝点为均值，误差棒为 SD，橙菱为最优单次。横轴按最优单次排序。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图3. ALLLHRC、FCLHLQLR、FLLHTTR、HLLTLKKHV、HLPLLHRCC 和 HVLLLRQCA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图3. 第1–6条肽的最优对接构象（A–F）。</w:t>
      </w:r>
      <w:r>
        <w:t xml:space="preserve"> 微肽橙色，接触残基青色。FLLHTTR（C）为最密 PAS 构象。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4" name="Figure 4" descr="图4. LLHLPKRTT、LLHPLRC、LLHPLRL、WLLVHLKK、YHHLLCRR 和 YLSLLQR 的最优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图4. 第7–12条肽的最优对接构象（G–L）。</w:t>
      </w:r>
      <w:r>
        <w:t xml:space="preserve"> LLHPLRL（I）从 PAS 的 Trp286/Tyr341 跨越至催化 His447。YLSLLQR（L）桥接 PAS 与峡部入口。</w:t>
      </w:r>
    </w:p>
    <w:p>
      <w:pPr>
        <w:pStyle w:val="BodyText"/>
      </w:pPr>
      <w:r>
        <w:t>最优构象中接触 PAS 的有 FLLHTTR（图3C）、YLSLLQR（图4L）、FCLHLQLR、HVLLLRQCA、HLLTLKKHV 和 LLHPLRL（图4I）。ALLLHRC 结合催化 Ser203，平均氢键最短（2.83 Å），而不是外侧 PAS 芳香核（图3A）。三次均值把跨运行仍强的配体（YLSLLQR、ALLLHRC、LLHPLRL）与最优构象强于运行平均的配体（FLLHTTR、FCLHLQLR、YHHLLCRR）分开。</w:t>
      </w:r>
    </w:p>
    <w:p>
      <w:pPr>
        <w:pStyle w:val="Heading3"/>
        <w:keepNext/>
      </w:pPr>
      <w:r>
        <w:t>apo AChE 与三种复合物的分子动力学</w:t>
      </w:r>
    </w:p>
    <w:p>
      <w:pPr>
        <w:pStyle w:val="BodyText"/>
      </w:pPr>
      <w:r>
        <w:t>apo AChE 以及 ALLLHRC、FLLHTTR、YLSLLQR 复合物完成生产相（表7，图5–7）。每幅六面板图比较 apo 与一条复合物：RMSD（A）、RMSF（B）、SASA（C）、Rg（D）、最后 20 ns DSSP（E）和分子间氢键（F）。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图5. apo AChE 与 AChE–ALLLHRC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图5. apo AChE 与 AChE–ALLLHRC。</w:t>
      </w:r>
      <w:r>
        <w:t xml:space="preserve"> A–F 与表7对应。复合物 RMSD（A）跟随 apo；氢键（F）由早期占有降至后 20 ns 约 2 个。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图6. apo AChE 与 AChE–FLLHTT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图6. apo AChE 与 AChE–FLLHTTR。</w:t>
      </w:r>
      <w:r>
        <w:t xml:space="preserve"> 约 50 ns 后复合物 RMSD（A）低于 apo。氢键计数（F）在 100 ns 全程维持约 6–10。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图7. apo AChE 与 AChE–YLSLLQR，100 n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mixed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图7. apo AChE 与 AChE–YLSLLQR。</w:t>
      </w:r>
      <w:r>
        <w:t xml:space="preserve"> 后期 RMSD（A）低于 apo。SASA（C）是唯一相对 apo 收缩的复合物。</w:t>
      </w:r>
    </w:p>
    <w:p>
      <w:pPr>
        <w:sectPr>
          <w:pgSz w:w="11906" w:h="16838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Caption"/>
      </w:pPr>
      <w:r>
        <w:rPr>
          <w:b/>
        </w:rPr>
        <w:t>表7. apo AChE 与三种复合物最后 20 ns 指标（均值±SD）。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791"/>
        <w:gridCol w:w="2791"/>
        <w:gridCol w:w="2791"/>
        <w:gridCol w:w="2791"/>
        <w:gridCol w:w="2791"/>
      </w:tblGrid>
      <w:tr>
        <w:trPr>
          <w:tblHeader/>
        </w:trPr>
        <w:tc>
          <w:tcPr>
            <w:tcW w:w="2791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指标</w:t>
            </w:r>
          </w:p>
        </w:tc>
        <w:tc>
          <w:tcPr>
            <w:tcW w:w="2791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2791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2791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2791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Cα RMSD (nm)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0.1897 ± 0.0090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0.1640 ± 0.0080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0.1625 ± 0.0078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微肽自拟合 RMSD (nm)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0.2518 ± 0.0136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0.1752 ± 0.0111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0.0911 ± 0.0098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RMSF 均值 (nm)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0.0835 ± 0.0659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0.0778 ± 0.0504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0.0771 ± 0.0498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212.25 ± 2.89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213.88 ± 2.36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209.71 ± 2.35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2.3045 ± 0.0056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0.0047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2.3028 ± 0.0051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分子间氢键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7.03 ± 1.28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2.93 ± 1.14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持续性接触对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α-螺旋 / β-折叠 (%)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33.44 / 17.35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17.52</w:t>
            </w:r>
          </w:p>
        </w:tc>
        <w:tc>
          <w:tcPr>
            <w:tcW w:w="2791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33.31 / 17.02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440" w:right="1440" w:bottom="1440" w:left="1440" w:header="600" w:footer="600" w:gutter="0"/>
          <w:cols w:space="720"/>
          <w:docGrid w:linePitch="480"/>
        </w:sectPr>
      </w:pPr>
    </w:p>
    <w:p>
      <w:pPr>
        <w:pStyle w:val="BodyText"/>
      </w:pPr>
      <w:r>
        <w:t>apo RMSD 平台约 0.19 nm（图5A–7A）。ALLLHRC 跟随对照（复合物 0.1916 nm）。FLLHTTR 与 YLSLLQR 在 50–70 ns 后低于 apo（0.1640 和 0.1625 nm），读作变刚性而非解折叠。微肽自拟合 RMSD 以 ALLLHRC 最高（0.2518 nm）、YLSLLQR 最低（0.0911 nm）。催化核心 RMSF 保持低值；FLLHTTR 与 YLSLLQR 的均值 RMSF 低于 apo。Rg 维持 2.30–2.31 nm。SASA 在 ALLLHRC 升至 217.47 nm²，FLLHTTR 接近 apo（213.88 nm²），仅 YLSLLQR 降至 209.71 nm²（图7C）。氢键历史不同：ALLLHRC 衰减至 2.19 ± 0.80；FLLHTTR 全程维持 7.03 ± 1.28（图6F）；YLSLLQR 均值 2.93 ± 1.14。螺旋（约 33%）与折叠（约 17%）与 apo 柱重叠。各复合物保留 7 对持续性接触。质心 RDF 峰位于 1.22 nm（ALLLHRC）、1.80 nm（FLLHTTR）和 1.62 nm（YLSLLQR），即表面驻留而非本体溶剂。</w:t>
      </w:r>
    </w:p>
    <w:p>
      <w:pPr>
        <w:pStyle w:val="Heading2"/>
        <w:keepNext/>
      </w:pPr>
      <w:r>
        <w:t>讨论</w:t>
      </w:r>
    </w:p>
    <w:p>
      <w:pPr>
        <w:pStyle w:val="Heading3"/>
        <w:keepNext/>
      </w:pPr>
      <w:r>
        <w:t>主要发现</w:t>
      </w:r>
    </w:p>
    <w:p>
      <w:pPr>
        <w:pStyle w:val="BodyText"/>
      </w:pPr>
      <w:r>
        <w:t>22 个 UniDL4BioPep 头按 ≥0.80 给健康标记库 11.27 百万条、牙周炎标记库 11.72 百万条口腔 smORF 打分。目录匹配、NTxPred2、mebipred 与 AnOxPePred 随后把牙周炎分支收到 12 条明示 7–9 aa 肽。12 条均对接到人源 AChE，最优 Vina 亲和力介于 −8.25 至 −9.60 kcal/mol（图2，表6）。FLLHTTR、YLSLLQR 与 LLHPLRL 接触 PAS。100 ns 内 apo AChE 以及 ALLLHRC、FLLHTTR、YLSLLQR 复合物保持球状；FLLHTTR 与 YLSLLQR 比 apo 更紧凑，FLLHTTR 分子间氢键网最密（表7，图5–7）。这些对象构成计算配体集合，落点是加速 Aβ 组装的同一 PAS</w:t>
      </w:r>
      <w:r>
        <w:t>[4,18]</w:t>
      </w:r>
      <w:r>
        <w:t>。它们并不证明转运、表达或疾病因果。</w:t>
      </w:r>
    </w:p>
    <w:p>
      <w:pPr>
        <w:pStyle w:val="Heading3"/>
        <w:keepNext/>
      </w:pPr>
      <w:r>
        <w:t>两库如何不同</w:t>
      </w:r>
    </w:p>
    <w:p>
      <w:pPr>
        <w:pStyle w:val="BodyText"/>
      </w:pPr>
      <w:r>
        <w:t>健康库与牙周炎库在多数 UniDL4BioPep 头上接近（表1–3）。BBB（BBP）率只差 0.12 个百分点（9.72% 对 9.60%），BBB 高分不是牙周炎印记。牙周炎高于健康 ≥1 个百分点的只有群体感应（+1.39）。健康更高的有抗真菌（−2.50）、抗寄生虫（−2.36）、抗氧化 FRS（−1.95）、抗病毒（−1.89）、抗细菌（−1.42）、CPP（−1.24）、抗癌主（−1.22）和鲜味（−1.00）。抗菌几乎持平（87.89% 对 87.69%）。这些是全库打分率。没有逐条交集表，不能证明 12 条对接序列在健康库中不存在，也不能把牙周炎标签转给单条肽。表5 的理化描述符刻画对接配体，不是疾病对照。</w:t>
      </w:r>
    </w:p>
    <w:p>
      <w:pPr>
        <w:pStyle w:val="BodyText"/>
      </w:pPr>
      <w:r>
        <w:t>UniDL4BioPep、NTxPred2、mebipred 与 AnOxPePred 的串联一致是过滤栈。ESM 嵌入、组成特征和任务训练集可以共享相关误差</w:t>
      </w:r>
      <w:r>
        <w:t>[23–26]</w:t>
      </w:r>
      <w:r>
        <w:t>。两库抗菌阳性近乎普遍，说明 ≥0.80 只用于排序，并不建立 BBB 转运、神经毒性、金属结合或氧化还原化学。微生物组抗菌肽挖掘所用的先预测再过滤顺序</w:t>
      </w:r>
      <w:r>
        <w:t>[31]</w:t>
      </w:r>
      <w:r>
        <w:t>在此保留为分诊。与 HOMD、eHOMD 及口腔宏蛋白质组的目录匹配支持该字符串曾经被观察到</w:t>
      </w:r>
      <w:r>
        <w:t>[21–22,32–34]</w:t>
      </w:r>
      <w:r>
        <w:t>，不能证明它在 PRJNA678453 样本中翻译</w:t>
      </w:r>
      <w:r>
        <w:t>[7,15–16]</w:t>
      </w:r>
      <w:r>
        <w:t>。</w:t>
      </w:r>
    </w:p>
    <w:p>
      <w:pPr>
        <w:pStyle w:val="Heading3"/>
        <w:keepNext/>
      </w:pPr>
      <w:r>
        <w:t>口腔肽经 PAS 通向 AD 的可能路径</w:t>
      </w:r>
    </w:p>
    <w:p>
      <w:pPr>
        <w:pStyle w:val="BodyText"/>
      </w:pPr>
      <w:r>
        <w:t>AD 把淀粉样沉积与胆碱能衰竭并置</w:t>
      </w:r>
      <w:r>
        <w:t>[2–3]</w:t>
      </w:r>
      <w:r>
        <w:t>。不依赖催化，AChE 经 PAS 加速 Aβ 成纤，AChE–Aβ 复合物毒性高于单独 Aβ</w:t>
      </w:r>
      <w:r>
        <w:t>[4]</w:t>
      </w:r>
      <w:r>
        <w:t>。一段疏水 PAS 基序即足以促进该伴侣活性</w:t>
      </w:r>
      <w:r>
        <w:t>[5]</w:t>
      </w:r>
      <w:r>
        <w:t>。PAS 导向配体在生化测定中抑制 AChE 诱导的聚集</w:t>
      </w:r>
      <w:r>
        <w:t>[19]</w:t>
      </w:r>
      <w:r>
        <w:t>。加速 MD 把 Aβ 放到 AChE 表面作为成核中心</w:t>
      </w:r>
      <w:r>
        <w:t>[17]</w:t>
      </w:r>
      <w:r>
        <w:t>。1 μs 轨迹使 Aβ 留在 PAS，主驻留区为残基 344–361</w:t>
      </w:r>
      <w:r>
        <w:t>[18]</w:t>
      </w:r>
      <w:r>
        <w:t xml:space="preserve">。牙周炎与 </w:t>
      </w:r>
      <w:r>
        <w:rPr>
          <w:i/>
        </w:rPr>
        <w:t>P. gingivalis</w:t>
      </w:r>
      <w:r>
        <w:t xml:space="preserve"> 提供暴露背景：AD 脑内曾检出该菌与牙龈蛋白酶，小鼠反复口腔感染产生神经炎症和 Aβ 相关改变</w:t>
      </w:r>
      <w:r>
        <w:t>[6,12–13]</w:t>
      </w:r>
      <w:r>
        <w:t>。对接与 100 ns 轨迹表明牙周炎来源微肽可以占据同一 PAS。四步勾勒可能机制。</w:t>
      </w:r>
    </w:p>
    <w:p>
      <w:pPr>
        <w:pStyle w:val="Reference"/>
        <w:ind w:left="360" w:hanging="360"/>
      </w:pPr>
      <w:r>
        <w:rPr>
          <w:sz w:val="24"/>
          <w:szCs w:val="24"/>
        </w:rPr>
        <w:t>1. PAS 识别与峡部入口占据。</w:t>
      </w:r>
    </w:p>
    <w:p>
      <w:pPr>
        <w:pStyle w:val="BodyText"/>
      </w:pPr>
      <w:r>
        <w:t xml:space="preserve">   12 条肽的最优构象集中在人源 AChE 的 PAS 和峡部入口（PDB 4EY6；图2–4）。FLLHTTR 锚定经典 PAS 残基 Asp74、Tyr72、His287（最优 −9.60 kcal/mol；图3C）。YLSLLQR 接触 PAS（Tyr72、Thr75）与催化入口（三次均值 −9.44 ± 0.09 kcal/mol；图4L）。LLHPLRL 从 PAS 门控残基 Trp286/Tyr341 跨越至催化 His447（图4I）。HLLTLKKHV 到达 Tyr72 以及 Aβ 驻留区 344–361 中的 Phe346。该几何即 Inestrosa 认定的促纤位点，也是 Atanasova 用 Aβ 占据的 PAS。连接三联体与 PAS 的芳香峡部早先在电鳗 AChE 上被定位</w:t>
      </w:r>
      <w:r>
        <w:t>[20,36]</w:t>
      </w:r>
      <w:r>
        <w:t>。Vina 在固定网格内排序构象，分数不是实验自由能</w:t>
      </w:r>
      <w:r>
        <w:t>[27–28]</w:t>
      </w:r>
      <w:r>
        <w:t>。</w:t>
      </w:r>
    </w:p>
    <w:p>
      <w:pPr>
        <w:pStyle w:val="Reference"/>
        <w:ind w:left="360" w:hanging="360"/>
      </w:pPr>
      <w:r>
        <w:rPr>
          <w:sz w:val="24"/>
          <w:szCs w:val="24"/>
        </w:rPr>
        <w:t>2. 表面结合的酶–肽复合物。</w:t>
      </w:r>
    </w:p>
    <w:p>
      <w:pPr>
        <w:pStyle w:val="BodyText"/>
      </w:pPr>
      <w:r>
        <w:t xml:space="preserve">   100 ns 内酶保持球状（RMSD 0.16–0.19 nm，Rg 2.30–2.31 nm，螺旋约 33%/折叠约 17%；图5–7）。FLLHTTR 与 YLSLLQR 复合物后期 RMSD 低于 apo（0.1640 和 0.1625 nm，相对 0.1897 nm），肽停在表面并使折叠变硬。分子间氢键持续：FLLHTTR 全程维持密极性网（7.03 ± 1.28；图6F），YLSLLQR 均值 2.93 ± 1.14，ALLLHRC 在早期重排后仍保留 7 对接触。微肽自拟合 RMSD 以 YLSLLQR 最低（0.0911 nm）、ALLLHRC 最高（0.2518 nm）。质心 RDF 峰位于 1.22–1.80 nm，符合表面驻留而非本体溶剂。Lushchekina 与 Atanasova 描述过表面结合、不解离的 AChE–Aβ 复合物；口腔微肽在此出现同一占据模式，窗口为 100 ns 而非 1 μs。</w:t>
      </w:r>
    </w:p>
    <w:p>
      <w:pPr>
        <w:pStyle w:val="Reference"/>
        <w:ind w:left="360" w:hanging="360"/>
      </w:pPr>
      <w:r>
        <w:rPr>
          <w:sz w:val="24"/>
          <w:szCs w:val="24"/>
        </w:rPr>
        <w:t>3. 乙酰胆碱进入受限。</w:t>
      </w:r>
    </w:p>
    <w:p>
      <w:pPr>
        <w:pStyle w:val="BodyText"/>
      </w:pPr>
      <w:r>
        <w:t xml:space="preserve">   PAS 位于通向催化三联体的 20 Å 峡部入口</w:t>
      </w:r>
      <w:r>
        <w:t>[3,20]</w:t>
      </w:r>
      <w:r>
        <w:t>。占据 Asp74/Tyr72/Trp286/Tyr341 可在催化核心仍折叠时妨碍底物进入（图5–7 的 B 面板 RMSF 低）。对接到 PAS 的构象因此切入 AD 的胆碱能轴：基底前脑丢失之后，突触处乙酰胆碱本已减少，入口再被占据。</w:t>
      </w:r>
    </w:p>
    <w:p>
      <w:pPr>
        <w:pStyle w:val="Reference"/>
        <w:ind w:left="360" w:hanging="360"/>
      </w:pPr>
      <w:r>
        <w:rPr>
          <w:sz w:val="24"/>
          <w:szCs w:val="24"/>
        </w:rPr>
        <w:t>4. 病理性伴侣活性。</w:t>
      </w:r>
    </w:p>
    <w:p>
      <w:pPr>
        <w:pStyle w:val="BodyText"/>
      </w:pPr>
      <w:r>
        <w:t xml:space="preserve">   PAS 是已记录的促纤位点</w:t>
      </w:r>
      <w:r>
        <w:t>[4–5]</w:t>
      </w:r>
      <w:r>
        <w:t>，停在那里的异源肽可降低内源 Aβ 的成核壁垒。FLLHTTR 在 PAS 上提供持续极性网（图6F），与对接构象一致（图3C）。YLSLLQR 埋藏表面（SASA 209.71 对 212.25 nm²；图7C），结合肽最刚。折叠的 AChE 于是出示覆肽 PAS，Aβ 寡聚体可在其上共组装，这是把 Lushchekina 的成核中心图景用到口腔配体。AChE–Aβ 组装本已比游离 Aβ 更突触毒性</w:t>
      </w:r>
      <w:r>
        <w:t>[4]</w:t>
      </w:r>
      <w:r>
        <w:t>。细菌微肽占据同一位点，提供形成杂合晶核的可能路径。</w:t>
      </w:r>
    </w:p>
    <w:p>
      <w:pPr>
        <w:pStyle w:val="Heading3"/>
        <w:keepNext/>
      </w:pPr>
      <w:r>
        <w:t>从口腔到皮层 AChE</w:t>
      </w:r>
    </w:p>
    <w:p>
      <w:pPr>
        <w:pStyle w:val="BodyText"/>
      </w:pPr>
      <w:r>
        <w:t xml:space="preserve">慢性牙周炎可通过破损上皮、牙龈蛋白酶和外膜囊泡把 </w:t>
      </w:r>
      <w:r>
        <w:rPr>
          <w:i/>
        </w:rPr>
        <w:t>P. gingivalis</w:t>
      </w:r>
      <w:r>
        <w:t xml:space="preserve"> 产物送入血液</w:t>
      </w:r>
      <w:r>
        <w:t>[8–9]</w:t>
      </w:r>
      <w:r>
        <w:t>。全身细胞因子与蛋白酶增加 BBB 渗漏</w:t>
      </w:r>
      <w:r>
        <w:t>[6]</w:t>
      </w:r>
      <w:r>
        <w:t>。短、富亮氨酸、带正电且 BBB 高分——该标签在健康库中几乎同样常见——的肽原则上可以到达间质液</w:t>
      </w:r>
      <w:r>
        <w:t>[12,35]</w:t>
      </w:r>
      <w:r>
        <w:t>。PAS 对接随后在既是胆碱水解酶、又是淀粉样伴侣的酶上给出落点。综合分析把牙周病与认知障碍联系起来，效应随病例定义而变动</w:t>
      </w:r>
      <w:r>
        <w:t>[10]</w:t>
      </w:r>
      <w:r>
        <w:t>；AD 队列中牙周炎与后续下降相关</w:t>
      </w:r>
      <w:r>
        <w:t>[11]</w:t>
      </w:r>
      <w:r>
        <w:t>。两样本孟德尔随机化并未支持牙周病对 AD 的遗传因果效应</w:t>
      </w:r>
      <w:r>
        <w:t>[14]</w:t>
      </w:r>
      <w:r>
        <w:t>。把这 12 条当作致病候选，是因为它们占据实验已定位的 Aβ 结合 PAS 并在 100 ns 内保持结合。复合物 RMSD 处于或低于 apo，是折叠酶的局部适应，既不能说明肽无害，也不能证明它在组织中成核淀粉样。</w:t>
      </w:r>
    </w:p>
    <w:p>
      <w:pPr>
        <w:pStyle w:val="BodyText"/>
      </w:pPr>
      <w:r>
        <w:t>计算因而把通常分开的三块文献连起来：口腔 smORF 肽空间</w:t>
      </w:r>
      <w:r>
        <w:t>[15,31]</w:t>
      </w:r>
      <w:r>
        <w:t>、AChE 的 PAS 伴侣活性</w:t>
      </w:r>
      <w:r>
        <w:t>[4,18]</w:t>
      </w:r>
      <w:r>
        <w:t>，以及牙周炎–AD 暴露背景</w:t>
      </w:r>
      <w:r>
        <w:t>[12–13]</w:t>
      </w:r>
      <w:r>
        <w:t>。它支持的是有边界的结构假说，不能替代实测表达、转运、亲和力或 Aβ 聚集实验。</w:t>
      </w:r>
    </w:p>
    <w:p>
      <w:pPr>
        <w:pStyle w:val="Heading2"/>
        <w:keepNext/>
      </w:pPr>
      <w:r>
        <w:t>结论</w:t>
      </w:r>
    </w:p>
    <w:p>
      <w:pPr>
        <w:pStyle w:val="BodyText"/>
      </w:pPr>
      <w:r>
        <w:t>牙周炎标记口腔 smORF 库中的 12 条 7–9 aa 肽对接到人源 AChE。FLLHTTR、YLSLLQR 与 ALLLHRC 在 100 ns 内停在表面且不使酶解折叠。FLLHTTR 形成最密 PAS 氢键网；YLSLLQR 是唯一收缩溶剂可及面积的复合物。健康库与牙周炎库的 BBB 高分率相差很小；群体感应是唯一牙周炎高出 ≥1 个百分点的头。对照淀粉样级联</w:t>
      </w:r>
      <w:r>
        <w:t>[2]</w:t>
      </w:r>
      <w:r>
        <w:t>、胆碱能假说</w:t>
      </w:r>
      <w:r>
        <w:t>[3]</w:t>
      </w:r>
      <w:r>
        <w:t>以及 Inestrosa、Lushchekina 与 Atanasova 的 PAS 伴侣工作，这些计算支持一种可能机制：口腔致病肽占据 AChE，妨碍乙酰胆碱进入，并在同一 PAS 上与 Aβ 共成核。</w:t>
      </w:r>
    </w:p>
    <w:p>
      <w:pPr>
        <w:pStyle w:val="Heading2"/>
        <w:keepNext/>
      </w:pPr>
      <w:r>
        <w:t>参考文献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Scheltens P, De Strooper B, Kivipelto M, et al. Alzheimer’s disease. </w:t>
      </w:r>
      <w:r>
        <w:rPr>
          <w:i/>
          <w:sz w:val="24"/>
          <w:szCs w:val="24"/>
        </w:rPr>
        <w:t>Lancet</w:t>
      </w:r>
      <w:r>
        <w:rPr>
          <w:sz w:val="24"/>
          <w:szCs w:val="24"/>
        </w:rPr>
        <w:t>. 2021;397(10284):1577–1590. doi:10.1016/S0140-6736(20)32205-4.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Selkoe DJ, Hardy J. The amyloid hypothesis of Alzheimer’s disease at 25 years. </w:t>
      </w:r>
      <w:r>
        <w:rPr>
          <w:i/>
          <w:sz w:val="24"/>
          <w:szCs w:val="24"/>
        </w:rPr>
        <w:t>EMBO Mol Med</w:t>
      </w:r>
      <w:r>
        <w:rPr>
          <w:sz w:val="24"/>
          <w:szCs w:val="24"/>
        </w:rPr>
        <w:t>. 2016;8(6):595–608. doi:10.15252/emmm.201606210.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Hampel H, Mesulam MM, Cuello AC, et al. The cholinergic system in the pathophysiology and treatment of Alzheimer’s disease. </w:t>
      </w:r>
      <w:r>
        <w:rPr>
          <w:i/>
          <w:sz w:val="24"/>
          <w:szCs w:val="24"/>
        </w:rPr>
        <w:t>Brain</w:t>
      </w:r>
      <w:r>
        <w:rPr>
          <w:sz w:val="24"/>
          <w:szCs w:val="24"/>
        </w:rPr>
        <w:t>. 2018;141(7):1917–1933. doi:10.1093/brain/awy132.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Inestrosa NC, Alvarez A, Pérez CA, et al. Acetylcholinesterase accelerates assembly of amyloid-β-peptides into Alzheimer’s fibrils.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. 1996;16(4):881–891. doi:10.1016/s0896-6273(00)80108-7.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5. De Ferrari GV, Canales MA, Shin I, et al. A structural motif of acetylcholinesterase that promotes amyloid β-peptide fibril formation. </w:t>
      </w:r>
      <w:r>
        <w:rPr>
          <w:i/>
          <w:sz w:val="24"/>
          <w:szCs w:val="24"/>
        </w:rPr>
        <w:t>Biochemistry</w:t>
      </w:r>
      <w:r>
        <w:rPr>
          <w:sz w:val="24"/>
          <w:szCs w:val="24"/>
        </w:rPr>
        <w:t>. 2001;40(35):10447–10457. doi:10.1021/bi0101392.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6. Chalmers JC, Hernandez-Kapila YL. The role of the oral microbiome, host response, and periodontal disease treatment in Alzheimer’s disease: a primer.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2025;98(1):220–227. doi:10.1111/prd.12631.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7. Belstrøm D, Constancias F, Drautz-Moses DI, et al. Periodontitis associates with species-specific gene expression of the oral microbiota.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2021;7:76. doi:10.1038/s41522-021-00247-y.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8. Guo Y, Nguyen KA, Potempa J. Dichotomy of gingipains action as virulence factors. </w:t>
      </w:r>
      <w:r>
        <w:rPr>
          <w:i/>
          <w:sz w:val="24"/>
          <w:szCs w:val="24"/>
        </w:rPr>
        <w:t>Periodontol 2000</w:t>
      </w:r>
      <w:r>
        <w:rPr>
          <w:sz w:val="24"/>
          <w:szCs w:val="24"/>
        </w:rPr>
        <w:t>. 2010;54(1):15–44. doi:10.1111/j.1600-0757.2010.00377.x.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9. Ho MH, Chen CH, Goodwin JS, et al. Functional advantages of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vesicles.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2015;10(4):e0123448. doi:10.1371/journal.pone.0123448.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10. Larvin H, Gao C, Kang J, et al. The impact of study factors in the association of periodontal disease and cognitive disorders. </w:t>
      </w:r>
      <w:r>
        <w:rPr>
          <w:i/>
          <w:sz w:val="24"/>
          <w:szCs w:val="24"/>
        </w:rPr>
        <w:t>Age Ageing</w:t>
      </w:r>
      <w:r>
        <w:rPr>
          <w:sz w:val="24"/>
          <w:szCs w:val="24"/>
        </w:rPr>
        <w:t>. 2023;52(2):afad015. doi:10.1093/ageing/afad015.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11. Ide M, Harris M, Stevens A, et al. Periodontitis and cognitive decline in Alzheimer’s disease.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2016;11(3):e0151081. doi:10.1371/journal.pone.0151081.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12. Dominy SS, Lynch C, Ermini F, et al.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 Alzheimer’s disease brains. </w:t>
      </w:r>
      <w:r>
        <w:rPr>
          <w:i/>
          <w:sz w:val="24"/>
          <w:szCs w:val="24"/>
        </w:rPr>
        <w:t>Sci Adv</w:t>
      </w:r>
      <w:r>
        <w:rPr>
          <w:sz w:val="24"/>
          <w:szCs w:val="24"/>
        </w:rPr>
        <w:t>. 2019;5(1):eaau3333. doi:10.1126/sciadv.aau3333.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13. Ilievski V, Zuchowska PK, Green SJ, et al. Chronic oral application of a periodontal pathogen results in brain inflammation, neurodegeneration and amyloid beta production in wild type mice. </w:t>
      </w:r>
      <w:r>
        <w:rPr>
          <w:i/>
          <w:sz w:val="24"/>
          <w:szCs w:val="24"/>
        </w:rPr>
        <w:t>PLoS One</w:t>
      </w:r>
      <w:r>
        <w:rPr>
          <w:sz w:val="24"/>
          <w:szCs w:val="24"/>
        </w:rPr>
        <w:t>. 2018;13(10):e0204941. doi:10.1371/journal.pone.0204941.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14. Hu C, Li H, Huang L, et al. Periodontal disease and risk of Alzheimer’s disease: a two-sample Mendelian randomization. </w:t>
      </w:r>
      <w:r>
        <w:rPr>
          <w:i/>
          <w:sz w:val="24"/>
          <w:szCs w:val="24"/>
        </w:rPr>
        <w:t>Brain Behav</w:t>
      </w:r>
      <w:r>
        <w:rPr>
          <w:sz w:val="24"/>
          <w:szCs w:val="24"/>
        </w:rPr>
        <w:t>. 2024;14(4):e3486. doi:10.1002/brb3.3486.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15. Sberro H, Fremin BJ, Zlitni S, et al. Large-scale analyses of human microbiomes reveal thousands of small, novel genes.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2019;178(5):1245–1259.e14. doi:10.1016/j.cell.2019.07.016.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16. Durrant MG, Bhatt AS. Automated prediction and annotation of small open reading frames in microbial genomes. </w:t>
      </w:r>
      <w:r>
        <w:rPr>
          <w:i/>
          <w:sz w:val="24"/>
          <w:szCs w:val="24"/>
        </w:rPr>
        <w:t>Cell Host Microbe</w:t>
      </w:r>
      <w:r>
        <w:rPr>
          <w:sz w:val="24"/>
          <w:szCs w:val="24"/>
        </w:rPr>
        <w:t>. 2021;29(1):121–131.e4. doi:10.1016/j.chom.2020.11.002.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17. Lushchekina SV, Kots ED, Novichkova DA, Petrov KA, Masson P. Role of acetylcholinesterase in β-amyloid aggregation studied by accelerated molecular dynamics. </w:t>
      </w:r>
      <w:r>
        <w:rPr>
          <w:i/>
          <w:sz w:val="24"/>
          <w:szCs w:val="24"/>
        </w:rPr>
        <w:t>BioNanoScience</w:t>
      </w:r>
      <w:r>
        <w:rPr>
          <w:sz w:val="24"/>
          <w:szCs w:val="24"/>
        </w:rPr>
        <w:t>. 2017;7(2):396–402. doi:10.1007/s12668-016-0375-x.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18. Atanasova M, Dimitrov I, Ivanov S. Molecular dynamics simulations of acetylcholinesterase–beta-amyloid peptide complex. </w:t>
      </w:r>
      <w:r>
        <w:rPr>
          <w:i/>
          <w:sz w:val="24"/>
          <w:szCs w:val="24"/>
        </w:rPr>
        <w:t>Cybern Inf Technol</w:t>
      </w:r>
      <w:r>
        <w:rPr>
          <w:sz w:val="24"/>
          <w:szCs w:val="24"/>
        </w:rPr>
        <w:t>. 2020;20(6):140–154. doi:10.2478/cait-2020-0068.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19. Bartolini M, Bertucci C, Cavrini V, Andrisano V. β-Amyloid aggregation induced by human acetylcholinesterase: inhibition studies. </w:t>
      </w:r>
      <w:r>
        <w:rPr>
          <w:i/>
          <w:sz w:val="24"/>
          <w:szCs w:val="24"/>
        </w:rPr>
        <w:t>Biochem Pharmacol</w:t>
      </w:r>
      <w:r>
        <w:rPr>
          <w:sz w:val="24"/>
          <w:szCs w:val="24"/>
        </w:rPr>
        <w:t>. 2003;65(3):407–416. doi:10.1016/s0006-2952(02)01514-9.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20. Cheung J, Rudolph MJ, Burshteyn F, et al. Structures of human acetylcholinesterase in complex with pharmacologically important ligands. </w:t>
      </w:r>
      <w:r>
        <w:rPr>
          <w:i/>
          <w:sz w:val="24"/>
          <w:szCs w:val="24"/>
        </w:rPr>
        <w:t>J Med Chem</w:t>
      </w:r>
      <w:r>
        <w:rPr>
          <w:sz w:val="24"/>
          <w:szCs w:val="24"/>
        </w:rPr>
        <w:t>. 2012;55(23):10282–10286. doi:10.1021/jm300871x.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21. Chen T, Yu WH, Izard J, et al. The Human Oral Microbiome Database: a web accessible resource for investigating oral microbe taxonomic and genomic information. </w:t>
      </w:r>
      <w:r>
        <w:rPr>
          <w:i/>
          <w:sz w:val="24"/>
          <w:szCs w:val="24"/>
        </w:rPr>
        <w:t>Database (Oxford)</w:t>
      </w:r>
      <w:r>
        <w:rPr>
          <w:sz w:val="24"/>
          <w:szCs w:val="24"/>
        </w:rPr>
        <w:t>. 2010;2010:baq013. doi:10.1093/database/baq013.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22. Belstrøm D, Jersie-Christensen RR, Lyon D, et al. Metaproteomics of saliva identifies human protein markers specific for individuals with periodontitis and dental caries compared to orally healthy controls. </w:t>
      </w:r>
      <w:r>
        <w:rPr>
          <w:i/>
          <w:sz w:val="24"/>
          <w:szCs w:val="24"/>
        </w:rPr>
        <w:t>PeerJ</w:t>
      </w:r>
      <w:r>
        <w:rPr>
          <w:sz w:val="24"/>
          <w:szCs w:val="24"/>
        </w:rPr>
        <w:t>. 2016;4:e2433. doi:10.7717/peerj.2433.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23. Du Z, Ding X, Xu Y, Li Y. UniDL4BioPep: a universal deep learning architecture for binary classification in peptide bioactivity. </w:t>
      </w:r>
      <w:r>
        <w:rPr>
          <w:i/>
          <w:sz w:val="24"/>
          <w:szCs w:val="24"/>
        </w:rPr>
        <w:t>Brief Bioinform</w:t>
      </w:r>
      <w:r>
        <w:rPr>
          <w:sz w:val="24"/>
          <w:szCs w:val="24"/>
        </w:rPr>
        <w:t>. 2023;24(3):bbad135. doi:10.1093/bib/bbad135.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24. Rathore AS, Jain S, Choudhury S, Raghava GPS. A large language model for predicting neurotoxic peptides and neurotoxins. </w:t>
      </w:r>
      <w:r>
        <w:rPr>
          <w:i/>
          <w:sz w:val="24"/>
          <w:szCs w:val="24"/>
        </w:rPr>
        <w:t>Protein Sci</w:t>
      </w:r>
      <w:r>
        <w:rPr>
          <w:sz w:val="24"/>
          <w:szCs w:val="24"/>
        </w:rPr>
        <w:t>. 2025;34(8):e70200. doi:10.1002/pro.70200.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25. Aptekmann AA, Buongiorno J, Giovannelli D, et al. mebipred: identifying metal-binding potential in protein sequence. </w:t>
      </w:r>
      <w:r>
        <w:rPr>
          <w:i/>
          <w:sz w:val="24"/>
          <w:szCs w:val="24"/>
        </w:rPr>
        <w:t>Bioinformatics</w:t>
      </w:r>
      <w:r>
        <w:rPr>
          <w:sz w:val="24"/>
          <w:szCs w:val="24"/>
        </w:rPr>
        <w:t>. 2022;38(14):3532–3540. doi:10.1093/bioinformatics/btac358.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26. Olsen TH, Yesiltas B, Marin FI, et al. AnOxPePred: using deep learning for the prediction of antioxidative properties of peptides. </w:t>
      </w:r>
      <w:r>
        <w:rPr>
          <w:i/>
          <w:sz w:val="24"/>
          <w:szCs w:val="24"/>
        </w:rPr>
        <w:t>Sci Rep</w:t>
      </w:r>
      <w:r>
        <w:rPr>
          <w:sz w:val="24"/>
          <w:szCs w:val="24"/>
        </w:rPr>
        <w:t>. 2020;10:21471. doi:10.1038/s41598-020-78319-w.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27. Trott O, Olson AJ. AutoDock Vina: improving the speed and accuracy of docking with a new scoring function. </w:t>
      </w:r>
      <w:r>
        <w:rPr>
          <w:i/>
          <w:sz w:val="24"/>
          <w:szCs w:val="24"/>
        </w:rPr>
        <w:t>J Comput Chem</w:t>
      </w:r>
      <w:r>
        <w:rPr>
          <w:sz w:val="24"/>
          <w:szCs w:val="24"/>
        </w:rPr>
        <w:t>. 2010;31(2):455–461. doi:10.1002/jcc.21334.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28. Eberhardt J, Santos-Martins D, Tillack AF, Forli S. AutoDock Vina 1.2.0: new docking methods, expanded force field, and Python bindings. </w:t>
      </w:r>
      <w:r>
        <w:rPr>
          <w:i/>
          <w:sz w:val="24"/>
          <w:szCs w:val="24"/>
        </w:rPr>
        <w:t>J Chem Inf Model</w:t>
      </w:r>
      <w:r>
        <w:rPr>
          <w:sz w:val="24"/>
          <w:szCs w:val="24"/>
        </w:rPr>
        <w:t>. 2021;61(8):3891–3898. doi:10.1021/acs.jcim.1c00203.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29. Abraham MJ, Murtola T, Schulz R, et al. GROMACS: high performance molecular simulations through multi-level parallelism from laptops to supercomputers. </w:t>
      </w:r>
      <w:r>
        <w:rPr>
          <w:i/>
          <w:sz w:val="24"/>
          <w:szCs w:val="24"/>
        </w:rPr>
        <w:t>SoftwareX</w:t>
      </w:r>
      <w:r>
        <w:rPr>
          <w:sz w:val="24"/>
          <w:szCs w:val="24"/>
        </w:rPr>
        <w:t>. 2015;1–2:19–25. doi:10.1016/j.softx.2015.06.001.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30. Lindorff-Larsen K, Piana S, Palmo K, et al. Improved side-chain torsion potentials for the Amber ff99SB protein force field. </w:t>
      </w:r>
      <w:r>
        <w:rPr>
          <w:i/>
          <w:sz w:val="24"/>
          <w:szCs w:val="24"/>
        </w:rPr>
        <w:t>Proteins</w:t>
      </w:r>
      <w:r>
        <w:rPr>
          <w:sz w:val="24"/>
          <w:szCs w:val="24"/>
        </w:rPr>
        <w:t>. 2010;78(8):1950–1958. doi:10.1002/prot.22711.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31. Torres MDT, Brooks EF, Cesaro A, et al. Mining human microbiomes reveals an untapped source of peptide antibiotics. </w:t>
      </w:r>
      <w:r>
        <w:rPr>
          <w:i/>
          <w:sz w:val="24"/>
          <w:szCs w:val="24"/>
        </w:rPr>
        <w:t>Cell</w:t>
      </w:r>
      <w:r>
        <w:rPr>
          <w:sz w:val="24"/>
          <w:szCs w:val="24"/>
        </w:rPr>
        <w:t>. 2024;187(19):5453–5467.e15. doi:10.1016/j.cell.2024.07.027.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32. Escapa IF, Chen T, Huang Y, et al. New insights into human nostril microbiome from the expanded Human Oral Microbiome Database (eHOMD). </w:t>
      </w:r>
      <w:r>
        <w:rPr>
          <w:i/>
          <w:sz w:val="24"/>
          <w:szCs w:val="24"/>
        </w:rPr>
        <w:t>mSystems</w:t>
      </w:r>
      <w:r>
        <w:rPr>
          <w:sz w:val="24"/>
          <w:szCs w:val="24"/>
        </w:rPr>
        <w:t>. 2018;3(3):e00187-18. doi:10.1128/mSystems.00187-18.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33. Jiang X, Zhang Y, Wang H, et al. In-depth metaproteomics analysis of oral microbiome for lung cancer. </w:t>
      </w:r>
      <w:r>
        <w:rPr>
          <w:i/>
          <w:sz w:val="24"/>
          <w:szCs w:val="24"/>
        </w:rPr>
        <w:t>Research (Wash D C)</w:t>
      </w:r>
      <w:r>
        <w:rPr>
          <w:sz w:val="24"/>
          <w:szCs w:val="24"/>
        </w:rPr>
        <w:t>. 2022;2022:9781578. doi:10.34133/2022/9781578.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34. Yuan J, Cao Q, Chen M, et al. OSaMPle workflow for salivary metaproteomics analysis reveals dysbiosis in inflammatory bowel disease patients. </w:t>
      </w:r>
      <w:r>
        <w:rPr>
          <w:i/>
          <w:sz w:val="24"/>
          <w:szCs w:val="24"/>
        </w:rPr>
        <w:t>npj Biofilms Microbiomes</w:t>
      </w:r>
      <w:r>
        <w:rPr>
          <w:sz w:val="24"/>
          <w:szCs w:val="24"/>
        </w:rPr>
        <w:t>. 2025;11:63. doi:10.1038/s41522-025-00692-z.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35. Gu Y, Chen P, Wang B, et al. Prediction of blood-brain barrier penetrating peptides based on data augmentation with Augur. </w:t>
      </w:r>
      <w:r>
        <w:rPr>
          <w:i/>
          <w:sz w:val="24"/>
          <w:szCs w:val="24"/>
        </w:rPr>
        <w:t>BMC Biol</w:t>
      </w:r>
      <w:r>
        <w:rPr>
          <w:sz w:val="24"/>
          <w:szCs w:val="24"/>
        </w:rPr>
        <w:t>. 2024;22:86. doi:10.1186/s12915-024-01883-4.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36. Kryger G, Silman I, Sussman JL. Structure of acetylcholinesterase complexed with E2020 (Aricept): implications for drug design. </w:t>
      </w:r>
      <w:r>
        <w:rPr>
          <w:i/>
          <w:sz w:val="24"/>
          <w:szCs w:val="24"/>
        </w:rPr>
        <w:t>Structure</w:t>
      </w:r>
      <w:r>
        <w:rPr>
          <w:sz w:val="24"/>
          <w:szCs w:val="24"/>
        </w:rPr>
        <w:t>. 1999;7(3):297–307. doi:10.1016/s0969-2126(99)80040-9.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manuscript</dc:title>
  <dcterms:created xsi:type="dcterms:W3CDTF">2026-10-09T01:25:38Z</dcterms:created>
  <dcterms:modified xsi:type="dcterms:W3CDTF">2026-10-09T01:25:38Z</dcterms:modified>
</cp:coreProperties>
</file>