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 oral smORFs yield micropeptides that occupy the AChE peripheral site: 22-task UniDL4BioPep scoring, docking, and 100-ns dynamics</w:t>
      </w:r>
    </w:p>
    <w:p>
      <w:pPr>
        <w:pStyle w:val="Heading2"/>
        <w:keepNext/>
      </w:pPr>
      <w:r>
        <w:t>Abstract</w:t>
      </w:r>
    </w:p>
    <w:p>
      <w:pPr>
        <w:pStyle w:val="Normal"/>
      </w:pPr>
      <w:r>
        <w:t>Periodontitis has been tied to Alzheimer’s disease (AD) in clinical and experimental work, yet a peptide-level ligand that could act on a synaptic enzyme is still missing. Here we scored already-processed oral small open reading frames (smORFs) with UniDL4BioPep, docked twelve 7–9-residue peptides into human acetylcholinesterase (AChE, PDB 4EY6), and ran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Blood–brain-barrier (BBB) hits numbered 1,095,861 (9.72%) in the healthy library and 1,125,832 (9.60%) in the periodontitis library. Intersection of the periodontitis BBB set with 33,786 unique, catalogue-supported peptides left 3,518 sequences; NTxPred2, mebipred and AnOxPePred reduced that list to twelve explicit peptides. All twelve carry a net positive charge at pH 7.4.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w:t>
      </w:r>
      <w:r>
        <w:rPr>
          <w:i/>
        </w:rPr>
        <w:t>Porphyromonas gingivalis</w:t>
      </w:r>
      <w:r>
        <w:t>; periodontitis; smORF; micropeptide; acetylcholinesterase; peripheral anionic site; UniDL4BioPep;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[19]</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[6]</w:t>
      </w:r>
      <w:r>
        <w:t xml:space="preserve">. Oral activity is species- and site-specific, so 16S abundance cannot stand in for a molecular ligand </w:t>
      </w:r>
      <w:r>
        <w:t>[7]</w:t>
      </w:r>
      <w:r>
        <w:t xml:space="preserve">. Meta-analyses report associations between periodontal disease and cognitive disorders, although effect sizes move with case definitions </w:t>
      </w:r>
      <w:r>
        <w:t>[10]</w:t>
      </w:r>
      <w:r>
        <w:t xml:space="preserve">. In an AD cohort, periodontitis tracked later decline </w:t>
      </w:r>
      <w:r>
        <w:t>[11]</w:t>
      </w:r>
      <w:r>
        <w:t xml:space="preserve">. A two-sample Mendelian randomization analysis did not support a genetic causal effect of periodontal disease on AD </w:t>
      </w:r>
      <w:r>
        <w:t>[14]</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[8–9]</w:t>
      </w:r>
      <w:r>
        <w:t xml:space="preserve">. The organism and gingipains have been reported in AD brains </w:t>
      </w:r>
      <w:r>
        <w:t>[12]</w:t>
      </w:r>
      <w:r>
        <w:t xml:space="preserve">, and repeated oral infection in mice produces neuroinflammation and Aβ-related changes </w:t>
      </w:r>
      <w:r>
        <w:t>[13]</w:t>
      </w:r>
      <w:r>
        <w:t>. Those observations justify looking at oral products. They do not, by themselves, name a peptide that occupies AChE.</w:t>
      </w:r>
    </w:p>
    <w:p>
      <w:pPr>
        <w:pStyle w:val="BodyText"/>
      </w:pPr>
      <w:r>
        <w:t xml:space="preserve">Microbiome smORFs encode a large pool of uncharted small proteins </w:t>
      </w:r>
      <w:r>
        <w:t>[15–16]</w:t>
      </w:r>
      <w:r>
        <w:t xml:space="preserve">. Mining of human microbiomes for peptide antibiotics first scored millions of translated open reading frames and then applied experimental filters </w:t>
      </w:r>
      <w:r>
        <w:t>[31]</w:t>
      </w:r>
      <w:r>
        <w:t xml:space="preserve">. UniDL4BioPep supplies more than twenty binary bioactivity heads on ESM-2 embeddings </w:t>
      </w:r>
      <w:r>
        <w:t>[23]</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[17]</w:t>
      </w:r>
      <w:r>
        <w:t xml:space="preserve">. A 1-μs PAS-centred AChE–Aβ trajectory remains bound, with the main residence at residues 344–361 </w:t>
      </w:r>
      <w:r>
        <w:t>[18]</w:t>
      </w:r>
      <w:r>
        <w:t xml:space="preserve">. PDB 4EY6 gives a 2.40 Å human AChE frame for docking </w:t>
      </w:r>
      <w:r>
        <w:t>[20]</w:t>
      </w:r>
      <w:r>
        <w:t xml:space="preserve">. The aromatic gorge that joins the catalytic triad to the PAS was mapped on </w:t>
      </w:r>
      <w:r>
        <w:rPr>
          <w:i/>
        </w:rPr>
        <w:t>Torpedo</w:t>
      </w:r>
      <w:r>
        <w:t xml:space="preserve"> AChE </w:t>
      </w:r>
      <w:r>
        <w:t>[36]</w:t>
      </w:r>
      <w:r>
        <w:t>. What remains missing is a peptide-level ligand drawn from oral smORFs and tested on that same PAS.</w:t>
      </w:r>
    </w:p>
    <w:p>
      <w:pPr>
        <w:pStyle w:val="BodyText"/>
      </w:pPr>
      <w:r>
        <w:t>Here we scored already-processed oral smORF libraries from PRJNA678453 with 22 UniDL4BioPep heads, compared healthy and periodontitis hit rates, matched the periodontitis branch to oral genomic and metaproteomic catalogues, and reduced the list with NTxPred2, mebipred and AnOxPePred. Twelve 7–9-aa peptides were docked into human AChE. Three complexes, together with apo enzyme, were simulated for 100 ns to test whether the peptides remain at the PAS without unfolding the fold.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w:t>
      </w:r>
    </w:p>
    <w:p>
      <w:pPr>
        <w:pStyle w:val="BodyText"/>
      </w:pPr>
      <w:r>
        <w:t xml:space="preserve">Translated smORFs of 4–50 aa were taken as already-processed peptide strings. We did not reassemble reads or call genes de novo. The public source of the paired oral metagenomes and metatranscriptomes is PRJNA678453 </w:t>
      </w:r>
      <w:r>
        <w:t>[7]</w:t>
      </w:r>
      <w:r>
        <w:t>. A derived MGnify third-party assembly, PRJEB65451 (metaSPAdes v3.15.3), exists for that BioProject; it is not a second clinical cohort. Library sizes were 11,269,961 healthy-labelled and 11,721,988 periodontitis-labelled sequences.</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[23,31]</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[35]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[21,32]</w:t>
      </w:r>
      <w:r>
        <w:t xml:space="preserve">. Salivary metaproteomes record peptides inside their own false-discovery framework </w:t>
      </w:r>
      <w:r>
        <w:t>[22]</w:t>
      </w:r>
      <w:r>
        <w:t xml:space="preserve">. Further oral metaproteomic sets add sequence observations from other clinical contexts </w:t>
      </w:r>
      <w:r>
        <w:t>[33–34]</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[24]</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[25]</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[26]</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[20]</w:t>
      </w:r>
      <w:r>
        <w:t xml:space="preserve">. The twelve ligands ALLLHRC, FCLHLQLR, FLLHTTR, HLLTLKKHV, HLPLLHRCC, HVLLLRQCA, LLHLPKRTT, LLHPLRC, LLHPLRL, WLLVHLKK, YHHLLCRR and YLSLLQR were docked with AutoDock Vina, exhaustiveness 32 </w:t>
      </w:r>
      <w:r>
        <w:t>[27–28]</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[29–30]</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[18]</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313045"/>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313045"/>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Heading3"/>
        <w:keepNext/>
      </w:pPr>
      <w:r>
        <w:t>Principal findings</w:t>
      </w:r>
    </w:p>
    <w:p>
      <w:pPr>
        <w:pStyle w:val="BodyText"/>
      </w:pPr>
      <w:r>
        <w:t xml:space="preserve">Twenty-two UniDL4BioPep heads scored 11.27 million healthy-labelled and 11.72 million periodontitis-labelled oral smORFs at ≥0.80. Catalogue matching, NTxPred2, mebipred and AnOxPePred then reduced the periodontitis branch to twelve explicit 7–9-aa peptides. All twelve docked to human AChE with best-run Vina affinities between −8.25 and −9.60 kcal/mol (Figure 2, Table 6). FLLHTTR, YLSLLQR and LLHPLRL contact the PAS. Over 100 ns, apo AChE and the ALLLHRC, FLLHTTR and YLSLLQR complexes remain globular; FLLHTTR and YLSLLQR become more compact than apo, and FLLHTTR keeps the densest intermolecular hydrogen-bond net (Table 7, Figures 5–7). These objects define a computational ligand set for the same PAS that accelerates Aβ assembly </w:t>
      </w:r>
      <w:r>
        <w:t>[4,18]</w:t>
      </w:r>
      <w:r>
        <w:t>. They do not demonstrate transport, expression or disease causality.</w:t>
      </w:r>
    </w:p>
    <w:p>
      <w:pPr>
        <w:pStyle w:val="Heading3"/>
        <w:keepNext/>
      </w:pPr>
      <w:r>
        <w:t>How the two libraries differ</w:t>
      </w:r>
    </w:p>
    <w:p>
      <w:pPr>
        <w:pStyle w:val="BodyText"/>
      </w:pPr>
      <w:r>
        <w:t>The healthy and periodontitis libraries are close on most UniDL4BioPep heads (Tables 1–3). BBB (BBP) rates differ by 0.12 percentage points (9.72% versus 9.60%), so a BBB-high call is not a periodontitis stamp. Periodontitis exceeds healthy by ≥1 percentage point only for quorum sensing (+1.39). Healthy is higher for antifungal (−2.50), anti-parasitic (−2.36), antioxidant FRS (−1.95), antiviral (−1.89), antibacterial (−1.42), CPP (−1.24), anticancer-main (−1.22) and umami (−1.00). Antimicrobial is essentially tied (87.89% versus 87.69%). Those percentages are library-wide score rates. Without a row-wise overlap map, the twelve docking sequences cannot be shown to be absent from the healthy library, and the periodontitis label cannot be transferred to an individual peptide. Physicochemical descriptors in Table 5 characterise the docking ligands; they are not a disease contrast.</w:t>
      </w:r>
    </w:p>
    <w:p>
      <w:pPr>
        <w:pStyle w:val="BodyText"/>
      </w:pPr>
      <w:r>
        <w:t xml:space="preserve">Serial agreement among UniDL4BioPep, NTxPred2, mebipred and AnOxPePred is a filter stack. ESM embeddings, composition features and task-specific training sets can share correlated errors </w:t>
      </w:r>
      <w:r>
        <w:t>[23–26]</w:t>
      </w:r>
      <w:r>
        <w:t xml:space="preserve">. Near-universal antimicrobial positivity in both libraries illustrates the point: a score above 0.80 ranks sequences, it does not establish BBB transport, neurotoxicity, metal binding or redox chemistry. The same predict-then-filter order used to mine microbiome peptide antibiotics </w:t>
      </w:r>
      <w:r>
        <w:t>[31]</w:t>
      </w:r>
      <w:r>
        <w:t xml:space="preserve"> is therefore retained as triage. Catalogue matches against HOMD, eHOMD and oral metaproteomes support prior observation of a string </w:t>
      </w:r>
      <w:r>
        <w:t>[21–22,32–34]</w:t>
      </w:r>
      <w:r>
        <w:t xml:space="preserve">; they do not prove translation in PRJNA678453 samples </w:t>
      </w:r>
      <w:r>
        <w:t>[7,15–16]</w:t>
      </w:r>
      <w:r>
        <w:t>.</w:t>
      </w:r>
    </w:p>
    <w:p>
      <w:pPr>
        <w:pStyle w:val="Heading3"/>
        <w:keepNext/>
      </w:pPr>
      <w:r>
        <w:t>A possible PAS-centred path from oral peptides to AD</w:t>
      </w:r>
    </w:p>
    <w:p>
      <w:pPr>
        <w:pStyle w:val="BodyText"/>
      </w:pPr>
      <w:r>
        <w:t xml:space="preserve">AD pairs amyloid deposition with cholinergic failure </w:t>
      </w:r>
      <w:r>
        <w:t>[2–3]</w:t>
      </w:r>
      <w:r>
        <w:t xml:space="preserve">. Independently of catalysis, AChE accelerates Aβ fibril assembly through the PAS, and AChE–Aβ complexes are more neurotoxic than Aβ alone </w:t>
      </w:r>
      <w:r>
        <w:t>[4]</w:t>
      </w:r>
      <w:r>
        <w:t xml:space="preserve">. A hydrophobic PAS motif is sufficient to promote that chaperone activity </w:t>
      </w:r>
      <w:r>
        <w:t>[5]</w:t>
      </w:r>
      <w:r>
        <w:t xml:space="preserve">. PAS-directed ligands suppress AChE-induced aggregation in biochemical assays </w:t>
      </w:r>
      <w:r>
        <w:t>[19]</w:t>
      </w:r>
      <w:r>
        <w:t xml:space="preserve">. Accelerated MD places Aβ on the AChE surface as a nucleation centre </w:t>
      </w:r>
      <w:r>
        <w:t>[17]</w:t>
      </w:r>
      <w:r>
        <w:t xml:space="preserve">. A 1-μs trajectory keeps Aβ at the PAS, with principal residence at residues 344–361 </w:t>
      </w:r>
      <w:r>
        <w:t>[18]</w:t>
      </w:r>
      <w:r>
        <w:t xml:space="preserve">. Periodontitis and </w:t>
      </w:r>
      <w:r>
        <w:rPr>
          <w:i/>
        </w:rPr>
        <w:t>P. gingivalis</w:t>
      </w:r>
      <w:r>
        <w:t xml:space="preserve"> supply an exposure context: the organism and gingipains have been reported in AD brains, and repeated oral infection in mice produces neuroinflammation and Aβ-related changes </w:t>
      </w:r>
      <w:r>
        <w:t>[6,12–13]</w:t>
      </w:r>
      <w:r>
        <w:t>. Docking and 100-ns trajectories indicate that periodontitis-derived micropeptides can occupy that same PAS. Four linked steps outline a possible mechanism.</w:t>
      </w:r>
    </w:p>
    <w:p>
      <w:pPr>
        <w:pStyle w:val="Reference"/>
        <w:ind w:left="360" w:hanging="360"/>
      </w:pPr>
      <w:r>
        <w:rPr>
          <w:sz w:val="24"/>
          <w:szCs w:val="24"/>
        </w:rPr>
        <w:t>1. PAS recognition and gorge-entrance occupancy.</w:t>
      </w:r>
    </w:p>
    <w:p>
      <w:pPr>
        <w:pStyle w:val="BodyText"/>
      </w:pPr>
      <w:r>
        <w:t xml:space="preserve">   Best poses of the twelve peptides concentrate at the PAS and gorge mouth of human AChE (PDB 4EY6; Figures 2–4). FLLHTTR anchors the canonical PAS residues Asp74, Tyr72 and His287 (best-run −9.60 kcal/mol; Figure 3C). YLSLLQR contacts PAS (Tyr72, Thr75) and the catalytic entrance (three-run mean −9.44 ± 0.09 kcal/mol; Figure 4L). LLHPLRL spans the PAS gatekeepers Trp286/Tyr341 to catalytic His447 (Figure 4I). HLLTLKKHV reaches Tyr72 and Phe346 in the 344–361 residence zone reported for Aβ. That geometry is the PAS Inestrosa identified as the pro-fibrillar site and that Atanasova occupied with Aβ. The aromatic gorge that joins the triad to the PAS was mapped on </w:t>
      </w:r>
      <w:r>
        <w:rPr>
          <w:i/>
        </w:rPr>
        <w:t>Torpedo</w:t>
      </w:r>
      <w:r>
        <w:t xml:space="preserve"> AChE </w:t>
      </w:r>
      <w:r>
        <w:t>[20,36]</w:t>
      </w:r>
      <w:r>
        <w:t xml:space="preserve">. Vina ranks poses inside a fixed grid; the scores are not experimental free energies </w:t>
      </w:r>
      <w:r>
        <w:t>[27–28]</w:t>
      </w:r>
      <w:r>
        <w:t>.</w:t>
      </w:r>
    </w:p>
    <w:p>
      <w:pPr>
        <w:pStyle w:val="Reference"/>
        <w:ind w:left="360" w:hanging="360"/>
      </w:pPr>
      <w:r>
        <w:rPr>
          <w:sz w:val="24"/>
          <w:szCs w:val="24"/>
        </w:rPr>
        <w:t>2. A surface-bound enzyme–peptide complex.</w:t>
      </w:r>
    </w:p>
    <w:p>
      <w:pPr>
        <w:pStyle w:val="BodyText"/>
      </w:pPr>
      <w:r>
        <w:t xml:space="preserve">   Over 100 ns the enzyme remains globular (RMSD 0.16–0.19 nm, Rg 2.30–2.31 nm, helix ~33% / sheet ~17%; Figures 5–7). FLLHTTR and YLSLLQR complexes become more compact than apo in late RMSD (0.1640 and 0.1625 nm versus 0.1897 nm), so the peptide stays on the surface and stiffens the fold. Intermolecular hydrogen bonds persist: FLLHTTR holds a dense polar net throughout (7.03 ± 1.28; Figure 6F), YLSLLQR averages 2.93 ± 1.14, and ALLLHRC retains seven contact pairs after early rearrangement. Peptide self-fit RMSD is lowest for YLSLLQR (0.0911 nm) and highest for ALLLHRC (0.2518 nm). Centre-of-mass RDF peaks lie at 1.22–1.80 nm, consistent with surface residence rather than bulk solvent. Lushchekina and Atanasova described a surface-bound, non-dissociating AChE–Aβ complex; the same occupancy pattern appears here for oral micropeptides, on a 100-ns rather than 1-μs window.</w:t>
      </w:r>
    </w:p>
    <w:p>
      <w:pPr>
        <w:pStyle w:val="Reference"/>
        <w:ind w:left="360" w:hanging="360"/>
      </w:pPr>
      <w:r>
        <w:rPr>
          <w:sz w:val="24"/>
          <w:szCs w:val="24"/>
        </w:rPr>
        <w:t>3. Restricted acetylcholine access.</w:t>
      </w:r>
    </w:p>
    <w:p>
      <w:pPr>
        <w:pStyle w:val="BodyText"/>
      </w:pPr>
      <w:r>
        <w:t xml:space="preserve">   The PAS sits at the mouth of the 20-Å gorge that feeds the catalytic triad </w:t>
      </w:r>
      <w:r>
        <w:t>[3,20]</w:t>
      </w:r>
      <w:r>
        <w:t>. Physical occupancy of Asp74/Tyr72/Trp286/Tyr341 can hinder substrate entry even while the catalytic core remains folded (low RMSF in panels B of Figures 5–7). A pose that docks to the PAS therefore intersects the cholinergic axis of AD: reduced access of acetylcholine at synapses already depleted after basal-forebrain loss.</w:t>
      </w:r>
    </w:p>
    <w:p>
      <w:pPr>
        <w:pStyle w:val="Reference"/>
        <w:ind w:left="360" w:hanging="360"/>
      </w:pPr>
      <w:r>
        <w:rPr>
          <w:sz w:val="24"/>
          <w:szCs w:val="24"/>
        </w:rPr>
        <w:t>4. Pathological chaperone activity.</w:t>
      </w:r>
    </w:p>
    <w:p>
      <w:pPr>
        <w:pStyle w:val="BodyText"/>
      </w:pPr>
      <w:r>
        <w:t xml:space="preserve">   Because the PAS is a documented pro-fibrillar site </w:t>
      </w:r>
      <w:r>
        <w:t>[4–5]</w:t>
      </w:r>
      <w:r>
        <w:t xml:space="preserve">, a heterologous peptide that remains there can lower the nucleation barrier for endogenous Aβ. FLLHTTR supplies a persistent polar net on the PAS (Figure 6F) that matches its docking pose (Figure 3C). YLSLLQR buries surface (SASA 209.71 versus 212.25 nm²; Figure 7C) and is the most rigid bound peptide. Folded AChE then presents a peptide-coated PAS on which Aβ oligomers can co-assemble, which is Lushchekina’s nucleation-centre picture applied to an oral ligand. AChE–Aβ assemblies are already more synaptotoxic than free Aβ </w:t>
      </w:r>
      <w:r>
        <w:t>[4]</w:t>
      </w:r>
      <w:r>
        <w:t>. A bacterial micropeptide on the same site is a possible route to hybrid nuclei.</w:t>
      </w:r>
    </w:p>
    <w:p>
      <w:pPr>
        <w:pStyle w:val="Heading3"/>
        <w:keepNext/>
      </w:pPr>
      <w:r>
        <w:t>From the oral cavity to cortical AChE</w:t>
      </w:r>
    </w:p>
    <w:p>
      <w:pPr>
        <w:pStyle w:val="BodyText"/>
      </w:pPr>
      <w:r>
        <w:t xml:space="preserve">Chronic periodontitis can move </w:t>
      </w:r>
      <w:r>
        <w:rPr>
          <w:i/>
        </w:rPr>
        <w:t>P. gingivalis</w:t>
      </w:r>
      <w:r>
        <w:t xml:space="preserve"> products into blood through a disrupted epithelium, gingipains and outer-membrane vesicles </w:t>
      </w:r>
      <w:r>
        <w:t>[8–9]</w:t>
      </w:r>
      <w:r>
        <w:t xml:space="preserve">. Systemic cytokines and proteases increase BBB leakiness </w:t>
      </w:r>
      <w:r>
        <w:t>[6]</w:t>
      </w:r>
      <w:r>
        <w:t xml:space="preserve">. Short, leucine-rich, cationic peptides that scored BBB-high—a label almost as common in the healthy library—could in principle reach interstitial fluid </w:t>
      </w:r>
      <w:r>
        <w:t>[12,35]</w:t>
      </w:r>
      <w:r>
        <w:t xml:space="preserve">. PAS docking then supplies a landing site on an enzyme that is both a cholinergic hydrolase and an amyloid chaperone. Meta-analyses link periodontal disease to cognitive disorders, although effect sizes move with case definitions </w:t>
      </w:r>
      <w:r>
        <w:t>[10]</w:t>
      </w:r>
      <w:r>
        <w:t xml:space="preserve">, and periodontitis tracked later decline in an AD cohort </w:t>
      </w:r>
      <w:r>
        <w:t>[11]</w:t>
      </w:r>
      <w:r>
        <w:t xml:space="preserve">. A two-sample Mendelian randomization analysis did not support a genetic causal effect of periodontal disease on AD </w:t>
      </w:r>
      <w:r>
        <w:t>[14]</w:t>
      </w:r>
      <w:r>
        <w:t>. The twelve sequences are treated as pathogenic candidates because they occupy the experimentally mapped Aβ-binding PAS and remain bound for 100 ns. Complex RMSD that stays at or below apo is local adaptation of a folded enzyme, not evidence that the peptide is harmless or that it is proven to seed amyloid in tissue.</w:t>
      </w:r>
    </w:p>
    <w:p>
      <w:pPr>
        <w:pStyle w:val="BodyText"/>
      </w:pPr>
      <w:r>
        <w:t xml:space="preserve">The calculation therefore connects three literatures that are usually kept apart: oral smORF peptide space </w:t>
      </w:r>
      <w:r>
        <w:t>[15,31]</w:t>
      </w:r>
      <w:r>
        <w:t xml:space="preserve">, the PAS chaperone activity of AChE </w:t>
      </w:r>
      <w:r>
        <w:t>[4,18]</w:t>
      </w:r>
      <w:r>
        <w:t xml:space="preserve">, and the periodontitis–AD exposure context </w:t>
      </w:r>
      <w:r>
        <w:t>[12–13]</w:t>
      </w:r>
      <w:r>
        <w:t>. What it supports is a bounded structural hypothesis. What it does not replace is measured expression, transport, affinity or an Aβ-aggregation assay.</w:t>
      </w:r>
    </w:p>
    <w:p>
      <w:pPr>
        <w:pStyle w:val="Heading2"/>
        <w:keepNext/>
      </w:pPr>
      <w:r>
        <w:t>Conclusions</w:t>
      </w:r>
    </w:p>
    <w:p>
      <w:pPr>
        <w:pStyle w:val="BodyText"/>
      </w:pPr>
      <w:r>
        <w:t xml:space="preserve">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Healthy and periodontitis libraries differ little on BBB-high rate; quorum sensing is the only head at which periodontitis is higher by ≥1 percentage point. Read against the amyloid cascade </w:t>
      </w:r>
      <w:r>
        <w:t>[2]</w:t>
      </w:r>
      <w:r>
        <w:t xml:space="preserve">, the cholinergic hypothesis </w:t>
      </w:r>
      <w:r>
        <w:t>[3]</w:t>
      </w:r>
      <w:r>
        <w:t>, and the PAS chaperone work of Inestrosa, Lushchekina and Atanasova,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