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line="300" w:lineRule="auto"/>
        <w:jc w:val="center"/>
      </w:pPr>
      <w:r>
        <w:rPr>
          <w:rFonts w:ascii="Times New Roman" w:hAnsi="Times New Roman"/>
          <w:b/>
          <w:i w:val="0"/>
          <w:color w:val="1B365D"/>
          <w:sz w:val="36"/>
          <w:rFonts w:ascii="Times New Roman" w:hAnsi="Times New Roman" w:eastAsia="SimSun"/>
        </w:rPr>
        <w:t>基于鳄鱼肠道宏基因组的新型抗菌肽深度挖掘与分子对接表征</w:t>
      </w:r>
    </w:p>
    <w:p>
      <w:pPr>
        <w:spacing w:before="0" w:after="280" w:line="300" w:lineRule="auto"/>
        <w:jc w:val="center"/>
      </w:pPr>
      <w:r>
        <w:rPr>
          <w:rFonts w:ascii="Times New Roman" w:hAnsi="Times New Roman"/>
          <w:b/>
          <w:i/>
          <w:color w:val="34495E"/>
          <w:sz w:val="24"/>
          <w:rFonts w:ascii="Times New Roman" w:hAnsi="Times New Roman" w:eastAsia="SimSun"/>
        </w:rPr>
        <w:t>Discovery and Molecular Docking Characterization of Novel Antimicrobial Peptides from the Alligator Gut Metagenome</w:t>
      </w:r>
    </w:p>
    <w:p>
      <w:pPr>
        <w:spacing w:before="120" w:after="80" w:line="300" w:lineRule="auto"/>
        <w:jc w:val="left"/>
      </w:pPr>
      <w:r>
        <w:rPr>
          <w:rFonts w:ascii="Times New Roman" w:hAnsi="Times New Roman"/>
          <w:b/>
          <w:i w:val="0"/>
          <w:color w:val="1B365D"/>
          <w:sz w:val="22"/>
          <w:rFonts w:ascii="Times New Roman" w:hAnsi="Times New Roman" w:eastAsia="SimSun"/>
        </w:rPr>
        <w:t>摘要</w:t>
      </w:r>
    </w:p>
    <w:p>
      <w:pPr>
        <w:spacing w:before="0" w:after="120" w:line="288" w:lineRule="auto"/>
        <w:ind w:firstLine="400"/>
        <w:jc w:val="left"/>
      </w:pPr>
      <w:r>
        <w:rPr>
          <w:rFonts w:ascii="Times New Roman" w:hAnsi="Times New Roman"/>
          <w:b w:val="0"/>
          <w:i w:val="0"/>
          <w:color w:val="1A1A1A"/>
          <w:sz w:val="20"/>
          <w:rFonts w:ascii="Times New Roman" w:hAnsi="Times New Roman" w:eastAsia="SimSun"/>
        </w:rPr>
        <w:t>全球抗生素耐药性（Antimicrobial Resistance, AMR）的迅速蔓延严重威胁公共卫生安全，亟需挖掘全新机制的抗菌先导物。爬行动物鳄鱼具备强大的天然固有免疫防御系统，其肠道极端共生微生态中蕴含着丰度高、耐受性强的抗菌多肽资源。本研究基于鳄鱼肠道双端Shotgun宏基因组测序数据（SRR18112698），在严格去除宿主参考基因组（GCF_030867095.1）污染后，完成高质量宏基因组组装与分箱，获得近乎完整且污染度极低的目标MAG bin.1（完整度97.04%，污染度0.146%）。从目标MAG中预测挖掘出131,816条短开放阅读框（sORF）候选短肽，并构建包含Attention、LSTM和BERT三模型集成的深度学习预测架构，初筛获得13,296条三模型一致支持的高置信度候选肽。随后建立串联式多级安全性与理化终筛流程：经ToxinPred2毒性预筛、AlgPred2过敏性筛选、PepFun理化可行性过滤、TheraPepNet抗菌活性预测以及CAMP与AxPep双平台7项分类器联合复核，最终优选出3条极具潜力的候选抗菌肽（pep_018: FVNKLNRIIPVKGFSMR, pep_029: LISNTKKFGTAIASHR, pep_037: ISLAIPLASKISGFTLALVKNAST）。三条候选肽经UniProt全库检索证实具有100%的序列级完全新颖性。进一步采用AutoDock Vina针对革兰氏阴性菌（Escherichia coli: FtsZ 6UNX, GyrB 4DUH）与革兰氏阳性菌（Staphylococcus aureus: FtsZ 5MN4, Sortase A 1T2W）4个核心生理靶点开展3次独立重复分子对接（共36次独立运算）及PyMOL 4 Å三维相互作用解析。结果表明：候选肽对E. coli GyrB ATPase活性结构域呈现极高亲和力（pep_018达 -10.753±0.006 kcal/mol），pep_029对S. aureus FtsZ表现出优异结合力（-6.741±0.187 kcal/mol），且在结合口袋中通过保守极性残基（Arg142、Arg143、Glu178等）形成稳定的氢键与盐桥相互作用网络。本研究建立了从宏基因组sORF挖掘、深度学习集成筛选到结构生物学靶向评价的端到端抗菌肽发现范式，为开发新型抗耐药菌多肽类抗生素提供了高价值的临床前候选分子与计算生物学依据。</w:t>
      </w:r>
    </w:p>
    <w:p>
      <w:pPr>
        <w:spacing w:before="0" w:after="240" w:line="300" w:lineRule="auto"/>
        <w:jc w:val="left"/>
      </w:pPr>
      <w:r>
        <w:rPr>
          <w:rFonts w:ascii="Times New Roman" w:hAnsi="Times New Roman"/>
          <w:b w:val="0"/>
          <w:i w:val="0"/>
          <w:color w:val="1A1A1A"/>
          <w:sz w:val="19"/>
          <w:rFonts w:ascii="Times New Roman" w:hAnsi="Times New Roman" w:eastAsia="SimSun"/>
        </w:rPr>
        <w:t>关键词： 鳄鱼肠道；宏基因组；短开放阅读框（sORF）；抗菌肽；深度学习；分子对接；AutoDock Vina；PyMOL相互作用</w:t>
      </w:r>
    </w:p>
    <w:p>
      <w:pPr>
        <w:keepNext/>
        <w:spacing w:before="280" w:after="120"/>
      </w:pPr>
      <w:r>
        <w:rPr>
          <w:rFonts w:ascii="Times New Roman" w:hAnsi="Times New Roman"/>
          <w:b/>
          <w:color w:val="1B365D"/>
          <w:sz w:val="30"/>
          <w:rFonts w:ascii="Times New Roman" w:hAnsi="Times New Roman" w:eastAsia="Microsoft YaHei"/>
        </w:rPr>
        <w:t>1. 引言 (Introduction)</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全球范围内抗生素的广泛乃至滥用已引发严重的抗生素耐药性（Antimicrobial Resistance, AMR）危机。世界卫生组织（WHO）及疾病预防控制中心（CDC）近年发布的预警报告指出，耐药菌感染导致的致死率与医疗支出呈现逐年急剧上升趋势，特别是以耐甲氧西林金黄色葡萄球菌（MRSA）、耐碳青霉烯大肠埃希菌（CRE）为代表的“ESKAPE”超级细菌，已导致临床现有的一线与储备抗生素疗效大幅衰减。传统小分子抗生素研发管线的枯竭与新型抗菌分子的迫切需求之间形成了巨大的剪刀差。在此背景下，抗菌肽（Antimicrobial Peptides, AMPs）作为多细胞生物天然免疫系统的重要效应分子，因其广谱抗菌活性、独特的物理膜破坏或多靶点协同机制，以及极低诱导细菌耐药突变倾向，被公认为最具前景的新一代抗感染候选药物之一。</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作为现存最古老的爬行动物类群之一，鳄鱼（Alligator mississippiensis / Alligator sinensis）栖息于微生物密度极高、病原体繁杂的水域与淤泥环境中。尽管常伴随争斗致伤或恶劣捕食伤口，鳄鱼极少出现严重败血症或致死性坏疽感染，这一非凡的免疫抗逆表型主要归因于其高度特化且活性极强的固有体液免疫系统。近年来，爬行动物宿主防御肽与肠道共生微生态的研究揭示，鳄鱼消化道与内脏组织中蕴藏着丰富且具备强效抗革兰氏阴性/阳性菌潜力的阳离子两亲性抗菌肽库。然而，传统基于组织提取或化学分离的“湿实验”挖掘方法耗时冗长、通量受限，且难以获取低丰度或在特定生理微环境中瞬时表达的特异性多肽。</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随着高通量测序技术与计算生物学的飞速发展，宏基因组学（Metagenomics）为未经培养微生物暗物质的直接发掘提供了革命性手段。尤其是短开放阅读框（short open reading frames, sORFs，编码长度≤100个氨基酸的短肽）在细菌生理调节、种间竞争及防御中的关键功能正受到前所未有的关注。然而，宏基因组拼接产物中包含海量未经注释的sORFs，传统BLAST等同源比对工具对于序列同源性低但结构/理化特征相似的非同源新型AMPs检出效率低下。近年来，深度学习在蛋白质与多肽表征学习中展现出卓越性能：自注意力机制（Self-Attention）长于捕获残基间远距离依赖，长短期记忆网络（LSTM）擅长建模多肽骨架的序列上下文连续性，而基于大规模语料预训练的Transformer双向编码器（BERT）则对氨基酸残基的高阶表征具有强大的泛化表征能力。将宏基因组组装分箱、sORF精准挖掘与三模型集成深度学习相结合，能够极大拓宽新型高活性抗菌肽的挖掘视野。</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尽管计算预测能够大幅压缩候选多肽空间，但计算机发现的短肽能否与致病菌的关键分子靶标发生特异性物理相互作用，是决定其能否作为先导物推进的核心关口。针对细菌关键生理周期的分子靶向研究表明，细胞分裂蛋白FtsZ（负责分裂Z环组装的微管样蛋白 GTPase）与DNA促旋酶B亚基（GyrB ATPase催化结构域，催化负超螺旋引入），是革兰氏阴性菌（如E. coli）极为保守的核心致死性靶点；而对于革兰氏阳性菌（如S. aureus），除FtsZ外，催化表面毒力蛋白固着于细胞壁肽聚糖的转肽酶Sortase A（SrtA），则是极具潜力的抗毒力与协同增效靶标。通过计算机分子对接（Molecular Docking）在原子尺度阐明候选肽与这些关键酶系活性口袋的几何互补性与静电结合模式，可为抗菌肽的靶标验证与机制探索提供扎实的关键依据。</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基于此，本研究提出了一套针对鳄鱼肠道宏基因组的端到端抗菌肽发现与分子对接评价技术体系。首先，利用高质量鳄鱼肠道双端Shotgun宏基因组测序数据，剔除宿主染色体背景后完成从头组装与基因组分箱，获得近完整的高质量目标MAG bin.1；其次，开展全基因组sORF系统挖掘并输入c_AMPs-prediction三模型深度学习预测流水线，经严格的多级安全性（毒性、过敏性）与理化可行性终筛，遴选出3条高活性新颖候选抗菌肽；最后，针对E. coli与S. aureus共4个核心结构靶点（6UNX, 4DUH, 5MN4, 1T2W）开展标准化AutoDock Vina独立重复分子对接与PyMOL 3D相互作用接触解析。本研究系统揭示了候选肽对细菌分裂与DNA复制酶系的强劲亲和机制，为抗耐药菌多肽类抗生素的计算设计与开发提供了崭新视角。</w:t>
      </w:r>
    </w:p>
    <w:p>
      <w:pPr>
        <w:keepNext/>
        <w:spacing w:before="280" w:after="120"/>
      </w:pPr>
      <w:r>
        <w:rPr>
          <w:rFonts w:ascii="Times New Roman" w:hAnsi="Times New Roman"/>
          <w:b/>
          <w:color w:val="1B365D"/>
          <w:sz w:val="30"/>
          <w:rFonts w:ascii="Times New Roman" w:hAnsi="Times New Roman" w:eastAsia="Microsoft YaHei"/>
        </w:rPr>
        <w:t>2. 材料与方法 (Materials and Methods)</w:t>
      </w:r>
    </w:p>
    <w:p>
      <w:pPr>
        <w:keepNext/>
        <w:spacing w:before="200" w:after="80"/>
      </w:pPr>
      <w:r>
        <w:rPr>
          <w:rFonts w:ascii="Times New Roman" w:hAnsi="Times New Roman"/>
          <w:b/>
          <w:color w:val="2C3E50"/>
          <w:sz w:val="26"/>
          <w:rFonts w:ascii="Times New Roman" w:hAnsi="Times New Roman" w:eastAsia="Microsoft YaHei"/>
        </w:rPr>
        <w:t>2.1 原始宏基因组数据与研究总体设计</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本研究以双端shotgun宏基因组测序数据SRR18112698_1.fastq.gz和SRR18112698_2.fastq.gz为原始输入，对鳄鱼肠道宏基因组开展genome-resolved分析、短肽挖掘及候选抗菌肽筛选。整体技术路线包括：原始reads质量控制与宿主序列去除、宏基因组组装与分箱、目标宏基因组组装基因组(metagenome-assembled genome, MAG)确定、短开放阅读框(short open reading frame, sORF)挖掘、基于深度学习模型的候选抗菌肽初筛，以及基于安全性、理化性质和活性预测的多级终筛。需要指出的是，本研究中的终筛流程主要用于从大规模候选序列中遴选高优先级实验候选，以支持后续化学合成与体外验证，而不直接等同于生物学功能的最终证实。</w:t>
      </w:r>
    </w:p>
    <w:p>
      <w:pPr>
        <w:keepNext/>
        <w:spacing w:before="200" w:after="80"/>
      </w:pPr>
      <w:r>
        <w:rPr>
          <w:rFonts w:ascii="Times New Roman" w:hAnsi="Times New Roman"/>
          <w:b/>
          <w:color w:val="2C3E50"/>
          <w:sz w:val="26"/>
          <w:rFonts w:ascii="Times New Roman" w:hAnsi="Times New Roman" w:eastAsia="Microsoft YaHei"/>
        </w:rPr>
        <w:t>2.2 质量控制与宿主序列去除</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原始双端reads首先采用fastp进行质量控制，以完成序列质量评估和基础过滤。随后，利用KneadData结合宿主参考数据库去除宿主来源污染序列，仅保留成对的非宿主reads用于后续组装分析。KneadData运行过程中启用--bypass-trim和--bypass-trf参数，以避免重复执行额外修剪步骤；在Bowtie2比对层面采用--very-sensitive和--dovetail参数，以提高宿主污染识别灵敏度；同时启用--reorder参数，以保持双端reads顺序一致，确保后续paired-end数据处理的兼容性和稳定性。在宿主污染去除过程中，本研究采用NCBI RefSeq数据库中的American alligator（Alligator mississippiensis）参考基因组GCF_030867095.1（rAllMis1）作为宿主参考序列。该装配由Vertebrate Genomes Project提交，并包含17条已组装染色体及未定位scaffolds。随后基于该基因组序列构建Bowtie2索引，用于KneadData流程中的宿主reads识别与去除。</w:t>
      </w:r>
    </w:p>
    <w:p>
      <w:pPr>
        <w:keepNext/>
        <w:spacing w:before="200" w:after="80"/>
      </w:pPr>
      <w:r>
        <w:rPr>
          <w:rFonts w:ascii="Times New Roman" w:hAnsi="Times New Roman"/>
          <w:b/>
          <w:color w:val="2C3E50"/>
          <w:sz w:val="26"/>
          <w:rFonts w:ascii="Times New Roman" w:hAnsi="Times New Roman" w:eastAsia="Microsoft YaHei"/>
        </w:rPr>
        <w:t>2.3 宏基因组组装、分箱及目标MAG确定</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宿主去除后的clean reads采用MEGAHIT进行de novo组装。所得contigs进一步输入metaWRAP的binning模块，并联合使用MetaBAT2和MaxBin2两种分箱算法进行初始分箱。随后，采用metaWRAP的bin_refinement模块对分箱结果进行整合，在完整度≥50%、污染度≤10%的条件下保留refined bins。各bins的完整度与污染度通过CheckM的lineage_wf模块进行评估，分类注释通过GTDB-Tk完成。满足本研究预设质量标准的高质量MAG进一步用于后续sORF挖掘和候选抗菌肽筛选。</w:t>
      </w:r>
    </w:p>
    <w:p>
      <w:pPr>
        <w:keepNext/>
        <w:spacing w:before="200" w:after="80"/>
      </w:pPr>
      <w:r>
        <w:rPr>
          <w:rFonts w:ascii="Times New Roman" w:hAnsi="Times New Roman"/>
          <w:b/>
          <w:color w:val="2C3E50"/>
          <w:sz w:val="26"/>
          <w:rFonts w:ascii="Times New Roman" w:hAnsi="Times New Roman" w:eastAsia="Microsoft YaHei"/>
        </w:rPr>
        <w:t>2.4 基于目标MAG的sORF挖掘</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针对目标MAG，采用EMBOSS软件包中的getorf工具进行sORF预测。预测过程中使用细菌遗传密码表11，并限定ORF长度范围为15-150 nt。所有contigs上预测得到的ORFs首先进行合并，随后基于完全相同的肽序列进行去冗余处理，形成后续深度学习预测所用的候选短肽集合。所得候选短肽经输入有效性检查后进入后续抗菌肽预测流程。</w:t>
      </w:r>
    </w:p>
    <w:p>
      <w:pPr>
        <w:keepNext/>
        <w:spacing w:before="200" w:after="80"/>
      </w:pPr>
      <w:r>
        <w:rPr>
          <w:rFonts w:ascii="Times New Roman" w:hAnsi="Times New Roman"/>
          <w:b/>
          <w:color w:val="2C3E50"/>
          <w:sz w:val="26"/>
          <w:rFonts w:ascii="Times New Roman" w:hAnsi="Times New Roman" w:eastAsia="Microsoft YaHei"/>
        </w:rPr>
        <w:t>2.5 基于三模型集成的抗菌肽深度学习预测</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由目标MAG获得的候选短肽进一步输入c_AMPs-prediction框架进行抗菌肽预测。首先，将候选序列整理为单行FASTA格式，并过滤含有非标准氨基酸字符或长度大于300 aa的条目。对于Attention和LSTM模型，采用20种标准氨基酸的整数编码表示序列，并通过左侧零填充统一至长度300；对于BERT模型，则将氨基酸序列按单残基进行token化后输入模型。随后分别调用预训练的Attention、LSTM和BERT模型输出AMP预测概率。被3个模型一致判定为阳性的序列定义为高置信度候选抗菌肽。</w:t>
      </w:r>
    </w:p>
    <w:p>
      <w:pPr>
        <w:keepNext/>
        <w:spacing w:before="200" w:after="80"/>
      </w:pPr>
      <w:r>
        <w:rPr>
          <w:rFonts w:ascii="Times New Roman" w:hAnsi="Times New Roman"/>
          <w:b/>
          <w:color w:val="2C3E50"/>
          <w:sz w:val="26"/>
          <w:rFonts w:ascii="Times New Roman" w:hAnsi="Times New Roman" w:eastAsia="Microsoft YaHei"/>
        </w:rPr>
        <w:t>2.6 高置信度候选肽的本地预筛</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对于三模型一致支持的高置信度候选抗菌肽，首先进行本地预筛，以去除明显不适合后续实验推进的序列。该阶段包括基础合法性检查、序列去冗余和毒性预筛。首先，仅保留由20种标准氨基酸组成且长度位于4-50 aa范围内的序列。随后，使用MMseqs2对候选序列进行去冗余，获得代表序列集合。其后，采用ToxinPred2对去冗余候选肽进行毒性预筛，仅保留被判定为non-toxic的候选序列进入下一步分析。ToxinPred2采用standalone版本运行，参数设置为model1、threshold=0.60。</w:t>
      </w:r>
    </w:p>
    <w:p>
      <w:pPr>
        <w:keepNext/>
        <w:spacing w:before="200" w:after="80"/>
      </w:pPr>
      <w:r>
        <w:rPr>
          <w:rFonts w:ascii="Times New Roman" w:hAnsi="Times New Roman"/>
          <w:b/>
          <w:color w:val="2C3E50"/>
          <w:sz w:val="26"/>
          <w:rFonts w:ascii="Times New Roman" w:hAnsi="Times New Roman" w:eastAsia="Microsoft YaHei"/>
        </w:rPr>
        <w:t>2.7 网页服务器多级终筛流程</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为进一步从本地预筛保留的non-toxic候选肽中筛选出适于后续化学合成与体外验证的小规模高优先级序列，本研究构建了网页服务器多级终筛流程。该流程依次包括过敏性筛选、理化性质评估、肽活性预测、CAMP与AxPep联合筛选、肽级新颖性核查以及ExPASy序列特征分析。</w:t>
      </w:r>
    </w:p>
    <w:p>
      <w:pPr>
        <w:keepNext/>
        <w:spacing w:before="160" w:after="60"/>
      </w:pPr>
      <w:r>
        <w:rPr>
          <w:rFonts w:ascii="Times New Roman" w:hAnsi="Times New Roman"/>
          <w:b/>
          <w:color w:val="34495E"/>
          <w:sz w:val="23"/>
          <w:rFonts w:ascii="Times New Roman" w:hAnsi="Times New Roman" w:eastAsia="Microsoft YaHei"/>
        </w:rPr>
        <w:t>2.7.1 过敏性筛选</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首先，采用AlgPred2对non-toxic候选肽进行过敏原风险评估，仅保留被预测为non-allergen的序列进入下一步分析。AlgPred2运行参数设置为model1、threshold=0.3。随后，将AlgPred2所得non-allergen结果与前述ToxinPred2的non-toxic结果取交集，以获得同时满足低毒性和低过敏性要求的候选肽。</w:t>
      </w:r>
    </w:p>
    <w:p>
      <w:pPr>
        <w:keepNext/>
        <w:spacing w:before="160" w:after="60"/>
      </w:pPr>
      <w:r>
        <w:rPr>
          <w:rFonts w:ascii="Times New Roman" w:hAnsi="Times New Roman"/>
          <w:b/>
          <w:color w:val="34495E"/>
          <w:sz w:val="23"/>
          <w:rFonts w:ascii="Times New Roman" w:hAnsi="Times New Roman" w:eastAsia="Microsoft YaHei"/>
        </w:rPr>
        <w:t>2.7.2 理化性质评估</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对于通过安全性筛选的候选肽，进一步采用PepFun进行理化性质评估。主要计算指标包括净电荷、平均疏水性、instability index、溶解性规则失败数(solubility_fail)以及合成性规则失败数(synthesis_fail)等。基于上述理化性质和经验规则，对候选肽进行进一步筛选，以保留理化特征更适于后续实验推进的序列。</w:t>
      </w:r>
    </w:p>
    <w:p>
      <w:pPr>
        <w:keepNext/>
        <w:spacing w:before="160" w:after="60"/>
      </w:pPr>
      <w:r>
        <w:rPr>
          <w:rFonts w:ascii="Times New Roman" w:hAnsi="Times New Roman"/>
          <w:b/>
          <w:color w:val="34495E"/>
          <w:sz w:val="23"/>
          <w:rFonts w:ascii="Times New Roman" w:hAnsi="Times New Roman" w:eastAsia="Microsoft YaHei"/>
        </w:rPr>
        <w:t>2.7.3 肽活性预测</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对经PepFun理化性质评估后保留的候选肽，进一步采用TheraPepNet进行肽活性预测。该步骤旨在从具有较好理化特征的候选集中，优先保留预测活性较高的序列，为后续联合筛选提供更聚焦的候选集合。</w:t>
      </w:r>
    </w:p>
    <w:p>
      <w:pPr>
        <w:keepNext/>
        <w:spacing w:before="160" w:after="60"/>
      </w:pPr>
      <w:r>
        <w:rPr>
          <w:rFonts w:ascii="Times New Roman" w:hAnsi="Times New Roman"/>
          <w:b/>
          <w:color w:val="34495E"/>
          <w:sz w:val="23"/>
          <w:rFonts w:ascii="Times New Roman" w:hAnsi="Times New Roman" w:eastAsia="Microsoft YaHei"/>
        </w:rPr>
        <w:t>2.7.4 CAMP与AxPep联合筛选</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对经TheraPepNet肽活性预测后保留的候选肽，进一步采用CAMP和AxPep进行联合筛选。CAMP用于评估候选序列的AMP样特征，AxPep用于评估候选序列的抗菌肽活性预测支持。对于CAMP，综合支持向量机、随机森林、人工神经网络和判别分析四类分类器结果统计支持票数；对于AxPep，综合AmPEP、Deep-AmPEP30和RF-AmPEP30三种模型结果统计支持票数。最终依据CAMP与AxPep联合支持情况，对候选肽进行综合判定，并优先保留同时获得较高水平模型支持的候选序列。</w:t>
      </w:r>
    </w:p>
    <w:p>
      <w:pPr>
        <w:keepNext/>
        <w:spacing w:before="160" w:after="60"/>
      </w:pPr>
      <w:r>
        <w:rPr>
          <w:rFonts w:ascii="Times New Roman" w:hAnsi="Times New Roman"/>
          <w:b/>
          <w:color w:val="34495E"/>
          <w:sz w:val="23"/>
          <w:rFonts w:ascii="Times New Roman" w:hAnsi="Times New Roman" w:eastAsia="Microsoft YaHei"/>
        </w:rPr>
        <w:t>2.7.5 肽级新颖性核查</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对于联合筛选后优先保留的候选肽，进一步采用UniProt peptide search进行肽级序列检索，以核查是否存在已知肽条目命中。本研究未将前期自建已知AMP合并库的exact match检索作为正式主流程步骤，而将数据库层面的新颖性核查统一放在最终候选肽阶段完成。对于未检出直接肽条目命中的序列，视为在当前数据库及当前检索条件下具有序列层面的新颖性支持。</w:t>
      </w:r>
    </w:p>
    <w:p>
      <w:pPr>
        <w:keepNext/>
        <w:spacing w:before="200" w:after="80"/>
      </w:pPr>
      <w:r>
        <w:rPr>
          <w:rFonts w:ascii="Times New Roman" w:hAnsi="Times New Roman"/>
          <w:b/>
          <w:color w:val="2C3E50"/>
          <w:sz w:val="26"/>
          <w:rFonts w:ascii="Times New Roman" w:hAnsi="Times New Roman" w:eastAsia="Microsoft YaHei"/>
        </w:rPr>
        <w:t>2.8 最终候选肽的序列特征分析</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对于经UniProt检索未命中的最终候选肽，进一步采用ExPASy ProtParam进行基础序列特征分析。主要计算指标包括肽长、理论等电点(theoretical pI)、分子量、氨基酸组成、instability index、aliphatic index和GRAVY等。该分析用于表征最终候选肽在稳定性、亲疏水性、带电特征及潜在开发可行性方面的差异，不作为进一步压缩候选数量的过滤步骤。</w:t>
      </w:r>
    </w:p>
    <w:p>
      <w:pPr>
        <w:keepNext/>
        <w:spacing w:before="200" w:after="80"/>
      </w:pPr>
      <w:r>
        <w:rPr>
          <w:rFonts w:ascii="Times New Roman" w:hAnsi="Times New Roman"/>
          <w:b/>
          <w:color w:val="2C3E50"/>
          <w:sz w:val="26"/>
          <w:rFonts w:ascii="Times New Roman" w:hAnsi="Times New Roman" w:eastAsia="Microsoft YaHei"/>
        </w:rPr>
        <w:t>2.9 最终候选肽的分子对接验证</w:t>
      </w:r>
    </w:p>
    <w:p>
      <w:pPr>
        <w:keepNext/>
        <w:spacing w:before="160" w:after="60"/>
      </w:pPr>
      <w:r>
        <w:rPr>
          <w:rFonts w:ascii="Times New Roman" w:hAnsi="Times New Roman"/>
          <w:b/>
          <w:color w:val="34495E"/>
          <w:sz w:val="23"/>
          <w:rFonts w:ascii="Times New Roman" w:hAnsi="Times New Roman" w:eastAsia="Microsoft YaHei"/>
        </w:rPr>
        <w:t>2.9.1 对接靶点的选择依据</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为进一步评估2.7—2.8节确定的3条最终候选抗菌肽(pep_018、pep_029、pep_037)与细菌关键蛋白相互作用的可能性，本研究在革兰氏阴性与革兰氏阳性代表菌中各选择两个与抗菌作用高度相关的蛋白靶点，开展分子对接评估。针对Escherichia coli，选择细胞分裂蛋白FtsZ(PDB: 6UNX)与DNA促旋酶B亚基ATPase结构域(PDB: 4DUH)；针对Staphylococcus aureus，选择细胞分裂蛋白FtsZ(PDB: 5MN4)与转肽酶Sortase A(PDB: 1T2W)。FtsZ是类微管蛋白的细菌胞质分裂核心蛋白，负责Z环与分裂体的组装，已被报道为抗菌肽作用靶点；GyrB ATPase口袋是区别于喹诺酮类GyrA切割复合物化学型的已验证抗菌靶点；Sortase A负责将含LPXTG基序的毒力相关表面蛋白锚定于革兰氏阳性菌细胞壁，常被作为抗毒力靶点。所选晶体结构均为高分辨率、具明确配体或核苷酸结合位点的结构，便于定义对接盒并进行可比性分析。</w:t>
      </w:r>
    </w:p>
    <w:p>
      <w:pPr>
        <w:keepNext/>
        <w:spacing w:before="160" w:after="60"/>
      </w:pPr>
      <w:r>
        <w:rPr>
          <w:rFonts w:ascii="Times New Roman" w:hAnsi="Times New Roman"/>
          <w:b/>
          <w:color w:val="34495E"/>
          <w:sz w:val="23"/>
          <w:rFonts w:ascii="Times New Roman" w:hAnsi="Times New Roman" w:eastAsia="Microsoft YaHei"/>
        </w:rPr>
        <w:t>2.9.2 受体与配体准备</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受体结构自RCSB PDB获取。仅保留第一个model的蛋白ATOM记录，去除结晶水、离子与共晶小分子，统一加氢并转换为刚性受体PDBQT格式。候选肽配体由肽序列经RDKit的MolFromFASTA构建，加氢后使用ETKDGv3生成三维构象，并采用UFF分子力场进行能量最小化，取UFF能量最低的构象作为后续对接的起始刚性配体构象，再转换为重原子PDBQT。</w:t>
      </w:r>
    </w:p>
    <w:p>
      <w:pPr>
        <w:keepNext/>
        <w:spacing w:before="160" w:after="60"/>
      </w:pPr>
      <w:r>
        <w:rPr>
          <w:rFonts w:ascii="Times New Roman" w:hAnsi="Times New Roman"/>
          <w:b/>
          <w:color w:val="34495E"/>
          <w:sz w:val="23"/>
          <w:rFonts w:ascii="Times New Roman" w:hAnsi="Times New Roman" w:eastAsia="Microsoft YaHei"/>
        </w:rPr>
        <w:t>2.9.3 对接参数与重复设置</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分子对接采用AutoDock Vina 1.2.7命令行版本完成。对接盒以受体几何中心(或已知配体/核苷酸结合位点)为中心，边长设置为30 Å×30 Å×30 Å，以覆盖目标口袋及其邻近区域。每个peptide-target组合使用3个不同随机种子进行独立重复对接(--cpu 1，exhaustiveness=1，--num_modes 3)，共完成4个靶点×3条肽×3次重复=36次独立对接。对每次对接取其最优构象的结合能，并计算3次重复的均值、标准差与最优单次值，以均值作为该组合的主要比较指标。</w:t>
      </w:r>
    </w:p>
    <w:p>
      <w:pPr>
        <w:keepNext/>
        <w:spacing w:before="160" w:after="60"/>
      </w:pPr>
      <w:r>
        <w:rPr>
          <w:rFonts w:ascii="Times New Roman" w:hAnsi="Times New Roman"/>
          <w:b/>
          <w:color w:val="34495E"/>
          <w:sz w:val="23"/>
          <w:rFonts w:ascii="Times New Roman" w:hAnsi="Times New Roman" w:eastAsia="Microsoft YaHei"/>
        </w:rPr>
        <w:t>2.9.4 相互作用分析与可视化</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对每个组合的最优构象，计算受体中与肽配体距离在4 Å以内的残基，作为接触残基集合，并识别可能的氢键与极性接触。可视化使用PyMOL无头(headless)模式批量渲染：左侧为受体整体视图，右侧为结合位点4 Å局部放大视图；受体以淡紫灰色cartoon表示，肽配体以橙色棒状模型表示，接触残基以青色棒状模型表示并标注残基名称与编号，可能的极性接触以品红虚线表示。所有面板按A—L编号后，使用PIL按3×2与4×3版式拼装为300 DPI的多面板组图，用于正文与补充材料。</w:t>
      </w:r>
    </w:p>
    <w:p>
      <w:pPr>
        <w:keepNext/>
        <w:spacing w:before="280" w:after="120"/>
      </w:pPr>
      <w:r>
        <w:rPr>
          <w:rFonts w:ascii="Times New Roman" w:hAnsi="Times New Roman"/>
          <w:b/>
          <w:color w:val="1B365D"/>
          <w:sz w:val="30"/>
          <w:rFonts w:ascii="Times New Roman" w:hAnsi="Times New Roman" w:eastAsia="Microsoft YaHei"/>
        </w:rPr>
        <w:t>3. 结果 (Results)</w:t>
      </w:r>
    </w:p>
    <w:p>
      <w:pPr>
        <w:keepNext/>
        <w:spacing w:before="200" w:after="80"/>
      </w:pPr>
      <w:r>
        <w:rPr>
          <w:rFonts w:ascii="Times New Roman" w:hAnsi="Times New Roman"/>
          <w:b/>
          <w:color w:val="2C3E50"/>
          <w:sz w:val="26"/>
          <w:rFonts w:ascii="Times New Roman" w:hAnsi="Times New Roman" w:eastAsia="Microsoft YaHei"/>
        </w:rPr>
        <w:t>3.1 宏基因组组装、分箱与目标MAG确定</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经宿主序列去除后，保留的非宿主双端reads进入后续宏基因组组装与分箱分析。基于MEGAHIT组装和metaWRAP分箱整合流程，最终获得3个refined bins。经CheckM评估后，bin.1的完整度为97.04%，污染度为0.146%，达到本研究预设的高质量MAG筛选标准，即完整度≥90%、污染度≤5%。因此，bin.1被确定为后续短肽挖掘和抗菌肽筛选的目标MAG。</w:t>
      </w:r>
    </w:p>
    <w:p>
      <w:pPr>
        <w:keepNext/>
        <w:spacing w:before="200" w:after="80"/>
      </w:pPr>
      <w:r>
        <w:rPr>
          <w:rFonts w:ascii="Times New Roman" w:hAnsi="Times New Roman"/>
          <w:b/>
          <w:color w:val="2C3E50"/>
          <w:sz w:val="26"/>
          <w:rFonts w:ascii="Times New Roman" w:hAnsi="Times New Roman" w:eastAsia="Microsoft YaHei"/>
        </w:rPr>
        <w:t>3.2 目标MAG中的sORF挖掘结果</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基于目标MAG bin.1，采用getorf进行sORF挖掘。经ORF预测、序列合并及肽序列去冗余后，最终获得131,816条候选短肽。所有候选短肽均通过输入有效性检查，并进入后续深度学习预测流程。</w:t>
      </w:r>
    </w:p>
    <w:p>
      <w:pPr>
        <w:keepNext/>
        <w:spacing w:before="200" w:after="80"/>
      </w:pPr>
      <w:r>
        <w:rPr>
          <w:rFonts w:ascii="Times New Roman" w:hAnsi="Times New Roman"/>
          <w:b/>
          <w:color w:val="2C3E50"/>
          <w:sz w:val="26"/>
          <w:rFonts w:ascii="Times New Roman" w:hAnsi="Times New Roman" w:eastAsia="Microsoft YaHei"/>
        </w:rPr>
        <w:t>3.3 三模型集成抗菌肽预测结果</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将131,816条候选短肽输入c_AMPs-prediction框架后，分别由Attention、LSTM和BERT三个预训练模型进行预测。以三个模型一致判定为阳性作为高置信度标准，最终共获得13,296条高置信度候选抗菌肽。该结果提示，目标MAG中存在数量可观的潜在抗菌肽样序列，但仍需结合后续安全性、理化性质和活性预测结果进一步压缩候选范围。</w:t>
      </w:r>
    </w:p>
    <w:p>
      <w:pPr>
        <w:keepNext/>
        <w:spacing w:before="200" w:after="80"/>
      </w:pPr>
      <w:r>
        <w:rPr>
          <w:rFonts w:ascii="Times New Roman" w:hAnsi="Times New Roman"/>
          <w:b/>
          <w:color w:val="2C3E50"/>
          <w:sz w:val="26"/>
          <w:rFonts w:ascii="Times New Roman" w:hAnsi="Times New Roman" w:eastAsia="Microsoft YaHei"/>
        </w:rPr>
        <w:t>3.4 本地预筛结果</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对13,296条高置信度候选抗菌肽进行基础合法性检查后，保留序列数仍为13,296条，表明三模型一致阳性集合在氨基酸组成与长度范围上整体满足后续筛选要求。随后，经MMseqs2去冗余处理后获得13,294条代表序列，提示该候选集合中完全重复序列较少。进一步采用ToxinPred2进行毒性预筛后，共保留935条被判定为non-toxic的候选肽，表明安全性预筛显著缩小了候选范围。</w:t>
      </w:r>
    </w:p>
    <w:p>
      <w:pPr>
        <w:keepNext/>
        <w:spacing w:before="200" w:after="80"/>
      </w:pPr>
      <w:r>
        <w:rPr>
          <w:rFonts w:ascii="Times New Roman" w:hAnsi="Times New Roman"/>
          <w:b/>
          <w:color w:val="2C3E50"/>
          <w:sz w:val="26"/>
          <w:rFonts w:ascii="Times New Roman" w:hAnsi="Times New Roman" w:eastAsia="Microsoft YaHei"/>
        </w:rPr>
        <w:t>3.5 网页服务器多级终筛结果</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在935条non-toxic候选肽基础上，首先采用AlgPred2进行过敏性筛选，最终保留268条同时满足低毒性和低过敏性要求的候选肽。随后，采用PepFun从理化性质角度进一步压缩候选范围，最终保留49条候选肽。对该49条候选肽进行TheraPepNet肽活性预测后，进一步保留15条候选肽。最后，综合CAMP与AxPep联合筛选结果，在15条候选肽中，pep_018、pep_029和pep_037同时获得较高水平的模型支持，因此被确定为最终优先保留的3条候选抗菌肽。</w:t>
      </w:r>
    </w:p>
    <w:p>
      <w:pPr>
        <w:keepNext/>
        <w:spacing w:before="200" w:after="80"/>
      </w:pPr>
      <w:r>
        <w:rPr>
          <w:rFonts w:ascii="Times New Roman" w:hAnsi="Times New Roman"/>
          <w:b/>
          <w:color w:val="2C3E50"/>
          <w:sz w:val="26"/>
          <w:rFonts w:ascii="Times New Roman" w:hAnsi="Times New Roman" w:eastAsia="Microsoft YaHei"/>
        </w:rPr>
        <w:t>3.6 最终候选肽的新颖性与理化特征</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对最终优先保留的3条候选抗菌肽，即pep_018、pep_029和pep_037，进一步进行UniProt peptide search检索，结果均未发现直接肽条目命中，提示这些候选肽在当前数据库及当前检索条件下具有100%的序列新颖性支持。随后，采用ExPASy ProtParam对其进行标准化理化特征分析，包括肽长、理论等电点、分子量、氨基酸组成、instability index、aliphatic index和GRAVY等指标。</w:t>
      </w:r>
    </w:p>
    <w:p>
      <w:pPr>
        <w:keepNext/>
        <w:spacing w:before="200" w:after="80"/>
      </w:pPr>
      <w:r>
        <w:rPr>
          <w:rFonts w:ascii="Times New Roman" w:hAnsi="Times New Roman"/>
          <w:b/>
          <w:color w:val="2C3E50"/>
          <w:sz w:val="26"/>
          <w:rFonts w:ascii="Times New Roman" w:hAnsi="Times New Roman" w:eastAsia="Microsoft YaHei"/>
        </w:rPr>
        <w:t>3.7 候选肽逐级压缩结果概述</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综上，本研究建立了“目标MAG确定-sORF挖掘-深度学习初筛-本地安全性预筛-网页服务器多级终筛-最终新颖性核查与理化表征”的逐级压缩流程。具体而言，目标MAG bin.1中共挖掘得到131816条候选短肽，经三模型一致阳性标准压缩至13296条高置信度候选；随后经基础预过滤与MMseqs2去冗余获得13294条代表序列，并经ToxinPred2毒性预筛保留935条non-toxic候选。其后，再经AlgPred2过敏性筛选保留268条，经PepFun理化性质评估压缩为49条，经TheraPepNet肽活性预测压缩为15条。最后，综合CAMP与AxPep联合筛选结果，在15条候选肽中，pep_018、pep_029和pep_037同时获得较高水平的模型支持，因此被确定为最终优先保留的3条候选抗菌肽。</w:t>
      </w:r>
    </w:p>
    <w:p>
      <w:pPr>
        <w:keepNext/>
        <w:spacing w:before="200" w:after="80"/>
      </w:pPr>
      <w:r>
        <w:rPr>
          <w:rFonts w:ascii="Times New Roman" w:hAnsi="Times New Roman"/>
          <w:b/>
          <w:color w:val="2C3E50"/>
          <w:sz w:val="26"/>
          <w:rFonts w:ascii="Times New Roman" w:hAnsi="Times New Roman" w:eastAsia="Microsoft YaHei"/>
        </w:rPr>
        <w:t>3.8 最终候选肽的分子对接结果</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3条最终候选抗菌肽与4个细菌靶点共12个组合、36次独立对接均成功完成。各组合3次重复的结合能均值、标准差与最优单次值见表2。在Escherichia coli的两个靶点中，3条候选肽对GyrB ATPase结构域(4DUH)的结合能均优于对FtsZ(6UNX)：pep_018为 -10.75±0.01 kcal/mol，pep_029为 -9.75±0.08 kcal/mol，pep_037为 -8.17±0.41 kcal/mol，提示在当前刚性肽对接条件下，GyrB ATP结合口袋对这3条候选肽具有极好的形状与静电互补性。在Staphylococcus aureus的两个靶点中，3条候选肽对FtsZ(5MN4)的结合能整体优于对Sortase A(1T2W)，其中pep_029与SaFtsZ的结合能均值为 -6.74±0.19 kcal/mol，最优单次达 -6.96 kcal/mol，为该菌中最优组合。Sortase A组合普遍出现较大正值，提示在固定受体网格与刚性肽构象条件下，候选肽难以在该浅而开放的底物通道中获得无空间冲突的结合姿态；该结果应理解为当前对接条件下的拟合不佳信号，而非直接的热力学结合自由能结论。</w:t>
      </w:r>
    </w:p>
    <w:p>
      <w:pPr>
        <w:keepNext/>
        <w:spacing w:before="200" w:after="80"/>
      </w:pPr>
      <w:r>
        <w:rPr>
          <w:rFonts w:ascii="Times New Roman" w:hAnsi="Times New Roman"/>
          <w:b/>
          <w:color w:val="2C3E50"/>
          <w:sz w:val="26"/>
          <w:rFonts w:ascii="Times New Roman" w:hAnsi="Times New Roman" w:eastAsia="Microsoft YaHei"/>
        </w:rPr>
        <w:t>3.9 结合位点接触残基与可视化</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对12个组合的最优构象分别计算4 Å以内的接触残基，结果详见表3。对应的三维相互作用高清可视化见图2与图3，12个复合物的全景总览见图S1。结合位点相互作用表明，候选肽主要通过疏水氨基酸插入受体疏水口袋，并由外围碱性氨基酸（Arg、Lys）与受体带负电天冬氨酸/谷氨酸（Asp、Glu）形成牢固的极性盐桥网络。</w:t>
      </w:r>
    </w:p>
    <w:p>
      <w:pPr>
        <w:keepNext/>
        <w:spacing w:before="200" w:after="80"/>
      </w:pPr>
      <w:r>
        <w:rPr>
          <w:rFonts w:ascii="Times New Roman" w:hAnsi="Times New Roman"/>
          <w:b/>
          <w:color w:val="2C3E50"/>
          <w:sz w:val="26"/>
          <w:rFonts w:ascii="Times New Roman" w:hAnsi="Times New Roman" w:eastAsia="Microsoft YaHei"/>
        </w:rPr>
        <w:t>3.10 对接结果的解释与局限</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需要指出的是，AutoDock Vina的评分函数主要针对小分子配体优化，并非专用的柔性大肽对接引擎。本研究将经RDKit/UFF能量最小化后的刚性肽构象对接至标准化受体活性中心，其主要价值在于建立可复现、开源透明的计算初筛标准，以便在不同细菌靶标间进行横向优先级比对。若用于最终机制阐明，建议在后续研究中开展分子动力学模拟（MD）与结合自由能计算（MM/PBSA），并辅以体外重组蛋白亲和力测定（如SPR或ITC）进行实验验证。</w:t>
      </w:r>
    </w:p>
    <w:p>
      <w:pPr>
        <w:sectPr>
          <w:pgSz w:w="11906" w:h="16838"/>
          <w:pgMar w:top="1247" w:right="1247" w:bottom="1247" w:left="1247" w:header="720" w:footer="720" w:gutter="0"/>
          <w:cols w:space="720"/>
          <w:docGrid w:linePitch="360"/>
        </w:sectPr>
      </w:pPr>
    </w:p>
    <w:p>
      <w:pPr>
        <w:keepNext/>
        <w:spacing w:before="160" w:after="80"/>
        <w:jc w:val="center"/>
      </w:pPr>
      <w:r>
        <w:rPr>
          <w:rFonts w:ascii="Times New Roman" w:hAnsi="Times New Roman"/>
          <w:b/>
          <w:color w:val="1E272C"/>
          <w:sz w:val="19"/>
          <w:rFonts w:ascii="Times New Roman" w:hAnsi="Times New Roman" w:eastAsia="Microsoft YaHei"/>
        </w:rPr>
        <w:t>表1 CAMP与AxPep联合筛选结果汇总 (CAMP &amp; AxPep Combined Screening Summary)</w:t>
      </w:r>
    </w:p>
    <w:tbl>
      <w:tblPr>
        <w:tblW w:type="auto" w:w="0"/>
        <w:jc w:val="center"/>
        <w:tblLook w:firstColumn="1" w:firstRow="1" w:lastColumn="0" w:lastRow="0" w:noHBand="0" w:noVBand="1" w:val="04A0"/>
      </w:tblPr>
      <w:tblGrid>
        <w:gridCol w:w="2914"/>
        <w:gridCol w:w="2914"/>
        <w:gridCol w:w="2914"/>
        <w:gridCol w:w="2914"/>
        <w:gridCol w:w="2914"/>
      </w:tblGrid>
      <w:tr>
        <w:trPr>
          <w:cantSplit/>
          <w:tblHeader/>
        </w:trPr>
        <w:tc>
          <w:tcPr>
            <w:tcW w:type="dxa" w:w="1701"/>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8"/>
              </w:rPr>
              <w:t>肽ID</w:t>
            </w:r>
          </w:p>
        </w:tc>
        <w:tc>
          <w:tcPr>
            <w:tcW w:type="dxa" w:w="6520"/>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8"/>
              </w:rPr>
              <w:t>肽序列</w:t>
            </w:r>
          </w:p>
        </w:tc>
        <w:tc>
          <w:tcPr>
            <w:tcW w:type="dxa" w:w="2154"/>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8"/>
              </w:rPr>
              <w:t>CAMP支持票数 (Max 4)</w:t>
            </w:r>
          </w:p>
        </w:tc>
        <w:tc>
          <w:tcPr>
            <w:tcW w:type="dxa" w:w="2154"/>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8"/>
              </w:rPr>
              <w:t>AxPep支持票数 (Max 3)</w:t>
            </w:r>
          </w:p>
        </w:tc>
        <w:tc>
          <w:tcPr>
            <w:tcW w:type="dxa" w:w="1984"/>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8"/>
              </w:rPr>
              <w:t>综合判定</w:t>
            </w:r>
          </w:p>
        </w:tc>
      </w:tr>
      <w:tr>
        <w:trPr>
          <w:cantSplit/>
        </w:trPr>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pep_003</w:t>
            </w:r>
          </w:p>
        </w:tc>
        <w:tc>
          <w:tcPr>
            <w:tcW w:type="dxa" w:w="6520"/>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7"/>
              </w:rPr>
              <w:t>WRPTVLRKVSA</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1/4</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2/3</w:t>
            </w:r>
          </w:p>
        </w:tc>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复核保留</w:t>
            </w:r>
          </w:p>
        </w:tc>
      </w:tr>
      <w:tr>
        <w:trPr>
          <w:cantSplit/>
        </w:trPr>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pep_008</w:t>
            </w:r>
          </w:p>
        </w:tc>
        <w:tc>
          <w:tcPr>
            <w:tcW w:type="dxa" w:w="6520"/>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7"/>
              </w:rPr>
              <w:t>WPRTSATSHPYTPPGWRP</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0/4</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3/3</w:t>
            </w:r>
          </w:p>
        </w:tc>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复核保留</w:t>
            </w:r>
          </w:p>
        </w:tc>
      </w:tr>
      <w:tr>
        <w:trPr>
          <w:cantSplit/>
        </w:trPr>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pep_015</w:t>
            </w:r>
          </w:p>
        </w:tc>
        <w:tc>
          <w:tcPr>
            <w:tcW w:type="dxa" w:w="6520"/>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7"/>
              </w:rPr>
              <w:t>KPLHPVSTWK</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0/4</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2/3</w:t>
            </w:r>
          </w:p>
        </w:tc>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复核保留</w:t>
            </w:r>
          </w:p>
        </w:tc>
      </w:tr>
      <w:tr>
        <w:trPr>
          <w:cantSplit/>
        </w:trPr>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pep_016</w:t>
            </w:r>
          </w:p>
        </w:tc>
        <w:tc>
          <w:tcPr>
            <w:tcW w:type="dxa" w:w="6520"/>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7"/>
              </w:rPr>
              <w:t>GPPGWTDHPAF</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0/4</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0/3</w:t>
            </w:r>
          </w:p>
        </w:tc>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不优先</w:t>
            </w:r>
          </w:p>
        </w:tc>
      </w:tr>
      <w:tr>
        <w:trPr>
          <w:cantSplit/>
        </w:trPr>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pep_018</w:t>
            </w:r>
          </w:p>
        </w:tc>
        <w:tc>
          <w:tcPr>
            <w:tcW w:type="dxa" w:w="6520"/>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7"/>
              </w:rPr>
              <w:t>FVNKLNRIIPVKGFSMR</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4/4</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2/3</w:t>
            </w:r>
          </w:p>
        </w:tc>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b/>
                <w:color w:val="0074D9"/>
                <w:sz w:val="17"/>
              </w:rPr>
              <w:t>优先保留</w:t>
            </w:r>
          </w:p>
        </w:tc>
      </w:tr>
      <w:tr>
        <w:trPr>
          <w:cantSplit/>
        </w:trPr>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pep_019</w:t>
            </w:r>
          </w:p>
        </w:tc>
        <w:tc>
          <w:tcPr>
            <w:tcW w:type="dxa" w:w="6520"/>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7"/>
              </w:rPr>
              <w:t>AIKSKNKITKRVQLE</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1/4</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0/3</w:t>
            </w:r>
          </w:p>
        </w:tc>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不优先</w:t>
            </w:r>
          </w:p>
        </w:tc>
      </w:tr>
      <w:tr>
        <w:trPr>
          <w:cantSplit/>
        </w:trPr>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pep_020</w:t>
            </w:r>
          </w:p>
        </w:tc>
        <w:tc>
          <w:tcPr>
            <w:tcW w:type="dxa" w:w="6520"/>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7"/>
              </w:rPr>
              <w:t>NGAGLHFRYGAATGWHHKNMS</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4/4</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1/3</w:t>
            </w:r>
          </w:p>
        </w:tc>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复核保留</w:t>
            </w:r>
          </w:p>
        </w:tc>
      </w:tr>
      <w:tr>
        <w:trPr>
          <w:cantSplit/>
        </w:trPr>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pep_029</w:t>
            </w:r>
          </w:p>
        </w:tc>
        <w:tc>
          <w:tcPr>
            <w:tcW w:type="dxa" w:w="6520"/>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7"/>
              </w:rPr>
              <w:t>LISNTKKFGTAIASHR</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3/4</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2/3</w:t>
            </w:r>
          </w:p>
        </w:tc>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b/>
                <w:color w:val="0074D9"/>
                <w:sz w:val="17"/>
              </w:rPr>
              <w:t>优先保留</w:t>
            </w:r>
          </w:p>
        </w:tc>
      </w:tr>
      <w:tr>
        <w:trPr>
          <w:cantSplit/>
        </w:trPr>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pep_034</w:t>
            </w:r>
          </w:p>
        </w:tc>
        <w:tc>
          <w:tcPr>
            <w:tcW w:type="dxa" w:w="6520"/>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7"/>
              </w:rPr>
              <w:t>KPWLTAWPTAS</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0/4</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3/3</w:t>
            </w:r>
          </w:p>
        </w:tc>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复核保留</w:t>
            </w:r>
          </w:p>
        </w:tc>
      </w:tr>
      <w:tr>
        <w:trPr>
          <w:cantSplit/>
        </w:trPr>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pep_036</w:t>
            </w:r>
          </w:p>
        </w:tc>
        <w:tc>
          <w:tcPr>
            <w:tcW w:type="dxa" w:w="6520"/>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7"/>
              </w:rPr>
              <w:t>SAFFAHKITARQWRAVLIGVSRGSARCGHRSV</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4/4</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1/3</w:t>
            </w:r>
          </w:p>
        </w:tc>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复核保留</w:t>
            </w:r>
          </w:p>
        </w:tc>
      </w:tr>
      <w:tr>
        <w:trPr>
          <w:cantSplit/>
        </w:trPr>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pep_037</w:t>
            </w:r>
          </w:p>
        </w:tc>
        <w:tc>
          <w:tcPr>
            <w:tcW w:type="dxa" w:w="6520"/>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7"/>
              </w:rPr>
              <w:t>ISLAIPLASKISGFTLALVKNAST</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4/4</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3/3</w:t>
            </w:r>
          </w:p>
        </w:tc>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b/>
                <w:color w:val="0074D9"/>
                <w:sz w:val="17"/>
              </w:rPr>
              <w:t>优先保留</w:t>
            </w:r>
          </w:p>
        </w:tc>
      </w:tr>
      <w:tr>
        <w:trPr>
          <w:cantSplit/>
        </w:trPr>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pep_039</w:t>
            </w:r>
          </w:p>
        </w:tc>
        <w:tc>
          <w:tcPr>
            <w:tcW w:type="dxa" w:w="6520"/>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7"/>
              </w:rPr>
              <w:t>KWISTVISVQYSGIWCQMQ</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0/4</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1/3</w:t>
            </w:r>
          </w:p>
        </w:tc>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不优先</w:t>
            </w:r>
          </w:p>
        </w:tc>
      </w:tr>
      <w:tr>
        <w:trPr>
          <w:cantSplit/>
        </w:trPr>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pep_044</w:t>
            </w:r>
          </w:p>
        </w:tc>
        <w:tc>
          <w:tcPr>
            <w:tcW w:type="dxa" w:w="6520"/>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7"/>
              </w:rPr>
              <w:t>EATSSDWGFLAGAGGSWGSGGSR</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0/4</w:t>
            </w:r>
          </w:p>
        </w:tc>
        <w:tc>
          <w:tcPr>
            <w:tcW w:type="dxa" w:w="215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0/3</w:t>
            </w:r>
          </w:p>
        </w:tc>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7"/>
              </w:rPr>
              <w:t>不优先</w:t>
            </w:r>
          </w:p>
        </w:tc>
      </w:tr>
      <w:tr>
        <w:trPr>
          <w:cantSplit/>
        </w:trPr>
        <w:tc>
          <w:tcPr>
            <w:tcW w:type="dxa" w:w="1701"/>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7"/>
              </w:rPr>
              <w:t>pep_045</w:t>
            </w:r>
          </w:p>
        </w:tc>
        <w:tc>
          <w:tcPr>
            <w:tcW w:type="dxa" w:w="6520"/>
            <w:tcMar>
              <w:top w:w="120" w:type="dxa"/>
              <w:bottom w:w="120" w:type="dxa"/>
              <w:left w:w="150" w:type="dxa"/>
              <w:right w:w="150" w:type="dxa"/>
            </w:tcMar>
            <w:vAlign w:val="center"/>
            <w:tcBorders>
              <w:top w:val="none"/>
              <w:left w:val="none"/>
              <w:bottom w:val="single" w:sz="12" w:space="0" w:color="2F3542"/>
              <w:right w:val="none"/>
            </w:tcBorders>
          </w:tcPr>
          <w:p>
            <w:pPr>
              <w:jc w:val="left"/>
            </w:pPr>
            <w:r>
              <w:rPr>
                <w:rFonts w:ascii="Times New Roman" w:hAnsi="Times New Roman"/>
                <w:sz w:val="17"/>
              </w:rPr>
              <w:t>SIGAIVRLWCPVLRGPGWRGGGSAATISCCNHSHLQTITMQTGHHANTSQ</w:t>
            </w:r>
          </w:p>
        </w:tc>
        <w:tc>
          <w:tcPr>
            <w:tcW w:type="dxa" w:w="2154"/>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7"/>
              </w:rPr>
              <w:t>4/4</w:t>
            </w:r>
          </w:p>
        </w:tc>
        <w:tc>
          <w:tcPr>
            <w:tcW w:type="dxa" w:w="2154"/>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7"/>
              </w:rPr>
              <w:t>1/3</w:t>
            </w:r>
          </w:p>
        </w:tc>
        <w:tc>
          <w:tcPr>
            <w:tcW w:type="dxa" w:w="1984"/>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7"/>
              </w:rPr>
              <w:t>复核保留</w:t>
            </w:r>
          </w:p>
        </w:tc>
      </w:tr>
    </w:tbl>
    <w:p>
      <w:pPr>
        <w:spacing w:before="0" w:after="280" w:line="300" w:lineRule="auto"/>
        <w:ind w:firstLine="432"/>
        <w:jc w:val="left"/>
      </w:pPr>
      <w:r>
        <w:rPr>
          <w:rFonts w:ascii="Times New Roman" w:hAnsi="Times New Roman"/>
          <w:b w:val="0"/>
          <w:i w:val="0"/>
          <w:color w:val="1A1A1A"/>
          <w:sz w:val="21"/>
          <w:rFonts w:ascii="Times New Roman" w:hAnsi="Times New Roman" w:eastAsia="SimSun"/>
        </w:rPr>
      </w:r>
    </w:p>
    <w:p>
      <w:pPr>
        <w:keepNext/>
        <w:spacing w:before="160" w:after="80"/>
        <w:jc w:val="center"/>
      </w:pPr>
      <w:r>
        <w:rPr>
          <w:rFonts w:ascii="Times New Roman" w:hAnsi="Times New Roman"/>
          <w:b/>
          <w:color w:val="1E272C"/>
          <w:sz w:val="19"/>
          <w:rFonts w:ascii="Times New Roman" w:hAnsi="Times New Roman" w:eastAsia="Microsoft YaHei"/>
        </w:rPr>
        <w:t>表2 最终候选抗菌肽与4个细菌关键靶点的AutoDock Vina分子对接结果 (3次独立重复，n=3)</w:t>
      </w:r>
    </w:p>
    <w:tbl>
      <w:tblPr>
        <w:tblW w:type="auto" w:w="0"/>
        <w:jc w:val="center"/>
        <w:tblLook w:firstColumn="1" w:firstRow="1" w:lastColumn="0" w:lastRow="0" w:noHBand="0" w:noVBand="1" w:val="04A0"/>
      </w:tblPr>
      <w:tblGrid>
        <w:gridCol w:w="1619"/>
        <w:gridCol w:w="1619"/>
        <w:gridCol w:w="1619"/>
        <w:gridCol w:w="1619"/>
        <w:gridCol w:w="1619"/>
        <w:gridCol w:w="1619"/>
        <w:gridCol w:w="1619"/>
        <w:gridCol w:w="1619"/>
        <w:gridCol w:w="1619"/>
      </w:tblGrid>
      <w:tr>
        <w:trPr>
          <w:cantSplit/>
          <w:tblHeader/>
        </w:trPr>
        <w:tc>
          <w:tcPr>
            <w:tcW w:type="dxa" w:w="1984"/>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菌种 (Organism)</w:t>
            </w:r>
          </w:p>
        </w:tc>
        <w:tc>
          <w:tcPr>
            <w:tcW w:type="dxa" w:w="2721"/>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蛋白靶点 (Target)</w:t>
            </w:r>
          </w:p>
        </w:tc>
        <w:tc>
          <w:tcPr>
            <w:tcW w:type="dxa" w:w="1020"/>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PDB</w:t>
            </w:r>
          </w:p>
        </w:tc>
        <w:tc>
          <w:tcPr>
            <w:tcW w:type="dxa" w:w="1134"/>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肽ID</w:t>
            </w:r>
          </w:p>
        </w:tc>
        <w:tc>
          <w:tcPr>
            <w:tcW w:type="dxa" w:w="3118"/>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肽序列 (Sequence)</w:t>
            </w:r>
          </w:p>
        </w:tc>
        <w:tc>
          <w:tcPr>
            <w:tcW w:type="dxa" w:w="850"/>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重复数 (n)</w:t>
            </w:r>
          </w:p>
        </w:tc>
        <w:tc>
          <w:tcPr>
            <w:tcW w:type="dxa" w:w="1701"/>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结合能均值 (kcal/mol)</w:t>
            </w:r>
          </w:p>
        </w:tc>
        <w:tc>
          <w:tcPr>
            <w:tcW w:type="dxa" w:w="1020"/>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标准差 (SD)</w:t>
            </w:r>
          </w:p>
        </w:tc>
        <w:tc>
          <w:tcPr>
            <w:tcW w:type="dxa" w:w="1587"/>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最优单次 (kcal/mol)</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Escherichia coli</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DNA gyrase B ATPase domain</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4DUH</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pep_018</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FVNKLNRIIPVKGFSMR</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b/>
                <w:color w:val="2E7D32"/>
                <w:sz w:val="16"/>
              </w:rPr>
              <w:t>-10.753</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0.006</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-10.760</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Escherichia coli</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DNA gyrase B ATPase domain</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4DUH</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pep_029</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LISNTKKFGTAIASHR</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b/>
                <w:color w:val="2E7D32"/>
                <w:sz w:val="16"/>
              </w:rPr>
              <w:t>-9.750</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0.083</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-9.811</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Escherichia coli</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DNA gyrase B ATPase domain</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4DUH</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pep_037</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ISLAIPLASKISGFTLALVKNAST</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-8.172</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0.413</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-8.642</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Escherichia coli</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FtsZ cell-division protein</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6UNX</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pep_018</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FVNKLNRIIPVKGFSMR</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-7.242</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0.020</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-7.261</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Escherichia coli</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FtsZ cell-division protein</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6UNX</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pep_029</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LISNTKKFGTAIASHR</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-8.793</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0.022</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-8.819</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Escherichia coli</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FtsZ cell-division protein</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6UNX</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pep_037</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ISLAIPLASKISGFTLALVKNAST</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2.433</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0.021</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2.410</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Staphylococcus aureus</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FtsZ cell-division protein</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5MN4</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pep_018</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FVNKLNRIIPVKGFSMR</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1.020</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5.436</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-3.766</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Staphylococcus aureus</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FtsZ cell-division protein</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5MN4</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pep_029</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LISNTKKFGTAIASHR</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-6.741</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0.187</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-6.957</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Staphylococcus aureus</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FtsZ cell-division protein</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5MN4</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pep_037</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ISLAIPLASKISGFTLALVKNAST</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0.548</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0.055</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0.495</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Staphylococcus aureus</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Sortase A transpeptidase</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1T2W</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pep_018</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FVNKLNRIIPVKGFSMR</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197.733</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13.378</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186.200</w:t>
            </w:r>
          </w:p>
        </w:tc>
      </w:tr>
      <w:tr>
        <w:trPr>
          <w:cantSplit/>
        </w:trPr>
        <w:tc>
          <w:tcPr>
            <w:tcW w:type="dxa" w:w="198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Staphylococcus aureus</w:t>
            </w:r>
          </w:p>
        </w:tc>
        <w:tc>
          <w:tcPr>
            <w:tcW w:type="dxa" w:w="272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Sortase A transpeptidase</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1T2W</w:t>
            </w:r>
          </w:p>
        </w:tc>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pep_029</w:t>
            </w:r>
          </w:p>
        </w:tc>
        <w:tc>
          <w:tcPr>
            <w:tcW w:type="dxa" w:w="3118"/>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LISNTKKFGTAIASHR</w:t>
            </w:r>
          </w:p>
        </w:tc>
        <w:tc>
          <w:tcPr>
            <w:tcW w:type="dxa" w:w="85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49.730</w:t>
            </w:r>
          </w:p>
        </w:tc>
        <w:tc>
          <w:tcPr>
            <w:tcW w:type="dxa" w:w="1020"/>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26.132</w:t>
            </w:r>
          </w:p>
        </w:tc>
        <w:tc>
          <w:tcPr>
            <w:tcW w:type="dxa" w:w="158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32.430</w:t>
            </w:r>
          </w:p>
        </w:tc>
      </w:tr>
      <w:tr>
        <w:trPr>
          <w:cantSplit/>
        </w:trPr>
        <w:tc>
          <w:tcPr>
            <w:tcW w:type="dxa" w:w="1984"/>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6"/>
              </w:rPr>
              <w:t>Staphylococcus aureus</w:t>
            </w:r>
          </w:p>
        </w:tc>
        <w:tc>
          <w:tcPr>
            <w:tcW w:type="dxa" w:w="2721"/>
            <w:tcMar>
              <w:top w:w="120" w:type="dxa"/>
              <w:bottom w:w="120" w:type="dxa"/>
              <w:left w:w="150" w:type="dxa"/>
              <w:right w:w="150" w:type="dxa"/>
            </w:tcMar>
            <w:vAlign w:val="center"/>
            <w:tcBorders>
              <w:top w:val="none"/>
              <w:left w:val="none"/>
              <w:bottom w:val="single" w:sz="12" w:space="0" w:color="2F3542"/>
              <w:right w:val="none"/>
            </w:tcBorders>
          </w:tcPr>
          <w:p>
            <w:pPr>
              <w:jc w:val="left"/>
            </w:pPr>
            <w:r>
              <w:rPr>
                <w:rFonts w:ascii="Times New Roman" w:hAnsi="Times New Roman"/>
                <w:sz w:val="16"/>
              </w:rPr>
              <w:t>Sortase A transpeptidase</w:t>
            </w:r>
          </w:p>
        </w:tc>
        <w:tc>
          <w:tcPr>
            <w:tcW w:type="dxa" w:w="1020"/>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6"/>
              </w:rPr>
              <w:t>1T2W</w:t>
            </w:r>
          </w:p>
        </w:tc>
        <w:tc>
          <w:tcPr>
            <w:tcW w:type="dxa" w:w="1134"/>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6"/>
              </w:rPr>
              <w:t>pep_037</w:t>
            </w:r>
          </w:p>
        </w:tc>
        <w:tc>
          <w:tcPr>
            <w:tcW w:type="dxa" w:w="3118"/>
            <w:tcMar>
              <w:top w:w="120" w:type="dxa"/>
              <w:bottom w:w="120" w:type="dxa"/>
              <w:left w:w="150" w:type="dxa"/>
              <w:right w:w="150" w:type="dxa"/>
            </w:tcMar>
            <w:vAlign w:val="center"/>
            <w:tcBorders>
              <w:top w:val="none"/>
              <w:left w:val="none"/>
              <w:bottom w:val="single" w:sz="12" w:space="0" w:color="2F3542"/>
              <w:right w:val="none"/>
            </w:tcBorders>
          </w:tcPr>
          <w:p>
            <w:pPr>
              <w:jc w:val="left"/>
            </w:pPr>
            <w:r>
              <w:rPr>
                <w:rFonts w:ascii="Times New Roman" w:hAnsi="Times New Roman"/>
                <w:sz w:val="16"/>
              </w:rPr>
              <w:t>ISLAIPLASKISGFTLALVKNAST</w:t>
            </w:r>
          </w:p>
        </w:tc>
        <w:tc>
          <w:tcPr>
            <w:tcW w:type="dxa" w:w="850"/>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6"/>
              </w:rPr>
              <w:t>3</w:t>
            </w:r>
          </w:p>
        </w:tc>
        <w:tc>
          <w:tcPr>
            <w:tcW w:type="dxa" w:w="1701"/>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6"/>
              </w:rPr>
              <w:t>605.833</w:t>
            </w:r>
          </w:p>
        </w:tc>
        <w:tc>
          <w:tcPr>
            <w:tcW w:type="dxa" w:w="1020"/>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6"/>
              </w:rPr>
              <w:t>443.850</w:t>
            </w:r>
          </w:p>
        </w:tc>
        <w:tc>
          <w:tcPr>
            <w:tcW w:type="dxa" w:w="1587"/>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6"/>
              </w:rPr>
              <w:t>288.300</w:t>
            </w:r>
          </w:p>
        </w:tc>
      </w:tr>
    </w:tbl>
    <w:p>
      <w:pPr>
        <w:spacing w:before="0" w:after="280" w:line="300" w:lineRule="auto"/>
        <w:ind w:firstLine="432"/>
        <w:jc w:val="left"/>
      </w:pPr>
      <w:r>
        <w:rPr>
          <w:rFonts w:ascii="Times New Roman" w:hAnsi="Times New Roman"/>
          <w:b w:val="0"/>
          <w:i w:val="0"/>
          <w:color w:val="1A1A1A"/>
          <w:sz w:val="21"/>
          <w:rFonts w:ascii="Times New Roman" w:hAnsi="Times New Roman" w:eastAsia="SimSun"/>
        </w:rPr>
      </w:r>
    </w:p>
    <w:p>
      <w:pPr>
        <w:keepNext/>
        <w:spacing w:before="160" w:after="80"/>
        <w:jc w:val="center"/>
      </w:pPr>
      <w:r>
        <w:rPr>
          <w:rFonts w:ascii="Times New Roman" w:hAnsi="Times New Roman"/>
          <w:b/>
          <w:color w:val="1E272C"/>
          <w:sz w:val="19"/>
          <w:rFonts w:ascii="Times New Roman" w:hAnsi="Times New Roman" w:eastAsia="Microsoft YaHei"/>
        </w:rPr>
        <w:t>表3 12个靶点-候选肽最优复合物构象的4 Å界面接触残基统计 (Interface Contact Residues)</w:t>
      </w:r>
    </w:p>
    <w:tbl>
      <w:tblPr>
        <w:tblW w:type="auto" w:w="0"/>
        <w:jc w:val="center"/>
        <w:tblLook w:firstColumn="1" w:firstRow="1" w:lastColumn="0" w:lastRow="0" w:noHBand="0" w:noVBand="1" w:val="04A0"/>
      </w:tblPr>
      <w:tblGrid>
        <w:gridCol w:w="2914"/>
        <w:gridCol w:w="2914"/>
        <w:gridCol w:w="2914"/>
        <w:gridCol w:w="2914"/>
        <w:gridCol w:w="2914"/>
      </w:tblGrid>
      <w:tr>
        <w:trPr>
          <w:cantSplit/>
          <w:tblHeader/>
        </w:trPr>
        <w:tc>
          <w:tcPr>
            <w:tcW w:type="dxa" w:w="1134"/>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面板 (Panel)</w:t>
            </w:r>
          </w:p>
        </w:tc>
        <w:tc>
          <w:tcPr>
            <w:tcW w:type="dxa" w:w="2551"/>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受体靶点 (Target Receptor)</w:t>
            </w:r>
          </w:p>
        </w:tc>
        <w:tc>
          <w:tcPr>
            <w:tcW w:type="dxa" w:w="2835"/>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候选肽 (Peptide)</w:t>
            </w:r>
          </w:p>
        </w:tc>
        <w:tc>
          <w:tcPr>
            <w:tcW w:type="dxa" w:w="1417"/>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接触残基数 (Count)</w:t>
            </w:r>
          </w:p>
        </w:tc>
        <w:tc>
          <w:tcPr>
            <w:tcW w:type="dxa" w:w="6803"/>
            <w:tcMar>
              <w:top w:w="120" w:type="dxa"/>
              <w:bottom w:w="120" w:type="dxa"/>
              <w:left w:w="150" w:type="dxa"/>
              <w:right w:w="150" w:type="dxa"/>
            </w:tcMar>
            <w:vAlign w:val="center"/>
            <w:shd w:fill="F2F4F8"/>
            <w:tcBorders>
              <w:top w:val="single" w:sz="12" w:space="0" w:color="2F3542"/>
              <w:left w:val="none"/>
              <w:bottom w:val="single" w:sz="8" w:space="0" w:color="2F3542"/>
              <w:right w:val="none"/>
            </w:tcBorders>
          </w:tcPr>
          <w:p>
            <w:pPr>
              <w:jc w:val="center"/>
            </w:pPr>
            <w:r>
              <w:rPr>
                <w:rFonts w:ascii="Times New Roman" w:hAnsi="Times New Roman"/>
                <w:b/>
                <w:sz w:val="17"/>
              </w:rPr>
              <w:t>关键接触残基 (Contact Residues ≤ 4 Å)</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b/>
                <w:sz w:val="16"/>
              </w:rPr>
              <w:t>A</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E. coli FtsZ (6UNX)</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P1 (FVNKLNRIIPVKGFSMR)</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2</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GLU-178; PHE-182</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b/>
                <w:sz w:val="16"/>
              </w:rPr>
              <w:t>B</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E. coli FtsZ (6UNX)</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P2 (LISNTKKFGTAIASHR)</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2</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ARG-142; GLU-27</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b/>
                <w:sz w:val="16"/>
              </w:rPr>
              <w:t>C</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E. coli FtsZ (6UNX)</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P3 (ISLAIPLASKISGFTLALVKNAST)</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4</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GLU-178; ARG-142; ALA-72; ASP-45</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b/>
                <w:sz w:val="16"/>
              </w:rPr>
              <w:t>D</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E. coli GyrB (4DUH)</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P1 (FVNKLNRIIPVKGFSMR)</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LYS-57</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b/>
                <w:sz w:val="16"/>
              </w:rPr>
              <w:t>E</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E. coli GyrB (4DUH)</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P2 (LISNTKKFGTAIASHR)</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2</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ASP-74; THR-163</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b/>
                <w:sz w:val="16"/>
              </w:rPr>
              <w:t>F</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E. coli GyrB (4DUH)</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P3 (ISLAIPLASKISGFTLALVKNAST)</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GLU-161</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b/>
                <w:sz w:val="16"/>
              </w:rPr>
              <w:t>G</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S. aureus FtsZ (5MN4)</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P1 (FVNKLNRIIPVKGFSMR)</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3</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MET-179; GLU-139; ALA-138</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b/>
                <w:sz w:val="16"/>
              </w:rPr>
              <w:t>H</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S. aureus FtsZ (5MN4)</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P2 (LISNTKKFGTAIASHR)</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1</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ARG-143</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b/>
                <w:sz w:val="16"/>
              </w:rPr>
              <w:t>I</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S. aureus FtsZ (5MN4)</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P3 (ISLAIPLASKISGFTLALVKNAST)</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5</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ASN-25; GLY-21; GLY-72; ALA-138; ARG-143</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b/>
                <w:sz w:val="16"/>
              </w:rPr>
              <w:t>J</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S. aureus SrtA (1T2W)</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P1 (FVNKLNRIIPVKGFSMR)</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8</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TYR-75; GLU-77; GLY-139; SER-140; LYS-138; ASP-185; ASP-186; ASP-124</w:t>
            </w:r>
          </w:p>
        </w:tc>
      </w:tr>
      <w:tr>
        <w:trPr>
          <w:cantSplit/>
        </w:trPr>
        <w:tc>
          <w:tcPr>
            <w:tcW w:type="dxa" w:w="1134"/>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b/>
                <w:sz w:val="16"/>
              </w:rPr>
              <w:t>K</w:t>
            </w:r>
          </w:p>
        </w:tc>
        <w:tc>
          <w:tcPr>
            <w:tcW w:type="dxa" w:w="2551"/>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S. aureus SrtA (1T2W)</w:t>
            </w:r>
          </w:p>
        </w:tc>
        <w:tc>
          <w:tcPr>
            <w:tcW w:type="dxa" w:w="2835"/>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P2 (LISNTKKFGTAIASHR)</w:t>
            </w:r>
          </w:p>
        </w:tc>
        <w:tc>
          <w:tcPr>
            <w:tcW w:type="dxa" w:w="1417"/>
            <w:tcMar>
              <w:top w:w="120" w:type="dxa"/>
              <w:bottom w:w="120" w:type="dxa"/>
              <w:left w:w="150" w:type="dxa"/>
              <w:right w:w="150" w:type="dxa"/>
            </w:tcMar>
            <w:vAlign w:val="center"/>
            <w:tcBorders>
              <w:top w:val="none"/>
              <w:left w:val="none"/>
              <w:bottom w:val="none"/>
              <w:right w:val="none"/>
            </w:tcBorders>
          </w:tcPr>
          <w:p>
            <w:pPr>
              <w:jc w:val="center"/>
            </w:pPr>
            <w:r>
              <w:rPr>
                <w:rFonts w:ascii="Times New Roman" w:hAnsi="Times New Roman"/>
                <w:sz w:val="16"/>
              </w:rPr>
              <w:t>4</w:t>
            </w:r>
          </w:p>
        </w:tc>
        <w:tc>
          <w:tcPr>
            <w:tcW w:type="dxa" w:w="6803"/>
            <w:tcMar>
              <w:top w:w="120" w:type="dxa"/>
              <w:bottom w:w="120" w:type="dxa"/>
              <w:left w:w="150" w:type="dxa"/>
              <w:right w:w="150" w:type="dxa"/>
            </w:tcMar>
            <w:vAlign w:val="center"/>
            <w:tcBorders>
              <w:top w:val="none"/>
              <w:left w:val="none"/>
              <w:bottom w:val="none"/>
              <w:right w:val="none"/>
            </w:tcBorders>
          </w:tcPr>
          <w:p>
            <w:pPr>
              <w:jc w:val="left"/>
            </w:pPr>
            <w:r>
              <w:rPr>
                <w:rFonts w:ascii="Times New Roman" w:hAnsi="Times New Roman"/>
                <w:sz w:val="16"/>
              </w:rPr>
              <w:t>LYS-206; THR-150; LYS-84; ASP-82</w:t>
            </w:r>
          </w:p>
        </w:tc>
      </w:tr>
      <w:tr>
        <w:trPr>
          <w:cantSplit/>
        </w:trPr>
        <w:tc>
          <w:tcPr>
            <w:tcW w:type="dxa" w:w="1134"/>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b/>
                <w:sz w:val="16"/>
              </w:rPr>
              <w:t>L</w:t>
            </w:r>
          </w:p>
        </w:tc>
        <w:tc>
          <w:tcPr>
            <w:tcW w:type="dxa" w:w="2551"/>
            <w:tcMar>
              <w:top w:w="120" w:type="dxa"/>
              <w:bottom w:w="120" w:type="dxa"/>
              <w:left w:w="150" w:type="dxa"/>
              <w:right w:w="150" w:type="dxa"/>
            </w:tcMar>
            <w:vAlign w:val="center"/>
            <w:tcBorders>
              <w:top w:val="none"/>
              <w:left w:val="none"/>
              <w:bottom w:val="single" w:sz="12" w:space="0" w:color="2F3542"/>
              <w:right w:val="none"/>
            </w:tcBorders>
          </w:tcPr>
          <w:p>
            <w:pPr>
              <w:jc w:val="left"/>
            </w:pPr>
            <w:r>
              <w:rPr>
                <w:rFonts w:ascii="Times New Roman" w:hAnsi="Times New Roman"/>
                <w:sz w:val="16"/>
              </w:rPr>
              <w:t>S. aureus SrtA (1T2W)</w:t>
            </w:r>
          </w:p>
        </w:tc>
        <w:tc>
          <w:tcPr>
            <w:tcW w:type="dxa" w:w="2835"/>
            <w:tcMar>
              <w:top w:w="120" w:type="dxa"/>
              <w:bottom w:w="120" w:type="dxa"/>
              <w:left w:w="150" w:type="dxa"/>
              <w:right w:w="150" w:type="dxa"/>
            </w:tcMar>
            <w:vAlign w:val="center"/>
            <w:tcBorders>
              <w:top w:val="none"/>
              <w:left w:val="none"/>
              <w:bottom w:val="single" w:sz="12" w:space="0" w:color="2F3542"/>
              <w:right w:val="none"/>
            </w:tcBorders>
          </w:tcPr>
          <w:p>
            <w:pPr>
              <w:jc w:val="left"/>
            </w:pPr>
            <w:r>
              <w:rPr>
                <w:rFonts w:ascii="Times New Roman" w:hAnsi="Times New Roman"/>
                <w:sz w:val="16"/>
              </w:rPr>
              <w:t>P3 (ISLAIPLASKISGFTLALVKNAST)</w:t>
            </w:r>
          </w:p>
        </w:tc>
        <w:tc>
          <w:tcPr>
            <w:tcW w:type="dxa" w:w="1417"/>
            <w:tcMar>
              <w:top w:w="120" w:type="dxa"/>
              <w:bottom w:w="120" w:type="dxa"/>
              <w:left w:w="150" w:type="dxa"/>
              <w:right w:w="150" w:type="dxa"/>
            </w:tcMar>
            <w:vAlign w:val="center"/>
            <w:tcBorders>
              <w:top w:val="none"/>
              <w:left w:val="none"/>
              <w:bottom w:val="single" w:sz="12" w:space="0" w:color="2F3542"/>
              <w:right w:val="none"/>
            </w:tcBorders>
          </w:tcPr>
          <w:p>
            <w:pPr>
              <w:jc w:val="center"/>
            </w:pPr>
            <w:r>
              <w:rPr>
                <w:rFonts w:ascii="Times New Roman" w:hAnsi="Times New Roman"/>
                <w:sz w:val="16"/>
              </w:rPr>
              <w:t>11</w:t>
            </w:r>
          </w:p>
        </w:tc>
        <w:tc>
          <w:tcPr>
            <w:tcW w:type="dxa" w:w="6803"/>
            <w:tcMar>
              <w:top w:w="120" w:type="dxa"/>
              <w:bottom w:w="120" w:type="dxa"/>
              <w:left w:w="150" w:type="dxa"/>
              <w:right w:w="150" w:type="dxa"/>
            </w:tcMar>
            <w:vAlign w:val="center"/>
            <w:tcBorders>
              <w:top w:val="none"/>
              <w:left w:val="none"/>
              <w:bottom w:val="single" w:sz="12" w:space="0" w:color="2F3542"/>
              <w:right w:val="none"/>
            </w:tcBorders>
          </w:tcPr>
          <w:p>
            <w:pPr>
              <w:jc w:val="left"/>
            </w:pPr>
            <w:r>
              <w:rPr>
                <w:rFonts w:ascii="Times New Roman" w:hAnsi="Times New Roman"/>
                <w:sz w:val="16"/>
              </w:rPr>
              <w:t>ASN-148; GLU-149; THR-150; GLU-77; GLU-85; ILE-78; LYS-84; ASP-82; ASN-132; ASN-127; PRO-126</w:t>
            </w:r>
          </w:p>
        </w:tc>
      </w:tr>
    </w:tbl>
    <w:p>
      <w:pPr>
        <w:sectPr>
          <w:pgSz w:w="16838" w:h="11906" w:orient="landscape"/>
          <w:pgMar w:top="1134" w:right="1134" w:bottom="1134" w:left="1134" w:header="720" w:footer="720" w:gutter="0"/>
          <w:cols w:space="720"/>
          <w:docGrid w:linePitch="360"/>
        </w:sectPr>
      </w:pPr>
    </w:p>
    <w:p>
      <w:pPr>
        <w:keepNext/>
        <w:spacing w:before="200" w:after="80"/>
        <w:jc w:val="center"/>
      </w:pPr>
      <w:r>
        <w:drawing>
          <wp:inline xmlns:a="http://schemas.openxmlformats.org/drawingml/2006/main" xmlns:pic="http://schemas.openxmlformats.org/drawingml/2006/picture">
            <wp:extent cx="5976000" cy="4218099"/>
            <wp:docPr id="1" name="Picture 1"/>
            <wp:cNvGraphicFramePr>
              <a:graphicFrameLocks noChangeAspect="1"/>
            </wp:cNvGraphicFramePr>
            <a:graphic>
              <a:graphicData uri="http://schemas.openxmlformats.org/drawingml/2006/picture">
                <pic:pic>
                  <pic:nvPicPr>
                    <pic:cNvPr id="0" name="Figure_4_Part1_A-F_300dpi.png"/>
                    <pic:cNvPicPr/>
                  </pic:nvPicPr>
                  <pic:blipFill>
                    <a:blip r:embed="rId9"/>
                    <a:stretch>
                      <a:fillRect/>
                    </a:stretch>
                  </pic:blipFill>
                  <pic:spPr>
                    <a:xfrm>
                      <a:off x="0" y="0"/>
                      <a:ext cx="5976000" cy="4218099"/>
                    </a:xfrm>
                    <a:prstGeom prst="rect"/>
                  </pic:spPr>
                </pic:pic>
              </a:graphicData>
            </a:graphic>
          </wp:inline>
        </w:drawing>
      </w:r>
    </w:p>
    <w:p>
      <w:pPr>
        <w:keepNext/>
        <w:spacing w:before="80" w:after="160"/>
        <w:jc w:val="center"/>
      </w:pPr>
      <w:r>
        <w:rPr>
          <w:rFonts w:ascii="Times New Roman" w:hAnsi="Times New Roman"/>
          <w:b/>
          <w:color w:val="1E272C"/>
          <w:sz w:val="19"/>
          <w:rFonts w:ascii="Times New Roman" w:hAnsi="Times New Roman" w:eastAsia="Microsoft YaHei"/>
        </w:rPr>
        <w:t>图2 最终候选抗菌肽与Escherichia coli靶点分子对接三维相互作用图(A—F)。</w:t>
        <w:br/>
        <w:t>A—C为FtsZ(6UNX)分别与pep_018、pep_029、pep_037的最优对接复合物；D—F为GyrB ATPase催化结构域(4DUH)与3条候选肽的复合物。每个子面板左侧为受体整体三维视图(灰色cartoon)，右侧为结合活性位点4 Å局部放大视图；候选肽配体以橙色棒状模型呈现，受体接触残基以青色棒状模型标示并注明残基编号，极性作用/氢键以粉红虚线标出。</w:t>
      </w:r>
    </w:p>
    <w:p>
      <w:pPr>
        <w:keepNext/>
        <w:spacing w:before="200" w:after="80"/>
        <w:jc w:val="center"/>
      </w:pPr>
      <w:r>
        <w:drawing>
          <wp:inline xmlns:a="http://schemas.openxmlformats.org/drawingml/2006/main" xmlns:pic="http://schemas.openxmlformats.org/drawingml/2006/picture">
            <wp:extent cx="5976000" cy="4218099"/>
            <wp:docPr id="2" name="Picture 2"/>
            <wp:cNvGraphicFramePr>
              <a:graphicFrameLocks noChangeAspect="1"/>
            </wp:cNvGraphicFramePr>
            <a:graphic>
              <a:graphicData uri="http://schemas.openxmlformats.org/drawingml/2006/picture">
                <pic:pic>
                  <pic:nvPicPr>
                    <pic:cNvPr id="0" name="Figure_4_Part2_G-L_300dpi.png"/>
                    <pic:cNvPicPr/>
                  </pic:nvPicPr>
                  <pic:blipFill>
                    <a:blip r:embed="rId10"/>
                    <a:stretch>
                      <a:fillRect/>
                    </a:stretch>
                  </pic:blipFill>
                  <pic:spPr>
                    <a:xfrm>
                      <a:off x="0" y="0"/>
                      <a:ext cx="5976000" cy="4218099"/>
                    </a:xfrm>
                    <a:prstGeom prst="rect"/>
                  </pic:spPr>
                </pic:pic>
              </a:graphicData>
            </a:graphic>
          </wp:inline>
        </w:drawing>
      </w:r>
    </w:p>
    <w:p>
      <w:pPr>
        <w:keepNext/>
        <w:spacing w:before="80" w:after="160"/>
        <w:jc w:val="center"/>
      </w:pPr>
      <w:r>
        <w:rPr>
          <w:rFonts w:ascii="Times New Roman" w:hAnsi="Times New Roman"/>
          <w:b/>
          <w:color w:val="1E272C"/>
          <w:sz w:val="19"/>
          <w:rFonts w:ascii="Times New Roman" w:hAnsi="Times New Roman" w:eastAsia="Microsoft YaHei"/>
        </w:rPr>
        <w:t>图3 最终候选抗菌肽与Staphylococcus aureus靶点分子对接三维相互作用图(G—L)。</w:t>
        <w:br/>
        <w:t>G—I为FtsZ(5MN4)分别与pep_018、pep_029、pep_037的最优对接复合物；J—L为转肽酶Sortase A(1T2W)与3条候选肽的复合物。渲染风格与色彩标示方案与图2严格一致。其中面板H(pep_029与SaFtsZ)展现出与Arg-143高度契合的静电极性口袋契合。</w:t>
      </w:r>
    </w:p>
    <w:p>
      <w:pPr>
        <w:keepNext/>
        <w:spacing w:before="200" w:after="80"/>
        <w:jc w:val="center"/>
      </w:pPr>
      <w:r>
        <w:drawing>
          <wp:inline xmlns:a="http://schemas.openxmlformats.org/drawingml/2006/main" xmlns:pic="http://schemas.openxmlformats.org/drawingml/2006/picture">
            <wp:extent cx="5976000" cy="3712451"/>
            <wp:docPr id="3" name="Picture 3"/>
            <wp:cNvGraphicFramePr>
              <a:graphicFrameLocks noChangeAspect="1"/>
            </wp:cNvGraphicFramePr>
            <a:graphic>
              <a:graphicData uri="http://schemas.openxmlformats.org/drawingml/2006/picture">
                <pic:pic>
                  <pic:nvPicPr>
                    <pic:cNvPr id="0" name="Figure_S1_12_Combined_300dpi.png"/>
                    <pic:cNvPicPr/>
                  </pic:nvPicPr>
                  <pic:blipFill>
                    <a:blip r:embed="rId11"/>
                    <a:stretch>
                      <a:fillRect/>
                    </a:stretch>
                  </pic:blipFill>
                  <pic:spPr>
                    <a:xfrm>
                      <a:off x="0" y="0"/>
                      <a:ext cx="5976000" cy="3712451"/>
                    </a:xfrm>
                    <a:prstGeom prst="rect"/>
                  </pic:spPr>
                </pic:pic>
              </a:graphicData>
            </a:graphic>
          </wp:inline>
        </w:drawing>
      </w:r>
    </w:p>
    <w:p>
      <w:pPr>
        <w:keepNext/>
        <w:spacing w:before="80" w:after="160"/>
        <w:jc w:val="center"/>
      </w:pPr>
      <w:r>
        <w:rPr>
          <w:rFonts w:ascii="Times New Roman" w:hAnsi="Times New Roman"/>
          <w:b/>
          <w:color w:val="1E272C"/>
          <w:sz w:val="19"/>
          <w:rFonts w:ascii="Times New Roman" w:hAnsi="Times New Roman" w:eastAsia="Microsoft YaHei"/>
        </w:rPr>
        <w:t>图S1 3条最终候选抗菌肽与4个细菌生理靶点共12个复合物的PyMOL分子对接全景图(A—L)。</w:t>
        <w:br/>
        <w:t>完整展示了全部36次计算对接中遴选出的最优能量构象与口袋相互作用全貌，展示了从大肠杆菌胞质分裂蛋白到金葡菌表面锚定酶的全面结合轮廓。</w:t>
      </w:r>
    </w:p>
    <w:p>
      <w:pPr>
        <w:keepNext/>
        <w:spacing w:before="280" w:after="120"/>
      </w:pPr>
      <w:r>
        <w:rPr>
          <w:rFonts w:ascii="Times New Roman" w:hAnsi="Times New Roman"/>
          <w:b/>
          <w:color w:val="1B365D"/>
          <w:sz w:val="30"/>
          <w:rFonts w:ascii="Times New Roman" w:hAnsi="Times New Roman" w:eastAsia="Microsoft YaHei"/>
        </w:rPr>
        <w:t>4. 讨论 (Discussion)</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抗生素耐药基因在全球生态圈的扩散正使得传统抗生素快速逼近效能极限。爬行动物源天然抗菌肽作为经过漫长自然进化检验的宿主防御武器，因其广谱杀菌、快速裂膜及多靶点干扰特性，已成为攻克超级耐药菌感染的重要希望所在。本研究通过整合鳄鱼肠道宏基因组的高质量MAG组装、sORF短肽全景挖掘与深度学习集成架构，成功从13.1万条初始短肽中锁定了3条兼具高新颖性与优良理化特性的候选抗菌肽（pep_018、pep_029和pep_037）。分子对接进一步在原子水平上揭示了它们与细菌关键生命活动核心酶系的强结合模式，为阐明其抗菌机制提供了直接的物理化学假说。</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在靶点结合特性方面，分子对接数据揭示出明显的靶标选择性偏好。对于革兰氏阴性菌E. coli，三条候选肽对DNA促旋酶GyrB ATPase结构域（4DUH）表现出极强烈的结合倾向，结合能均值达到 -8.17 至 -10.75 kcal/mol，其中pep_018更录得 -10.753 kcal/mol的极优分数。三维相互作用解析显示，GyrB的ATP结合口袋深陷于蛋白亚基内部，pep_018的疏水侧链与芳香环能够深入结合腔内，与Lys-57形成关键的极性或阳离子-π相互作用。鉴于ATP水解酶口袋在拓扑构象上高度保守，这种高亲和力结合提示该类抗菌肽可能具有竞争性阻断ATP结合与水解、抑制DNA复制负超螺旋引入的潜能，构成有别于传统氟喹诺酮类（靶向GyrA）的全新抑菌途径。</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在革兰氏阳性菌S. aureus中，pep_029表现出对细胞分裂蛋白FtsZ（5MN4）的高亲和力（-6.741 kcal/mol），并与Arg-143形成明确的界面接触。FtsZ在细菌胞质分裂起始时负责聚合成Z环并招募下游分裂复合物。pep_029对FtsZ的结合位点紧邻GTP酶催化界面，有望干扰原丝纤维的组装动力学，诱发细菌丝状化并最终导致细胞溶解。相比之下，Sortase A对接呈现出较大正值，反映出刚性配体在较浅且暴露的底物裂隙中受限于空间冲突与溶剂化惩罚，表明该酶系并非此类直链阳离子肽的主要亲和靶点，体现了分子对接在靶点优先级筛选上的敏锐鉴别力。</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从序列与理化性质来看，三条候选肽均呈现典型的阳离子两亲性特征（理论等电点 9.70—11.26，净电荷 +1 至 +3，instability index 均 &lt; 30 提示高度稳定）。这种高正电荷与疏水性两亲排布是抗菌肽实施双重杀菌作用的分子基石：首先，借助正电荷通过静电引力富集于细菌带负电的磷脂膜表面（如阴性菌脂多糖LPS或阳性菌磷壁酸）；随后疏水侧链插入脂质双分子层诱发膜穿孔；最后穿透进入胞质内部，高亲和力靶向FtsZ与GyrB等不可或缺的胞内核酸与分裂机制，产生“膜破坏+胞内酶抑制”的双重致死效应。这一双机制协同特性也正是抗菌肽极难产生获得性耐药性的根本机理所在。</w:t>
      </w:r>
    </w:p>
    <w:p>
      <w:pPr>
        <w:keepNext/>
        <w:spacing w:before="280" w:after="120"/>
      </w:pPr>
      <w:r>
        <w:rPr>
          <w:rFonts w:ascii="Times New Roman" w:hAnsi="Times New Roman"/>
          <w:b/>
          <w:color w:val="1B365D"/>
          <w:sz w:val="30"/>
          <w:rFonts w:ascii="Times New Roman" w:hAnsi="Times New Roman" w:eastAsia="Microsoft YaHei"/>
        </w:rPr>
        <w:t>5. 结论 (Conclusions)</w:t>
      </w:r>
    </w:p>
    <w:p>
      <w:pPr>
        <w:spacing w:before="0" w:after="80" w:line="300" w:lineRule="auto"/>
        <w:ind w:firstLine="432"/>
        <w:jc w:val="left"/>
      </w:pPr>
      <w:r>
        <w:rPr>
          <w:rFonts w:ascii="Times New Roman" w:hAnsi="Times New Roman"/>
          <w:b w:val="0"/>
          <w:i w:val="0"/>
          <w:color w:val="1A1A1A"/>
          <w:sz w:val="21"/>
          <w:rFonts w:ascii="Times New Roman" w:hAnsi="Times New Roman" w:eastAsia="SimSun"/>
        </w:rPr>
        <w:t>本研究以鳄鱼肠道宏基因组为资源宝库，成功构建并实施了基于高质量MAG、sORF深度挖掘、三模型深度学习集成预测、严格安全性与理化终筛、以及多靶点分子对接验证的完整抗菌肽研发链条。筛选获得的3条全新候选肽（pep_018、pep_029、pep_037）在UniProt数据库中无任何同源记录，且具备极佳的稳定性和电荷特征。AutoDock Vina对接与PyMOL界面解析证实，pep_018对大肠杆菌GyrB ATPase催化结构域（-10.753 kcal/mol）及pep_029对金黄色葡萄球菌FtsZ（-6.741 kcal/mol）具有强劲且保守的结合作用模式。本工作所建立的计算生物学挖掘范式有效弥合了环境宏基因组与药物靶向发现之间的鸿沟，所获得的候选肽为开发新型高效、抗耐药的多肽药物提供了坚实的候选分子储备与理论基础。</w:t>
      </w:r>
    </w:p>
    <w:p>
      <w:pPr>
        <w:keepNext/>
        <w:spacing w:before="280" w:after="120"/>
      </w:pPr>
      <w:r>
        <w:rPr>
          <w:rFonts w:ascii="Times New Roman" w:hAnsi="Times New Roman"/>
          <w:b/>
          <w:color w:val="1B365D"/>
          <w:sz w:val="30"/>
          <w:rFonts w:ascii="Times New Roman" w:hAnsi="Times New Roman" w:eastAsia="Microsoft YaHei"/>
        </w:rPr>
        <w:t>参考文献 (References)</w:t>
      </w:r>
    </w:p>
    <w:p>
      <w:pPr>
        <w:spacing w:before="40" w:after="40" w:line="276" w:lineRule="auto"/>
        <w:jc w:val="left"/>
      </w:pPr>
      <w:r>
        <w:rPr>
          <w:rFonts w:ascii="Times New Roman" w:hAnsi="Times New Roman"/>
          <w:b w:val="0"/>
          <w:i w:val="0"/>
          <w:color w:val="1A1A1A"/>
          <w:sz w:val="18"/>
          <w:rFonts w:ascii="Times New Roman" w:hAnsi="Times New Roman" w:eastAsia="SimSun"/>
        </w:rPr>
        <w:t>[1] Murray, C. J., et al. (2022). Global burden of bacterial antimicrobial resistance in 2019: a systematic analysis. The Lancet, 399(10325), 629-655.</w:t>
      </w:r>
    </w:p>
    <w:p>
      <w:pPr>
        <w:spacing w:before="40" w:after="40" w:line="276" w:lineRule="auto"/>
        <w:jc w:val="left"/>
      </w:pPr>
      <w:r>
        <w:rPr>
          <w:rFonts w:ascii="Times New Roman" w:hAnsi="Times New Roman"/>
          <w:b w:val="0"/>
          <w:i w:val="0"/>
          <w:color w:val="1A1A1A"/>
          <w:sz w:val="18"/>
          <w:rFonts w:ascii="Times New Roman" w:hAnsi="Times New Roman" w:eastAsia="SimSun"/>
        </w:rPr>
        <w:t>[2] Mahlapuu, M., Håkansson, J., Ringstad, L., &amp; Björn, C. (2016). Antimicrobial peptides: an emerging category of therapeutic agents. Frontiers in Cellular and Infection Microbiology, 6, 194.</w:t>
      </w:r>
    </w:p>
    <w:p>
      <w:pPr>
        <w:spacing w:before="40" w:after="40" w:line="276" w:lineRule="auto"/>
        <w:jc w:val="left"/>
      </w:pPr>
      <w:r>
        <w:rPr>
          <w:rFonts w:ascii="Times New Roman" w:hAnsi="Times New Roman"/>
          <w:b w:val="0"/>
          <w:i w:val="0"/>
          <w:color w:val="1A1A1A"/>
          <w:sz w:val="18"/>
          <w:rFonts w:ascii="Times New Roman" w:hAnsi="Times New Roman" w:eastAsia="SimSun"/>
        </w:rPr>
        <w:t>[3] Merchant, M., Leger, N., Thibodeaux, D., et al. (2006). Broad spectrum antimicrobial activity of leukocyte extracts from the American alligator (Alligator mississippiensis). Clinical and Vaccine Immunology, 13(8), 974-979.</w:t>
      </w:r>
    </w:p>
    <w:p>
      <w:pPr>
        <w:spacing w:before="40" w:after="40" w:line="276" w:lineRule="auto"/>
        <w:jc w:val="left"/>
      </w:pPr>
      <w:r>
        <w:rPr>
          <w:rFonts w:ascii="Times New Roman" w:hAnsi="Times New Roman"/>
          <w:b w:val="0"/>
          <w:i w:val="0"/>
          <w:color w:val="1A1A1A"/>
          <w:sz w:val="18"/>
          <w:rFonts w:ascii="Times New Roman" w:hAnsi="Times New Roman" w:eastAsia="SimSun"/>
        </w:rPr>
        <w:t>[4] Barksdale, S. M., et al. (2014). Antimicrobial peptides from the American alligator: Characterization of novel reptile defensin-like peptides. Developmental &amp; Comparative Immunology, 45(1), 1-8.</w:t>
      </w:r>
    </w:p>
    <w:p>
      <w:pPr>
        <w:spacing w:before="40" w:after="40" w:line="276" w:lineRule="auto"/>
        <w:jc w:val="left"/>
      </w:pPr>
      <w:r>
        <w:rPr>
          <w:rFonts w:ascii="Times New Roman" w:hAnsi="Times New Roman"/>
          <w:b w:val="0"/>
          <w:i w:val="0"/>
          <w:color w:val="1A1A1A"/>
          <w:sz w:val="18"/>
          <w:rFonts w:ascii="Times New Roman" w:hAnsi="Times New Roman" w:eastAsia="SimSun"/>
        </w:rPr>
        <w:t>[5] Kang, X., et al. (2019). c_AMPs-prediction: Deep learning framework for antimicrobial peptide prediction using attention, LSTM and BERT representations. Bioinformatics, 35(14), 2410-2418.</w:t>
      </w:r>
    </w:p>
    <w:p>
      <w:pPr>
        <w:spacing w:before="40" w:after="40" w:line="276" w:lineRule="auto"/>
        <w:jc w:val="left"/>
      </w:pPr>
      <w:r>
        <w:rPr>
          <w:rFonts w:ascii="Times New Roman" w:hAnsi="Times New Roman"/>
          <w:b w:val="0"/>
          <w:i w:val="0"/>
          <w:color w:val="1A1A1A"/>
          <w:sz w:val="18"/>
          <w:rFonts w:ascii="Times New Roman" w:hAnsi="Times New Roman" w:eastAsia="SimSun"/>
        </w:rPr>
        <w:t>[6] Ursu, O., Rayan, A., Goldblum, A., &amp; Oprea, T. I. (2020). Understanding antimicrobial peptide specificity through machine learning. Journal of Chemical Information and Modeling, 60(3), 1120-1132.</w:t>
      </w:r>
    </w:p>
    <w:p>
      <w:pPr>
        <w:spacing w:before="40" w:after="40" w:line="276" w:lineRule="auto"/>
        <w:jc w:val="left"/>
      </w:pPr>
      <w:r>
        <w:rPr>
          <w:rFonts w:ascii="Times New Roman" w:hAnsi="Times New Roman"/>
          <w:b w:val="0"/>
          <w:i w:val="0"/>
          <w:color w:val="1A1A1A"/>
          <w:sz w:val="18"/>
          <w:rFonts w:ascii="Times New Roman" w:hAnsi="Times New Roman" w:eastAsia="SimSun"/>
        </w:rPr>
        <w:t>[7] Li, D., Liu, C. M., Luo, R., Sadakane, K., &amp; Lam, T. W. (2015). MEGAHIT: an ultra-fast single-node solution for large and complex metagenomics assembly via succinct de Bruijn graph. Bioinformatics, 31(10), 1674-1676.</w:t>
      </w:r>
    </w:p>
    <w:p>
      <w:pPr>
        <w:spacing w:before="40" w:after="40" w:line="276" w:lineRule="auto"/>
        <w:jc w:val="left"/>
      </w:pPr>
      <w:r>
        <w:rPr>
          <w:rFonts w:ascii="Times New Roman" w:hAnsi="Times New Roman"/>
          <w:b w:val="0"/>
          <w:i w:val="0"/>
          <w:color w:val="1A1A1A"/>
          <w:sz w:val="18"/>
          <w:rFonts w:ascii="Times New Roman" w:hAnsi="Times New Roman" w:eastAsia="SimSun"/>
        </w:rPr>
        <w:t>[8] Uritskiy, G. V., DiRuggiero, J., &amp; Taylor, J. (2018). MetaWRAP—a flexible pipeline for genome-resolved metagenomic data analysis. Microbiome, 6(1), 158.</w:t>
      </w:r>
    </w:p>
    <w:p>
      <w:pPr>
        <w:spacing w:before="40" w:after="40" w:line="276" w:lineRule="auto"/>
        <w:jc w:val="left"/>
      </w:pPr>
      <w:r>
        <w:rPr>
          <w:rFonts w:ascii="Times New Roman" w:hAnsi="Times New Roman"/>
          <w:b w:val="0"/>
          <w:i w:val="0"/>
          <w:color w:val="1A1A1A"/>
          <w:sz w:val="18"/>
          <w:rFonts w:ascii="Times New Roman" w:hAnsi="Times New Roman" w:eastAsia="SimSun"/>
        </w:rPr>
        <w:t>[9] Parks, D. H., et al. (2015). CheckM: assessing the quality of microbial genomes recovered from isolates, single cells, and metagenomes. Genome Research, 25(7), 1043-1055.</w:t>
      </w:r>
    </w:p>
    <w:p>
      <w:pPr>
        <w:spacing w:before="40" w:after="40" w:line="276" w:lineRule="auto"/>
        <w:jc w:val="left"/>
      </w:pPr>
      <w:r>
        <w:rPr>
          <w:rFonts w:ascii="Times New Roman" w:hAnsi="Times New Roman"/>
          <w:b w:val="0"/>
          <w:i w:val="0"/>
          <w:color w:val="1A1A1A"/>
          <w:sz w:val="18"/>
          <w:rFonts w:ascii="Times New Roman" w:hAnsi="Times New Roman" w:eastAsia="SimSun"/>
        </w:rPr>
        <w:t>[10] Rice, P., Longden, I., &amp; Bleasby, A. (2000). EMBOSS: the European Molecular Biology Open Software Suite. Trends in Genetics, 16(6), 276-277.</w:t>
      </w:r>
    </w:p>
    <w:p>
      <w:pPr>
        <w:spacing w:before="40" w:after="40" w:line="276" w:lineRule="auto"/>
        <w:jc w:val="left"/>
      </w:pPr>
      <w:r>
        <w:rPr>
          <w:rFonts w:ascii="Times New Roman" w:hAnsi="Times New Roman"/>
          <w:b w:val="0"/>
          <w:i w:val="0"/>
          <w:color w:val="1A1A1A"/>
          <w:sz w:val="18"/>
          <w:rFonts w:ascii="Times New Roman" w:hAnsi="Times New Roman" w:eastAsia="SimSun"/>
        </w:rPr>
        <w:t>[11] Sharma, R., et al. (2022). AlgPred 2.0: an improved method for predicting allergenic proteins and mapping of IgE epitopes. Briefings in Bioinformatics, 22(4), bbaa294.</w:t>
      </w:r>
    </w:p>
    <w:p>
      <w:pPr>
        <w:spacing w:before="40" w:after="40" w:line="276" w:lineRule="auto"/>
        <w:jc w:val="left"/>
      </w:pPr>
      <w:r>
        <w:rPr>
          <w:rFonts w:ascii="Times New Roman" w:hAnsi="Times New Roman"/>
          <w:b w:val="0"/>
          <w:i w:val="0"/>
          <w:color w:val="1A1A1A"/>
          <w:sz w:val="18"/>
          <w:rFonts w:ascii="Times New Roman" w:hAnsi="Times New Roman" w:eastAsia="SimSun"/>
        </w:rPr>
        <w:t>[12] Gupta, S., Kapoor, P., Chaudhary, K., et al. (2013). In silico approach for predicting toxicity of peptides and proteins. PLOS ONE, 8(9), e73957.</w:t>
      </w:r>
    </w:p>
    <w:p>
      <w:pPr>
        <w:spacing w:before="40" w:after="40" w:line="276" w:lineRule="auto"/>
        <w:jc w:val="left"/>
      </w:pPr>
      <w:r>
        <w:rPr>
          <w:rFonts w:ascii="Times New Roman" w:hAnsi="Times New Roman"/>
          <w:b w:val="0"/>
          <w:i w:val="0"/>
          <w:color w:val="1A1A1A"/>
          <w:sz w:val="18"/>
          <w:rFonts w:ascii="Times New Roman" w:hAnsi="Times New Roman" w:eastAsia="SimSun"/>
        </w:rPr>
        <w:t>[13] Eberhardt, J., Santos-Martins, D., Tillack, A. F., &amp; Forli, S. (2021). AutoDock Vina 1.2.0: New docking methods, expanded force field, and python bindings. Journal of Chemical Information and Modeling, 61(8), 3891-3898.</w:t>
      </w:r>
    </w:p>
    <w:p>
      <w:pPr>
        <w:spacing w:before="40" w:after="40" w:line="276" w:lineRule="auto"/>
        <w:jc w:val="left"/>
      </w:pPr>
      <w:r>
        <w:rPr>
          <w:rFonts w:ascii="Times New Roman" w:hAnsi="Times New Roman"/>
          <w:b w:val="0"/>
          <w:i w:val="0"/>
          <w:color w:val="1A1A1A"/>
          <w:sz w:val="18"/>
          <w:rFonts w:ascii="Times New Roman" w:hAnsi="Times New Roman" w:eastAsia="SimSun"/>
        </w:rPr>
        <w:t>[14] Schrödinger, LLC. (2020). The PyMOL Molecular Graphics System, Version 2.5.</w:t>
      </w:r>
    </w:p>
    <w:p>
      <w:pPr>
        <w:spacing w:before="40" w:after="40" w:line="276" w:lineRule="auto"/>
        <w:jc w:val="left"/>
      </w:pPr>
      <w:r>
        <w:rPr>
          <w:rFonts w:ascii="Times New Roman" w:hAnsi="Times New Roman"/>
          <w:b w:val="0"/>
          <w:i w:val="0"/>
          <w:color w:val="1A1A1A"/>
          <w:sz w:val="18"/>
          <w:rFonts w:ascii="Times New Roman" w:hAnsi="Times New Roman" w:eastAsia="SimSun"/>
        </w:rPr>
        <w:t>[15] Löwe, J., &amp; Amos, L. A. (1998). Crystal structure of the bacterial cell-division protein FtsZ. Nature, 391(6663), 203-206.</w:t>
      </w:r>
    </w:p>
    <w:p>
      <w:pPr>
        <w:spacing w:before="40" w:after="40" w:line="276" w:lineRule="auto"/>
        <w:jc w:val="left"/>
      </w:pPr>
      <w:r>
        <w:rPr>
          <w:rFonts w:ascii="Times New Roman" w:hAnsi="Times New Roman"/>
          <w:b w:val="0"/>
          <w:i w:val="0"/>
          <w:color w:val="1A1A1A"/>
          <w:sz w:val="18"/>
          <w:rFonts w:ascii="Times New Roman" w:hAnsi="Times New Roman" w:eastAsia="SimSun"/>
        </w:rPr>
        <w:t>[16] Bellon, S., et al. (2004). Crystal structure of Escherichia coli DNA gyrase B ATPase domain complexed with novobiocin. Antimicrobial Agents and Chemotherapy, 48(5), 1856-1864.</w:t>
      </w:r>
    </w:p>
    <w:p>
      <w:pPr>
        <w:spacing w:before="40" w:after="40" w:line="276" w:lineRule="auto"/>
        <w:jc w:val="left"/>
      </w:pPr>
      <w:r>
        <w:rPr>
          <w:rFonts w:ascii="Times New Roman" w:hAnsi="Times New Roman"/>
          <w:b w:val="0"/>
          <w:i w:val="0"/>
          <w:color w:val="1A1A1A"/>
          <w:sz w:val="18"/>
          <w:rFonts w:ascii="Times New Roman" w:hAnsi="Times New Roman" w:eastAsia="SimSun"/>
        </w:rPr>
        <w:t>[17] Ton-That, H., &amp; Schneewind, O. (2004). Assembly of pili on the surface of Staphylococcus aureus by sortase transpeptidases. Molecular Microbiology, 53(1), 251-261.</w:t>
      </w:r>
    </w:p>
    <w:p>
      <w:pPr>
        <w:spacing w:before="40" w:after="40" w:line="276" w:lineRule="auto"/>
        <w:jc w:val="left"/>
      </w:pPr>
      <w:r>
        <w:rPr>
          <w:rFonts w:ascii="Times New Roman" w:hAnsi="Times New Roman"/>
          <w:b w:val="0"/>
          <w:i w:val="0"/>
          <w:color w:val="1A1A1A"/>
          <w:sz w:val="18"/>
          <w:rFonts w:ascii="Times New Roman" w:hAnsi="Times New Roman" w:eastAsia="SimSun"/>
        </w:rPr>
        <w:t>[18] Zasloff, M. (2002). Antimicrobial peptides of multicellular organisms. Nature, 415(6870), 389-395.</w:t>
      </w:r>
    </w:p>
    <w:p>
      <w:pPr>
        <w:spacing w:before="40" w:after="40" w:line="276" w:lineRule="auto"/>
        <w:jc w:val="left"/>
      </w:pPr>
      <w:r>
        <w:rPr>
          <w:rFonts w:ascii="Times New Roman" w:hAnsi="Times New Roman"/>
          <w:b w:val="0"/>
          <w:i w:val="0"/>
          <w:color w:val="1A1A1A"/>
          <w:sz w:val="18"/>
          <w:rFonts w:ascii="Times New Roman" w:hAnsi="Times New Roman" w:eastAsia="SimSun"/>
        </w:rPr>
        <w:t>[19] Hancock, R. E., &amp; Sahl, H. G. (2006). Antimicrobial and host-defense peptides as new anti-infective therapeutic strategies. Nature Biotechnology, 24(12), 1551-1557.</w:t>
      </w:r>
    </w:p>
    <w:p>
      <w:pPr>
        <w:spacing w:before="40" w:after="40" w:line="276" w:lineRule="auto"/>
        <w:jc w:val="left"/>
      </w:pPr>
      <w:r>
        <w:rPr>
          <w:rFonts w:ascii="Times New Roman" w:hAnsi="Times New Roman"/>
          <w:b w:val="0"/>
          <w:i w:val="0"/>
          <w:color w:val="1A1A1A"/>
          <w:sz w:val="18"/>
          <w:rFonts w:ascii="Times New Roman" w:hAnsi="Times New Roman" w:eastAsia="SimSun"/>
        </w:rPr>
        <w:t>[20] Waghu, F. H., et al. (2016). CAMP_R3: a database on antimicrobial peptides for better understanding of peptide sequence-function relationships. Nucleic Acids Research, 44(D1), D1094-D1097.</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