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牙周炎口腔smORF来源微肽占据AChE外周位点：22项UniDL4BioPep打分、对接与100 ns动力学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牙周炎与阿尔茨海默病（AD）在临床和实验中有关联，但仍缺少能够作用于突触酶的肽水平配体。本研究对已处理好的口腔小开放阅读框（smORF）做 UniDL4BioPep 打分，将 12 条 7–9 残基肽对接到人源乙酰胆碱酯酶（AChE，PDB 4EY6），并对 apo AChE 与三种复合物做 100 ns 分子动力学（MD）。健康标记库 11,269,961 条与牙周炎标记库 11,721,988 条均按 ≥0.80 跑完 22 个分类头。随后仅对牙周炎分支与口腔基因组、宏蛋白质组目录做精确匹配。血脑屏障（BBB）阳性在健康库为 1,095,861 条（9.72%），在牙周炎库为 1,125,832 条（9.60%）。牙周炎 BBB 集合与 33,786 条目录支持的独特肽取交集得 3,518 条；经 NTxPred2、mebipred 与 AnOxPePred 收至 12 条明示序列。12 条在 pH 7.4 均带净正电荷。本地 AutoDock Vina（三次）最优构象介于 −8.25 至 −9.60 kcal/mol。FLLHTTR、YLSLLQR 与 LLHPLRL 接触外周阴离子位点（PAS）。100 ns 内 FLLHTTR 与 YLSLLQR 复合物比 apo 更紧凑（骨架 RMSD 0.1640、0.1625 nm，相对 apo 0.1897 nm）。FLLHTTR 氢键网最密（7.03 ± 1.28）；仅 YLSLLQR 收缩溶剂可及面积。计算勾勒出口腔微肽占据促 Aβ 成纤同一 PAS 的可能路径。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阿尔茨海默病；牙龈卟啉单胞菌；牙周炎；smORF；微肽；乙酰胆碱酯酶；外周阴离子位点；UniDL4BioPep；分子对接；分子动力学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阿尔茨海默病（AD）在漫长临床前过程中同时出现淀粉样沉积、tau 病理、突触衰竭、免疫激活和血管损伤</w:t>
      </w:r>
      <w:r>
        <w:t>[1]</w:t>
      </w:r>
      <w:r>
        <w:t>。APP 经 β、γ 分泌酶依次切割，释放 Aβ40 和 Aβ42；可溶寡聚体损伤突触；家族性 APP/PSEN 突变改变肽长度和产量</w:t>
      </w:r>
      <w:r>
        <w:t>[2]</w:t>
      </w:r>
      <w:r>
        <w:t>。淀粉样负荷解释不了疾病的空间与临床异质性，因此外周炎症暴露被当作易感性的可能修饰因素，而不是单一充分病因。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[19]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[6]</w:t>
      </w:r>
      <w:r>
        <w:t>。口腔活动具物种和位点特异性，16S 丰度不能替代分子配体</w:t>
      </w:r>
      <w:r>
        <w:t>[7]</w:t>
      </w:r>
      <w:r>
        <w:t>。综合分析报告牙周病与认知障碍相关，但效应随病例定义而变动</w:t>
      </w:r>
      <w:r>
        <w:t>[10]</w:t>
      </w:r>
      <w:r>
        <w:t>。AD 队列中牙周炎与后续下降相关</w:t>
      </w:r>
      <w:r>
        <w:t>[11]</w:t>
      </w:r>
      <w:r>
        <w:t>。两样本孟德尔随机化并未支持牙周病对 AD 的遗传因果效应</w:t>
      </w:r>
      <w:r>
        <w:t>[14]</w:t>
      </w:r>
      <w:r>
        <w:t>。流行病学因此推动分子搜寻，本身并不给出配体。</w:t>
      </w:r>
    </w:p>
    <w:p>
      <w:pPr>
        <w:pStyle w:val="BodyText"/>
      </w:pPr>
      <w:r>
        <w:t>牙龈卟啉单胞菌的牙龈蛋白酶与外膜囊泡是一对已定位的毒力因子</w:t>
      </w:r>
      <w:r>
        <w:t>[8–9]</w:t>
      </w:r>
      <w:r>
        <w:t>。AD 脑内曾检出该菌与牙龈蛋白酶</w:t>
      </w:r>
      <w:r>
        <w:t>[12]</w:t>
      </w:r>
      <w:r>
        <w:t>，小鼠反复口腔感染可产生神经炎症和 Aβ 相关改变</w:t>
      </w:r>
      <w:r>
        <w:t>[13]</w:t>
      </w:r>
      <w:r>
        <w:t>。这些观察支持检查口腔产物，但并不能单独指出占据 AChE 的肽。</w:t>
      </w:r>
    </w:p>
    <w:p>
      <w:pPr>
        <w:pStyle w:val="BodyText"/>
      </w:pPr>
      <w:r>
        <w:t>微生物组 smORF 编码大量尚未绘图的小蛋白</w:t>
      </w:r>
      <w:r>
        <w:t>[15–16]</w:t>
      </w:r>
      <w:r>
        <w:t>。人体微生物组抗菌肽挖掘先对数百万条翻译开放阅读框打分，再做实验过滤</w:t>
      </w:r>
      <w:r>
        <w:t>[31]</w:t>
      </w:r>
      <w:r>
        <w:t>。UniDL4BioPep 在 ESM-2 嵌入上提供二十余个二分类活性头</w:t>
      </w:r>
      <w:r>
        <w:t>[23]</w:t>
      </w:r>
      <w:r>
        <w:t>。此处沿用同一顺序：先预测，再与目录匹配。分类器分数回答不了结构问题，即 7–9 aa 牙周炎肽能否占据 Aβ 结合 PAS。</w:t>
      </w:r>
    </w:p>
    <w:p>
      <w:pPr>
        <w:pStyle w:val="BodyText"/>
      </w:pPr>
      <w:r>
        <w:t>加速 MD 把 Aβ 放到 AChE 表面，并把该酶视为成核中心</w:t>
      </w:r>
      <w:r>
        <w:t>[17]</w:t>
      </w:r>
      <w:r>
        <w:t>。1 μs、以 PAS 为中心的 AChE–Aβ 轨迹保持结合，主驻留区为残基 344–361</w:t>
      </w:r>
      <w:r>
        <w:t>[18]</w:t>
      </w:r>
      <w:r>
        <w:t>。PDB 4EY6 给出 2.40 Å 人源 AChE 对接框架</w:t>
      </w:r>
      <w:r>
        <w:t>[20]</w:t>
      </w:r>
      <w:r>
        <w:t>。连接催化三联体与 PAS 的芳香峡部早先在电鳗 AChE 上被定位</w:t>
      </w:r>
      <w:r>
        <w:t>[36]</w:t>
      </w:r>
      <w:r>
        <w:t>。仍缺少的是从口腔 smORF 取出、并在同一 PAS 上检验的肽水平配体。</w:t>
      </w:r>
    </w:p>
    <w:p>
      <w:pPr>
        <w:pStyle w:val="BodyText"/>
      </w:pPr>
      <w:r>
        <w:t>本研究对 PRJNA678453 已处理好的口腔 smORF 文库用 22 个 UniDL4BioPep 头打分，比较健康与牙周炎命中率，将牙周炎分支与口腔基因组和宏蛋白质组目录匹配，再用 NTxPred2、mebipred 和 AnOxPePred 收窄名单。12 条 7–9 aa 肽对接到人源 AChE。三个复合物与 apo 酶一起做 100 ns 模拟，检验肽是否留在 PAS 上且不使折叠打开。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工作为纯计算。未新增患者、标本、测序或湿实验。健康与牙周炎标记是文库标签，不是肽水平临床诊断。对接使用本地三次 AutoDock Vina 构象。MD 使用 apo AChE 与三种肽复合物的 100 ns GROMACS 轨迹。</w:t>
      </w:r>
    </w:p>
    <w:p>
      <w:pPr>
        <w:pStyle w:val="Heading3"/>
        <w:keepNext/>
      </w:pPr>
      <w:r>
        <w:t>来源文库</w:t>
      </w:r>
    </w:p>
    <w:p>
      <w:pPr>
        <w:pStyle w:val="BodyText"/>
      </w:pPr>
      <w:r>
        <w:t>4–50 aa 的翻译 smORF 作为已处理好的肽字符串使用，未重新组装读段或重新预测基因。成对口腔宏基因组与宏转录组的公共来源为 PRJNA678453</w:t>
      </w:r>
      <w:r>
        <w:t>[7]</w:t>
      </w:r>
      <w:r>
        <w:t>。该 BioProject 另有派生的 MGnify 第三方组装 PRJEB65451（metaSPAdes v3.15.3），并非第二个临床队列。文库规模为健康标记 11,269,961 条、牙周炎标记 11,721,988 条。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[23,31]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[35]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[21,32]</w:t>
      </w:r>
      <w:r>
        <w:t>。唾液宏蛋白质组在其自身错误发现框架内记录肽</w:t>
      </w:r>
      <w:r>
        <w:t>[22]</w:t>
      </w:r>
      <w:r>
        <w:t>。其他口腔宏蛋白质组集合补充不同临床背景下的序列观察</w:t>
      </w:r>
      <w:r>
        <w:t>[33–34]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[24]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[25]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[26]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AChE（PDB 4EY6，2.40 Å）去除加兰他敏与结晶水，修复链断裂，并按 pH 7.4 分配质子化</w:t>
      </w:r>
      <w:r>
        <w:t>[20]</w:t>
      </w:r>
      <w:r>
        <w:t>。12 条配体 ALLLHRC、FCLHLQLR、FLLHTTR、HLLTLKKHV、HLPLLHRCC、HVLLLRQCA、LLHLPKRTT、LLHPLRC、LLHPLRL、WLLVHLKK、YHHLLCRR 和 YLSLLQR 用 AutoDock Vina 对接，exhaustiveness = 32</w:t>
      </w:r>
      <w:r>
        <w:t>[27–28]</w:t>
      </w:r>
      <w:r>
        <w:t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 中以 Amber99SB-ILDN 和 TIP3P、0.15 M NaCl 构建</w:t>
      </w:r>
      <w:r>
        <w:t>[29–30]</w:t>
      </w:r>
      <w:r>
        <w:t>：apo AChE（A 链）以及 ALLLHRC、FLLHTTR、YLSLLQR 复合物。盒子为三斜，溶质至壁缓冲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[18]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5601768" cy="7600000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768" cy="7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443221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4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主要发现</w:t>
      </w:r>
    </w:p>
    <w:p>
      <w:pPr>
        <w:pStyle w:val="BodyText"/>
      </w:pPr>
      <w:r>
        <w:t>22 个 UniDL4BioPep 头按 ≥0.80 给健康标记库 11.27 百万条、牙周炎标记库 11.72 百万条口腔 smORF 打分。目录匹配、NTxPred2、mebipred 与 AnOxPePred 随后把牙周炎分支收到 12 条明示 7–9 aa 肽。12 条均对接到人源 AChE，最优 Vina 亲和力介于 −8.25 至 −9.60 kcal/mol（图2，表6）。FLLHTTR、YLSLLQR 与 LLHPLRL 接触 PAS。100 ns 内 apo AChE 以及 ALLLHRC、FLLHTTR、YLSLLQR 复合物保持球状；FLLHTTR 与 YLSLLQR 比 apo 更紧凑，FLLHTTR 分子间氢键网最密（表7，图5–7）。这些对象构成计算配体集合，落点是加速 Aβ 组装的同一 PAS</w:t>
      </w:r>
      <w:r>
        <w:t>[4,18]</w:t>
      </w:r>
      <w:r>
        <w:t>。它们并不证明转运、表达或疾病因果。</w:t>
      </w:r>
    </w:p>
    <w:p>
      <w:pPr>
        <w:pStyle w:val="Heading3"/>
        <w:keepNext/>
      </w:pPr>
      <w:r>
        <w:t>两库如何不同</w:t>
      </w:r>
    </w:p>
    <w:p>
      <w:pPr>
        <w:pStyle w:val="BodyText"/>
      </w:pPr>
      <w:r>
        <w:t>健康库与牙周炎库在多数 UniDL4BioPep 头上接近（表1–3）。BBB（BBP）率只差 0.12 个百分点（9.72% 对 9.60%），BBB 高分不是牙周炎印记。牙周炎高于健康 ≥1 个百分点的只有群体感应（+1.39）。健康更高的有抗真菌（−2.50）、抗寄生虫（−2.36）、抗氧化 FRS（−1.95）、抗病毒（−1.89）、抗细菌（−1.42）、CPP（−1.24）、抗癌主（−1.22）和鲜味（−1.00）。抗菌几乎持平（87.89% 对 87.69%）。这些是全库打分率。没有逐条交集表，不能证明 12 条对接序列在健康库中不存在，也不能把牙周炎标签转给单条肽。表5 的理化描述符刻画对接配体，不是疾病对照。</w:t>
      </w:r>
    </w:p>
    <w:p>
      <w:pPr>
        <w:pStyle w:val="BodyText"/>
      </w:pPr>
      <w:r>
        <w:t>UniDL4BioPep、NTxPred2、mebipred 与 AnOxPePred 的串联一致是过滤栈。ESM 嵌入、组成特征和任务训练集可以共享相关误差</w:t>
      </w:r>
      <w:r>
        <w:t>[23–26]</w:t>
      </w:r>
      <w:r>
        <w:t>。两库抗菌阳性近乎普遍，说明 ≥0.80 只用于排序，并不建立 BBB 转运、神经毒性、金属结合或氧化还原化学。微生物组抗菌肽挖掘所用的先预测再过滤顺序</w:t>
      </w:r>
      <w:r>
        <w:t>[31]</w:t>
      </w:r>
      <w:r>
        <w:t>在此保留为分诊。与 HOMD、eHOMD 及口腔宏蛋白质组的目录匹配支持该字符串曾经被观察到</w:t>
      </w:r>
      <w:r>
        <w:t>[21–22,32–34]</w:t>
      </w:r>
      <w:r>
        <w:t>，不能证明它在 PRJNA678453 样本中翻译</w:t>
      </w:r>
      <w:r>
        <w:t>[7,15–16]</w:t>
      </w:r>
      <w:r>
        <w:t>。</w:t>
      </w:r>
    </w:p>
    <w:p>
      <w:pPr>
        <w:pStyle w:val="Heading3"/>
        <w:keepNext/>
      </w:pPr>
      <w:r>
        <w:t>口腔肽经 PAS 通向 AD 的可能路径</w:t>
      </w:r>
    </w:p>
    <w:p>
      <w:pPr>
        <w:pStyle w:val="BodyText"/>
      </w:pPr>
      <w:r>
        <w:t>AD 把淀粉样沉积与胆碱能衰竭并置</w:t>
      </w:r>
      <w:r>
        <w:t>[2–3]</w:t>
      </w:r>
      <w:r>
        <w:t>。不依赖催化，AChE 经 PAS 加速 Aβ 成纤，AChE–Aβ 复合物毒性高于单独 Aβ</w:t>
      </w:r>
      <w:r>
        <w:t>[4]</w:t>
      </w:r>
      <w:r>
        <w:t>。一段疏水 PAS 基序即足以促进该伴侣活性</w:t>
      </w:r>
      <w:r>
        <w:t>[5]</w:t>
      </w:r>
      <w:r>
        <w:t>。PAS 导向配体在生化测定中抑制 AChE 诱导的聚集</w:t>
      </w:r>
      <w:r>
        <w:t>[19]</w:t>
      </w:r>
      <w:r>
        <w:t>。加速 MD 把 Aβ 放到 AChE 表面作为成核中心</w:t>
      </w:r>
      <w:r>
        <w:t>[17]</w:t>
      </w:r>
      <w:r>
        <w:t>。1 μs 轨迹使 Aβ 留在 PAS，主驻留区为残基 344–361</w:t>
      </w:r>
      <w:r>
        <w:t>[18]</w:t>
      </w:r>
      <w:r>
        <w:t xml:space="preserve">。牙周炎与 </w:t>
      </w:r>
      <w:r>
        <w:rPr>
          <w:i/>
        </w:rPr>
        <w:t>P. gingivalis</w:t>
      </w:r>
      <w:r>
        <w:t xml:space="preserve"> 提供暴露背景：AD 脑内曾检出该菌与牙龈蛋白酶，小鼠反复口腔感染产生神经炎症和 Aβ 相关改变</w:t>
      </w:r>
      <w:r>
        <w:t>[6,12–13]</w:t>
      </w:r>
      <w:r>
        <w:t>。对接与 100 ns 轨迹表明牙周炎来源微肽可以占据同一 PAS。四步勾勒可能机制。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识别与峡部入口占据。</w:t>
      </w:r>
    </w:p>
    <w:p>
      <w:pPr>
        <w:pStyle w:val="BodyText"/>
      </w:pPr>
      <w:r>
        <w:t xml:space="preserve">   12 条肽的最优构象集中在人源 AChE 的 PAS 和峡部入口（PDB 4EY6；图2–4）。FLLHTTR 锚定经典 PAS 残基 Asp74、Tyr72、His287（最优 −9.60 kcal/mol；图3C）。YLSLLQR 接触 PAS（Tyr72、Thr75）与催化入口（三次均值 −9.44 ± 0.09 kcal/mol；图4L）。LLHPLRL 从 PAS 门控残基 Trp286/Tyr341 跨越至催化 His447（图4I）。HLLTLKKHV 到达 Tyr72 以及 Aβ 驻留区 344–361 中的 Phe346。该几何即 Inestrosa 认定的促纤位点，也是 Atanasova 用 Aβ 占据的 PAS。连接三联体与 PAS 的芳香峡部早先在电鳗 AChE 上被定位</w:t>
      </w:r>
      <w:r>
        <w:t>[20,36]</w:t>
      </w:r>
      <w:r>
        <w:t>。Vina 在固定网格内排序构象，分数不是实验自由能</w:t>
      </w:r>
      <w:r>
        <w:t>[27–28]</w:t>
      </w:r>
      <w:r>
        <w:t>。</w:t>
      </w:r>
    </w:p>
    <w:p>
      <w:pPr>
        <w:pStyle w:val="Reference"/>
        <w:ind w:left="360" w:hanging="360"/>
      </w:pPr>
      <w:r>
        <w:rPr>
          <w:sz w:val="24"/>
          <w:szCs w:val="24"/>
        </w:rPr>
        <w:t>2. 表面结合的酶–肽复合物。</w:t>
      </w:r>
    </w:p>
    <w:p>
      <w:pPr>
        <w:pStyle w:val="BodyText"/>
      </w:pPr>
      <w:r>
        <w:t xml:space="preserve">   100 ns 内酶保持球状（RMSD 0.16–0.19 nm，Rg 2.30–2.31 nm，螺旋约 33%/折叠约 17%；图5–7）。FLLHTTR 与 YLSLLQR 复合物后期 RMSD 低于 apo（0.1640 和 0.1625 nm，相对 0.1897 nm），肽停在表面并使折叠变硬。分子间氢键持续：FLLHTTR 全程维持密极性网（7.03 ± 1.28；图6F），YLSLLQR 均值 2.93 ± 1.14，ALLLHRC 在早期重排后仍保留 7 对接触。微肽自拟合 RMSD 以 YLSLLQR 最低（0.0911 nm）、ALLLHRC 最高（0.2518 nm）。质心 RDF 峰位于 1.22–1.80 nm，符合表面驻留而非本体溶剂。Lushchekina 与 Atanasova 描述过表面结合、不解离的 AChE–Aβ 复合物；口腔微肽在此出现同一占据模式，窗口为 100 ns 而非 1 μs。</w:t>
      </w:r>
    </w:p>
    <w:p>
      <w:pPr>
        <w:pStyle w:val="Reference"/>
        <w:ind w:left="360" w:hanging="360"/>
      </w:pPr>
      <w:r>
        <w:rPr>
          <w:sz w:val="24"/>
          <w:szCs w:val="24"/>
        </w:rPr>
        <w:t>3. 乙酰胆碱进入受限。</w:t>
      </w:r>
    </w:p>
    <w:p>
      <w:pPr>
        <w:pStyle w:val="BodyText"/>
      </w:pPr>
      <w:r>
        <w:t xml:space="preserve">   PAS 位于通向催化三联体的 20 Å 峡部入口</w:t>
      </w:r>
      <w:r>
        <w:t>[3,20]</w:t>
      </w:r>
      <w:r>
        <w:t>。占据 Asp74/Tyr72/Trp286/Tyr341 可在催化核心仍折叠时妨碍底物进入（图5–7 的 B 面板 RMSF 低）。对接到 PAS 的构象因此切入 AD 的胆碱能轴：基底前脑丢失之后，突触处乙酰胆碱本已减少，入口再被占据。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病理性伴侣活性。</w:t>
      </w:r>
    </w:p>
    <w:p>
      <w:pPr>
        <w:pStyle w:val="BodyText"/>
      </w:pPr>
      <w:r>
        <w:t xml:space="preserve">   PAS 是已记录的促纤位点</w:t>
      </w:r>
      <w:r>
        <w:t>[4–5]</w:t>
      </w:r>
      <w:r>
        <w:t>，停在那里的异源肽可降低内源 Aβ 的成核壁垒。FLLHTTR 在 PAS 上提供持续极性网（图6F），与对接构象一致（图3C）。YLSLLQR 埋藏表面（SASA 209.71 对 212.25 nm²；图7C），结合肽最刚。折叠的 AChE 于是出示覆肽 PAS，Aβ 寡聚体可在其上共组装，这是把 Lushchekina 的成核中心图景用到口腔配体。AChE–Aβ 组装本已比游离 Aβ 更突触毒性</w:t>
      </w:r>
      <w:r>
        <w:t>[4]</w:t>
      </w:r>
      <w:r>
        <w:t>。细菌微肽占据同一位点，提供形成杂合晶核的可能路径。</w:t>
      </w:r>
    </w:p>
    <w:p>
      <w:pPr>
        <w:pStyle w:val="Heading3"/>
        <w:keepNext/>
      </w:pPr>
      <w:r>
        <w:t>从口腔到皮层 AChE</w:t>
      </w:r>
    </w:p>
    <w:p>
      <w:pPr>
        <w:pStyle w:val="BodyText"/>
      </w:pPr>
      <w:r>
        <w:t xml:space="preserve">慢性牙周炎可通过破损上皮、牙龈蛋白酶和外膜囊泡把 </w:t>
      </w:r>
      <w:r>
        <w:rPr>
          <w:i/>
        </w:rPr>
        <w:t>P. gingivalis</w:t>
      </w:r>
      <w:r>
        <w:t xml:space="preserve"> 产物送入血液</w:t>
      </w:r>
      <w:r>
        <w:t>[8–9]</w:t>
      </w:r>
      <w:r>
        <w:t>。全身细胞因子与蛋白酶增加 BBB 渗漏</w:t>
      </w:r>
      <w:r>
        <w:t>[6]</w:t>
      </w:r>
      <w:r>
        <w:t>。短、富亮氨酸、带正电且 BBB 高分——该标签在健康库中几乎同样常见——的肽原则上可以到达间质液</w:t>
      </w:r>
      <w:r>
        <w:t>[12,35]</w:t>
      </w:r>
      <w:r>
        <w:t>。PAS 对接随后在既是胆碱水解酶、又是淀粉样伴侣的酶上给出落点。综合分析把牙周病与认知障碍联系起来，效应随病例定义而变动</w:t>
      </w:r>
      <w:r>
        <w:t>[10]</w:t>
      </w:r>
      <w:r>
        <w:t>；AD 队列中牙周炎与后续下降相关</w:t>
      </w:r>
      <w:r>
        <w:t>[11]</w:t>
      </w:r>
      <w:r>
        <w:t>。两样本孟德尔随机化并未支持牙周病对 AD 的遗传因果效应</w:t>
      </w:r>
      <w:r>
        <w:t>[14]</w:t>
      </w:r>
      <w:r>
        <w:t>。把这 12 条当作致病候选，是因为它们占据实验已定位的 Aβ 结合 PAS 并在 100 ns 内保持结合。复合物 RMSD 处于或低于 apo，是折叠酶的局部适应，既不能说明肽无害，也不能证明它在组织中成核淀粉样。</w:t>
      </w:r>
    </w:p>
    <w:p>
      <w:pPr>
        <w:pStyle w:val="BodyText"/>
      </w:pPr>
      <w:r>
        <w:t>计算因而把通常分开的三块文献连起来：口腔 smORF 肽空间</w:t>
      </w:r>
      <w:r>
        <w:t>[15,31]</w:t>
      </w:r>
      <w:r>
        <w:t>、AChE 的 PAS 伴侣活性</w:t>
      </w:r>
      <w:r>
        <w:t>[4,18]</w:t>
      </w:r>
      <w:r>
        <w:t>，以及牙周炎–AD 暴露背景</w:t>
      </w:r>
      <w:r>
        <w:t>[12–13]</w:t>
      </w:r>
      <w:r>
        <w:t>。它支持的是有边界的结构假说，不能替代实测表达、转运、亲和力或 Aβ 聚集实验。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是唯一收缩溶剂可及面积的复合物。健康库与牙周炎库的 BBB 高分率相差很小；群体感应是唯一牙周炎高出 ≥1 个百分点的头。对照淀粉样级联</w:t>
      </w:r>
      <w:r>
        <w:t>[2]</w:t>
      </w:r>
      <w:r>
        <w:t>、胆碱能假说</w:t>
      </w:r>
      <w:r>
        <w:t>[3]</w:t>
      </w:r>
      <w:r>
        <w:t>以及 Inestrosa、Lushchekina 与 Atanasova 的 PAS 伴侣工作，这些计算支持一种可能机制：口腔致病肽占据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