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2.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keepNext w:val="0"/>
        <w:keepLines w:val="0"/>
        <w:widowControl/>
        <w:suppressLineNumbers w:val="0"/>
      </w:pPr>
      <w:r>
        <w:t>2.材料与方法</w:t>
      </w:r>
    </w:p>
    <w:p>
      <w:pPr>
        <w:pStyle w:val="4"/>
        <w:keepNext w:val="0"/>
        <w:keepLines w:val="0"/>
        <w:widowControl/>
        <w:suppressLineNumbers w:val="0"/>
      </w:pPr>
      <w:r>
        <w:t>2.1原始宏基因组数据与研究总体设计</w:t>
      </w:r>
    </w:p>
    <w:p>
      <w:pPr>
        <w:pStyle w:val="9"/>
        <w:keepNext w:val="0"/>
        <w:keepLines w:val="0"/>
        <w:widowControl/>
        <w:suppressLineNumbers w:val="0"/>
      </w:pPr>
      <w:r>
        <w:t>本研究以双端shotgun宏基因组测序数据SRR18112698_1.fastq.gz和SRR18112698_2.fastq.gz为原始输入，对鳄鱼肠道宏基因组开展genome-resolved分析、短肽挖掘及候选抗菌肽筛选。整体技术路线包括：原始reads质量控制与宿主序列去除、宏基因组组装与分箱、目标宏基因组组装基因组(metagenome-assembled genome,MAG)确定、短开放阅读框(short open reading frame,sORF)挖掘、基于深度学习模型的候选抗菌肽初筛，以及基于安全性、理化性质和活性预测的多级终筛。需要指出的是，本研究中的终筛流程主要用于从大规模候选序列中遴选高优先级实验候选，以支持后续化学合成与体外验证，而不直接等同于生物学功能的最终证实。</w:t>
      </w:r>
    </w:p>
    <w:p>
      <w:pPr>
        <w:pStyle w:val="4"/>
        <w:keepNext w:val="0"/>
        <w:keepLines w:val="0"/>
        <w:widowControl/>
        <w:suppressLineNumbers w:val="0"/>
      </w:pPr>
      <w:r>
        <w:t>2.2质量控制与宿主序列去除</w:t>
      </w:r>
    </w:p>
    <w:p>
      <w:pPr>
        <w:pStyle w:val="9"/>
        <w:keepNext w:val="0"/>
        <w:keepLines w:val="0"/>
        <w:widowControl/>
        <w:suppressLineNumbers w:val="0"/>
      </w:pPr>
      <w:r>
        <w:t>原始双端reads首先采用fastp进行质量控制，以完成序列质量评估和基础过滤。随后，利用KneadData结合宿主参考数据库去除宿主来源污染序列，仅保留成对的非宿主reads用于后续组装分析。KneadData运行过程中启用--bypass-trim和--bypass-trf参数，以避免重复执行额外修剪步骤；在Bowtie2比对层面采用--very-sensitive和--dovetail参数，以提高宿主污染识别灵敏度；同时启用--reorder参数，以保持双端reads顺序一致，确保后续paired-end数据处理的兼容性和稳定性。在宿主污染去除过程中，本研究采用NCBI RefSeq数据库中的American alligator（Alligator mississippiensis）参考基因组GCF_030867095.1（rAllMis1）作为宿主参考序列。该装配由Vertebrate Genomes Project提交，并包含17条已组装染色体及未定位scaffolds。随后基于该基因组序列构建Bowtie2索引，用于KneadData流程中的宿主reads识别与去除。</w:t>
      </w:r>
    </w:p>
    <w:p>
      <w:pPr>
        <w:pStyle w:val="4"/>
        <w:keepNext w:val="0"/>
        <w:keepLines w:val="0"/>
        <w:widowControl/>
        <w:suppressLineNumbers w:val="0"/>
      </w:pPr>
      <w:r>
        <w:t>2.3宏基因组组装、分箱及目标MAG确定</w:t>
      </w:r>
    </w:p>
    <w:p>
      <w:pPr>
        <w:pStyle w:val="9"/>
        <w:keepNext w:val="0"/>
        <w:keepLines w:val="0"/>
        <w:widowControl/>
        <w:suppressLineNumbers w:val="0"/>
      </w:pPr>
      <w:r>
        <w:t>宿主去除后的cleanreads采用MEGAHIT进行de novo组装。所得contigs进一步输入metaWRAP的binning模块，并联合使用MetaBAT2和MaxBin2两种分箱算法进行初始分箱。随后，采用metaWRAP的bin_refinement模块对分箱结果进行整合，在完整度≥50%、污染度≤10%的条件下保留refined bins。各bins的完整度与污染度通过CheckM的lineage_wf模块进行评估，分类注释通过GTDB-Tk完成。满足本研究预设质量标准的高质量MAG进一步用于后续sORF挖掘和候选抗菌肽筛选。</w:t>
      </w:r>
    </w:p>
    <w:p>
      <w:pPr>
        <w:pStyle w:val="4"/>
        <w:keepNext w:val="0"/>
        <w:keepLines w:val="0"/>
        <w:widowControl/>
        <w:suppressLineNumbers w:val="0"/>
      </w:pPr>
      <w:r>
        <w:t>2.4基于目标MAG的sORF挖掘</w:t>
      </w:r>
    </w:p>
    <w:p>
      <w:pPr>
        <w:pStyle w:val="9"/>
        <w:keepNext w:val="0"/>
        <w:keepLines w:val="0"/>
        <w:widowControl/>
        <w:suppressLineNumbers w:val="0"/>
      </w:pPr>
      <w:r>
        <w:t>针对目标MAG，采用EMBOSS软件包中的getorf工具进行sORF预测。预测过程中使用细菌遗传密码表11，并限定ORF长度范围为15-150nt。所有contigs上预测得到的ORFs首先进行合并，随后基于完全相同的肽序列进行去冗余处理，形成后续深度学习预测所用的候选短肽集合。所得候选短肽经输入有效性检查后进入后续抗菌肽预测流程。</w:t>
      </w:r>
    </w:p>
    <w:p>
      <w:pPr>
        <w:pStyle w:val="4"/>
        <w:keepNext w:val="0"/>
        <w:keepLines w:val="0"/>
        <w:widowControl/>
        <w:suppressLineNumbers w:val="0"/>
      </w:pPr>
      <w:r>
        <w:t>2.5基于三模型集成的抗菌肽深度学习预测</w:t>
      </w:r>
    </w:p>
    <w:p>
      <w:pPr>
        <w:pStyle w:val="9"/>
        <w:keepNext w:val="0"/>
        <w:keepLines w:val="0"/>
        <w:widowControl/>
        <w:suppressLineNumbers w:val="0"/>
      </w:pPr>
      <w:r>
        <w:t>由目标MAG获得的候选短肽进一步输入c_AMPs-prediction框架进行抗菌肽预测。首先，将候选序列整理为单行FASTA格式，并过滤含有非标准氨基酸字符或长度大于300aa的条目。对于Attention和LSTM模型，采用20种标准氨基酸的整数编码表示序列，并通过左侧零填充统一至长度300；对于BERT模型，则将氨基酸序列按单残基进行token化后输入模型。随后分别调用预训练的Attention、LSTM和BERT模型输出AMP预测概率。被3个模型一致判定为阳性的序列定义为高置信度候选抗菌肽。</w:t>
      </w:r>
    </w:p>
    <w:p>
      <w:pPr>
        <w:pStyle w:val="4"/>
        <w:keepNext w:val="0"/>
        <w:keepLines w:val="0"/>
        <w:widowControl/>
        <w:suppressLineNumbers w:val="0"/>
      </w:pPr>
      <w:r>
        <w:t>2.6高置信度候选肽的本地预筛</w:t>
      </w:r>
    </w:p>
    <w:p>
      <w:pPr>
        <w:pStyle w:val="9"/>
        <w:keepNext w:val="0"/>
        <w:keepLines w:val="0"/>
        <w:widowControl/>
        <w:suppressLineNumbers w:val="0"/>
      </w:pPr>
      <w:r>
        <w:t>对于三模型一致支持的高置信度候选抗菌肽，首先进行本地预筛，以去除明显不适合后续实验推进的序列。该阶段包括基础合法性检查、序列去冗余和毒性预筛。首先，仅保留由20种标准氨基酸组成且长度位于4-50aa范围内的序列。随后，使用MMseqs2对候选序列进行去冗余，获得代表序列集合。其后，采用ToxinPred2对去冗余候选肽进行毒性预筛，仅保留被判定为non-toxic的候选序列进入下一步分析。ToxinPred2采用standalone版本运行，参数设置为model1、threshold=0.60。</w:t>
      </w:r>
    </w:p>
    <w:p>
      <w:pPr>
        <w:pStyle w:val="4"/>
        <w:keepNext w:val="0"/>
        <w:keepLines w:val="0"/>
        <w:widowControl/>
        <w:suppressLineNumbers w:val="0"/>
      </w:pPr>
      <w:r>
        <w:t>2.7网页服务器多级终筛流程</w:t>
      </w:r>
    </w:p>
    <w:p>
      <w:pPr>
        <w:pStyle w:val="9"/>
        <w:keepNext w:val="0"/>
        <w:keepLines w:val="0"/>
        <w:widowControl/>
        <w:suppressLineNumbers w:val="0"/>
      </w:pPr>
      <w:r>
        <w:t>为进一步从本地预筛保留的non-toxic候选肽中筛选出适于后续化学合成与体外验证的小规模高优先级序列，本研究构建了网页服务器多级终筛流程。该流程依次包括过敏性筛选、理化性质评估、肽活性预测、CAMP与AxPep联合筛选、肽级新颖性核查以及ExPASy序列特征分析。</w:t>
      </w:r>
    </w:p>
    <w:p>
      <w:pPr>
        <w:pStyle w:val="5"/>
        <w:keepNext w:val="0"/>
        <w:keepLines w:val="0"/>
        <w:widowControl/>
        <w:suppressLineNumbers w:val="0"/>
      </w:pPr>
      <w:r>
        <w:t>2.7.1过敏性筛选</w:t>
      </w:r>
    </w:p>
    <w:p>
      <w:pPr>
        <w:pStyle w:val="9"/>
        <w:keepNext w:val="0"/>
        <w:keepLines w:val="0"/>
        <w:widowControl/>
        <w:suppressLineNumbers w:val="0"/>
      </w:pPr>
      <w:r>
        <w:t>首先，采用AlgPred2对non-toxic候选肽进行过敏原风险评估，仅保留被预测为non-allergen的序列进入下一步分析。AlgPred2运行参数设置为model1、threshold=0.3。随后，将AlgPred2所得non-allergen结果与前述ToxinPred2的non-toxic结果取交集，以获得同时满足低毒性和低过敏性要求的候选肽。</w:t>
      </w:r>
    </w:p>
    <w:p>
      <w:pPr>
        <w:pStyle w:val="5"/>
        <w:keepNext w:val="0"/>
        <w:keepLines w:val="0"/>
        <w:widowControl/>
        <w:suppressLineNumbers w:val="0"/>
      </w:pPr>
      <w:r>
        <w:t>2.7.2理化性质评估</w:t>
      </w:r>
    </w:p>
    <w:p>
      <w:pPr>
        <w:pStyle w:val="9"/>
        <w:keepNext w:val="0"/>
        <w:keepLines w:val="0"/>
        <w:widowControl/>
        <w:suppressLineNumbers w:val="0"/>
      </w:pPr>
      <w:r>
        <w:t>对于通过安全性筛选的候选肽，进一步采用PepFun进行理化性质评估。主要计算指标包括净电荷、平均疏水性、instability index、溶解性规则失败数(solubility_fail)以及合成性规则失败数(synthesis_fail)等。基于上述理化性质和经验规则，对候选肽进行进一步筛选，以保留理化特征更适于后续实验推进的序列。</w:t>
      </w:r>
    </w:p>
    <w:p>
      <w:pPr>
        <w:pStyle w:val="5"/>
        <w:keepNext w:val="0"/>
        <w:keepLines w:val="0"/>
        <w:widowControl/>
        <w:suppressLineNumbers w:val="0"/>
      </w:pPr>
      <w:r>
        <w:t>2.7.3肽活性预测</w:t>
      </w:r>
    </w:p>
    <w:p>
      <w:pPr>
        <w:pStyle w:val="9"/>
        <w:keepNext w:val="0"/>
        <w:keepLines w:val="0"/>
        <w:widowControl/>
        <w:suppressLineNumbers w:val="0"/>
      </w:pPr>
      <w:r>
        <w:t>对经PepFun理化性质评估后保留的候选肽，进一步采用TheraPepNet进行肽活性预测。该步骤旨在从具有较好理化特征的候选集中，优先保留预测活性较高的序列，为后续联合筛选提供更聚焦的候选集合。</w:t>
      </w:r>
    </w:p>
    <w:p>
      <w:pPr>
        <w:pStyle w:val="5"/>
        <w:keepNext w:val="0"/>
        <w:keepLines w:val="0"/>
        <w:widowControl/>
        <w:suppressLineNumbers w:val="0"/>
      </w:pPr>
      <w:r>
        <w:t>2.7.4CAMP与AxPep联合筛选</w:t>
      </w:r>
    </w:p>
    <w:p>
      <w:pPr>
        <w:pStyle w:val="9"/>
        <w:keepNext w:val="0"/>
        <w:keepLines w:val="0"/>
        <w:widowControl/>
        <w:suppressLineNumbers w:val="0"/>
      </w:pPr>
      <w:r>
        <w:t>对经TheraPepNet肽活性预测后保留的候选肽，进一步采用CAMP和AxPep进行联合筛选。CAMP用于评估候选序列的AMP样特征，AxPep用于评估候选序列的抗菌肽活性预测支持。对于CAMP，综合支持向量机、随机森林、人工神经网络和判别分析四类分类器结果统计支持票数；对于AxPep，综合AmPEP、Deep-AmPEP30和RF-AmPEP30三种模型结果统计支持票数。最终依据CAMP与AxPep联合支持情况，对候选肽进行综合判定，并优先保留同时获得较高水平模型支持的候选序列。</w:t>
      </w:r>
    </w:p>
    <w:p>
      <w:pPr>
        <w:pStyle w:val="5"/>
        <w:keepNext w:val="0"/>
        <w:keepLines w:val="0"/>
        <w:widowControl/>
        <w:suppressLineNumbers w:val="0"/>
      </w:pPr>
      <w:r>
        <w:t>2.7.5肽级新颖性核查</w:t>
      </w:r>
    </w:p>
    <w:p>
      <w:pPr>
        <w:pStyle w:val="9"/>
        <w:keepNext w:val="0"/>
        <w:keepLines w:val="0"/>
        <w:widowControl/>
        <w:suppressLineNumbers w:val="0"/>
      </w:pPr>
      <w:r>
        <w:t>对于联合筛选后优先保留的候选肽，进一步采用UniProt peptide search进行肽级序列检索，以核查是否存在已知肽条目命中。本研究未将前期自建已知AMP合并库的exact match检索作为正式主流程步骤，而将数据库层面的新颖性核查统一放在最终候选肽阶段完成。对于未检出直接肽条目命中的序列，视为在当前数据库及当前检索条件下具有序列层面的新颖性支持。</w:t>
      </w:r>
    </w:p>
    <w:p>
      <w:pPr>
        <w:pStyle w:val="4"/>
        <w:keepNext w:val="0"/>
        <w:keepLines w:val="0"/>
        <w:widowControl/>
        <w:suppressLineNumbers w:val="0"/>
      </w:pPr>
      <w:r>
        <w:t>2.8最终候选肽的序列特征分析</w:t>
      </w:r>
    </w:p>
    <w:p>
      <w:pPr>
        <w:pStyle w:val="9"/>
        <w:keepNext w:val="0"/>
        <w:keepLines w:val="0"/>
        <w:widowControl/>
        <w:suppressLineNumbers w:val="0"/>
      </w:pPr>
      <w:r>
        <w:t>对于经UniProt检索未命中的最终候选肽，进一步采用ExPASy ProtParam进行基础序列特征分析。主要计算指标包括肽长、理论等电点(theoretical pI)、分子量、氨基酸组成、instability index、aliphatic index和GRAVY等。该分析用于表征最终候选肽在稳定性、亲疏水性、带电特征及潜在开发可行性方面的差异，不作为进一步压缩候选数量的过滤步骤。</w:t>
      </w:r>
    </w:p>
    <w:p>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3.结果</w:t>
      </w:r>
    </w:p>
    <w:p>
      <w:pPr>
        <w:pStyle w:val="4"/>
        <w:keepNext w:val="0"/>
        <w:keepLines w:val="0"/>
        <w:widowControl/>
        <w:suppressLineNumbers w:val="0"/>
      </w:pPr>
      <w:r>
        <w:t>3.1宏基因组组装、分箱与目标MAG确定</w:t>
      </w:r>
    </w:p>
    <w:p>
      <w:pPr>
        <w:pStyle w:val="9"/>
        <w:keepNext w:val="0"/>
        <w:keepLines w:val="0"/>
        <w:widowControl/>
        <w:suppressLineNumbers w:val="0"/>
      </w:pPr>
      <w:r>
        <w:t>经宿主序列去除后，保留的非宿主双端reads进入后续宏基因组组装与分箱分析。基于MEGAHIT组装和metaWRAP分箱整合流程，最终获得3个refined bins。经CheckM评估后，bin.1的完整度为97.04%，污染度为0.146%，达到本研究预设的高质量MAG筛选标准，即完整度≥90%、污染度≤5%。因此，bin.1被确定为后续短肽挖掘和抗菌肽筛选的目标MAG。</w:t>
      </w:r>
    </w:p>
    <w:p>
      <w:pPr>
        <w:pStyle w:val="4"/>
        <w:keepNext w:val="0"/>
        <w:keepLines w:val="0"/>
        <w:widowControl/>
        <w:suppressLineNumbers w:val="0"/>
      </w:pPr>
      <w:r>
        <w:t>3.2目标MAG中的sORF挖掘结果</w:t>
      </w:r>
    </w:p>
    <w:p>
      <w:pPr>
        <w:pStyle w:val="9"/>
        <w:keepNext w:val="0"/>
        <w:keepLines w:val="0"/>
        <w:widowControl/>
        <w:suppressLineNumbers w:val="0"/>
      </w:pPr>
      <w:r>
        <w:t>基于目标MAG bin.1，采用getorf进行sORF挖掘。经ORF预测、序列合并及肽序列去冗余后，最终获得131816条候选短肽。所有候选短肽均通过输入有效性检查，并进入后续深度学习预测流程。</w:t>
      </w:r>
    </w:p>
    <w:p>
      <w:pPr>
        <w:pStyle w:val="4"/>
        <w:keepNext w:val="0"/>
        <w:keepLines w:val="0"/>
        <w:widowControl/>
        <w:suppressLineNumbers w:val="0"/>
      </w:pPr>
      <w:r>
        <w:t>3.3三模型集成抗菌肽预测结果</w:t>
      </w:r>
    </w:p>
    <w:p>
      <w:pPr>
        <w:pStyle w:val="9"/>
        <w:keepNext w:val="0"/>
        <w:keepLines w:val="0"/>
        <w:widowControl/>
        <w:suppressLineNumbers w:val="0"/>
      </w:pPr>
      <w:r>
        <w:t>将131816条候选短肽输入c_AMPs-prediction框架后，分别由Attention、LSTM和BERT三个预训练模型进行预测。以三个模型一致判定为阳性作为高置信度标准，最终共获得13296条高置信度候选抗菌肽。该结果提示，目标MAG中存在数量可观的潜在抗菌肽样序列，但仍需结合后续安全性、理化性质和活性预测结果进一步压缩候选范围。</w:t>
      </w:r>
    </w:p>
    <w:p>
      <w:pPr>
        <w:pStyle w:val="4"/>
        <w:keepNext w:val="0"/>
        <w:keepLines w:val="0"/>
        <w:widowControl/>
        <w:suppressLineNumbers w:val="0"/>
      </w:pPr>
      <w:r>
        <w:t>3.4本地预筛结果</w:t>
      </w:r>
    </w:p>
    <w:p>
      <w:pPr>
        <w:pStyle w:val="9"/>
        <w:keepNext w:val="0"/>
        <w:keepLines w:val="0"/>
        <w:widowControl/>
        <w:suppressLineNumbers w:val="0"/>
      </w:pPr>
      <w:r>
        <w:t>对13296条高置信度候选抗菌肽进行基础合法性检查后，保留序列数仍为13296条，表明三模型一致阳性集合在氨基酸组成与长度范围上整体满足后续筛选要求。随后，经MMseqs2去冗余处理后获得13294条代表序列，提示该候选集合中完全重复序列较少。进一步采用ToxinPred2进行毒性预筛后，共保留935条被判定为non-toxic的候选肽，表明安全性预筛显著缩小了候选范围。</w:t>
      </w:r>
    </w:p>
    <w:p>
      <w:pPr>
        <w:pStyle w:val="4"/>
        <w:keepNext w:val="0"/>
        <w:keepLines w:val="0"/>
        <w:widowControl/>
        <w:suppressLineNumbers w:val="0"/>
      </w:pPr>
      <w:r>
        <w:t>3.5网页服务器多级终筛结果</w:t>
      </w:r>
    </w:p>
    <w:p>
      <w:pPr>
        <w:pStyle w:val="9"/>
        <w:keepNext w:val="0"/>
        <w:keepLines w:val="0"/>
        <w:widowControl/>
        <w:suppressLineNumbers w:val="0"/>
      </w:pPr>
      <w:r>
        <w:t>在935条non-toxic候选肽基础上，首先采用AlgPred2进行过敏性筛选，最终保留268条同时满足低毒性和低过敏性要求的候选肽。随后，采用PepFun从理化性质角度进一步压缩候选范围，最终保留49条候选肽。对该49条候选肽进行TheraPepNet肽活性预测后，进一步保留15条候选肽。最后，综合CAMP与AxPep联合筛选结果，在15条候选肽中，pep_018、pep_029和pep_037同时获得较高水平的模型支持，因此被确定为最终优先保留的3条候选抗菌肽。</w:t>
      </w:r>
    </w:p>
    <w:p>
      <w:pPr>
        <w:pStyle w:val="4"/>
        <w:keepNext w:val="0"/>
        <w:keepLines w:val="0"/>
        <w:widowControl/>
        <w:suppressLineNumbers w:val="0"/>
      </w:pPr>
      <w:r>
        <w:t>3.6最终候选肽的新颖性与理化特征</w:t>
      </w:r>
    </w:p>
    <w:p>
      <w:pPr>
        <w:pStyle w:val="9"/>
        <w:keepNext w:val="0"/>
        <w:keepLines w:val="0"/>
        <w:widowControl/>
        <w:suppressLineNumbers w:val="0"/>
      </w:pPr>
      <w:r>
        <w:t>对最终优先保留的3条候选抗菌肽，即pep_018、pep_029和pep_037，进一步进行UniProt peptide search检索，结果均未发现直接肽条目命中，提示这些候选肽在当前数据库及当前检索条件下具有一定的序列新颖性支持。随后，采用ExPASy ProtParam对其进行标准化理化特征分析，包括肽长、理论等电点、分子量、氨基酸组成、instability index、aliphatic index和GRAVY等指标。上述分析为最终候选肽在稳定性、亲疏水性、带电特征及潜在开发可行性方面的比较提供了依据。</w:t>
      </w:r>
    </w:p>
    <w:p>
      <w:pPr>
        <w:pStyle w:val="4"/>
        <w:keepNext w:val="0"/>
        <w:keepLines w:val="0"/>
        <w:widowControl/>
        <w:suppressLineNumbers w:val="0"/>
      </w:pPr>
      <w:r>
        <w:t>3.7候选肽逐级压缩结果概述</w:t>
      </w:r>
    </w:p>
    <w:p>
      <w:pPr>
        <w:pStyle w:val="9"/>
        <w:keepNext w:val="0"/>
        <w:keepLines w:val="0"/>
        <w:widowControl/>
        <w:suppressLineNumbers w:val="0"/>
      </w:pPr>
      <w:r>
        <w:t>综上，本研究建立了“目标MAG确定-sORF挖掘-深度学习初筛-本地安全性预筛-网页服务器多级终筛-最终新颖性核查与理化表征”的逐级压缩流程。具体而言，目标MAG bin.1中共挖掘得到131816条候选短肽，经三模型一致阳性标准压缩至13296条高置信度候选；随后经基础预过滤与MMseqs2去冗余获得13294条代表序列，并经ToxinPred2毒性预筛保留935条non-toxic候选。其后，再经AlgPred2过敏性筛选保留268条，经PepFun理化性质评估压缩为49条，经TheraPepNet肽活性预测压缩为15条。最后，综合CAMP与AxPep联合筛选结果，在15条候选肽中，pep_018、pep_029和pep_037同时获得较高水平的模型支持，因此被确定为最终优先保留的3条候选抗菌肽。最终，对这3条候选肽完成UniProt未命中新颖性核查和ExPASy序列特征分析，从而形成后续实验验证的优先清单。</w:t>
      </w:r>
    </w:p>
    <w:p>
      <w:pPr>
        <w:pStyle w:val="9"/>
        <w:keepNext w:val="0"/>
        <w:keepLines w:val="0"/>
        <w:widowControl/>
        <w:suppressLineNumbers w:val="0"/>
        <w:spacing w:line="240" w:lineRule="auto"/>
        <w:rPr>
          <w:rFonts w:hint="eastAsia" w:eastAsia="宋体"/>
          <w:lang w:eastAsia="zh-CN"/>
        </w:rPr>
      </w:pPr>
      <w:r>
        <w:rPr>
          <w:rFonts w:hint="eastAsia" w:eastAsia="宋体"/>
          <w:lang w:eastAsia="zh-CN"/>
        </w:rPr>
        <w:drawing>
          <wp:inline distT="0" distB="0" distL="114300" distR="114300">
            <wp:extent cx="5273040" cy="2966085"/>
            <wp:effectExtent l="0" t="0" r="0" b="0"/>
            <wp:docPr id="1" name="图片 1" descr="AMP候选药物发现综合流程图_最终确认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MP候选药物发现综合流程图_最终确认版"/>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5273040" cy="2966085"/>
                    </a:xfrm>
                    <a:prstGeom prst="rect">
                      <a:avLst/>
                    </a:prstGeom>
                  </pic:spPr>
                </pic:pic>
              </a:graphicData>
            </a:graphic>
          </wp:inline>
        </w:drawing>
      </w:r>
    </w:p>
    <w:p>
      <w:pPr>
        <w:pStyle w:val="9"/>
        <w:keepNext w:val="0"/>
        <w:keepLines w:val="0"/>
        <w:widowControl/>
        <w:suppressLineNumbers w:val="0"/>
      </w:pPr>
      <w:r>
        <w:t>图1 基于鳄鱼肠道宏基因组的候选抗菌肽发现与递进式筛选流程图</w:t>
      </w:r>
      <w:r>
        <w:br w:type="textWrapping"/>
      </w:r>
    </w:p>
    <w:p>
      <w:r>
        <w:br w:type="page"/>
      </w:r>
    </w:p>
    <w:p>
      <w:pPr>
        <w:sectPr>
          <w:pgSz w:w="11906" w:h="16838"/>
          <w:pgMar w:top="1440" w:right="1800" w:bottom="1440" w:left="1800" w:header="851" w:footer="992" w:gutter="0"/>
          <w:cols w:space="425" w:num="1"/>
          <w:docGrid w:type="lines" w:linePitch="312" w:charSpace="0"/>
        </w:sectPr>
      </w:pPr>
    </w:p>
    <w:p>
      <w:r>
        <w:br w:type="page"/>
      </w:r>
    </w:p>
    <w:tbl>
      <w:tblPr>
        <w:tblStyle w:val="10"/>
        <w:tblW w:w="138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23"/>
        <w:gridCol w:w="6429"/>
        <w:gridCol w:w="1800"/>
        <w:gridCol w:w="2355"/>
        <w:gridCol w:w="17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3815" w:type="dxa"/>
            <w:gridSpan w:val="5"/>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等线" w:cs="Times New Roman"/>
                <w:b/>
                <w:bCs/>
                <w:i w:val="0"/>
                <w:iCs w:val="0"/>
                <w:color w:val="000000"/>
                <w:sz w:val="24"/>
                <w:szCs w:val="24"/>
                <w:u w:val="none"/>
              </w:rPr>
            </w:pPr>
            <w:r>
              <w:rPr>
                <w:rStyle w:val="21"/>
                <w:lang w:val="en-US" w:eastAsia="zh-CN" w:bidi="ar"/>
              </w:rPr>
              <w:t>表</w:t>
            </w:r>
            <w:r>
              <w:rPr>
                <w:rStyle w:val="22"/>
                <w:rFonts w:eastAsia="等线"/>
                <w:lang w:val="en-US" w:eastAsia="zh-CN" w:bidi="ar"/>
              </w:rPr>
              <w:t>1 CAMP</w:t>
            </w:r>
            <w:r>
              <w:rPr>
                <w:rStyle w:val="21"/>
                <w:lang w:val="en-US" w:eastAsia="zh-CN" w:bidi="ar"/>
              </w:rPr>
              <w:t>与</w:t>
            </w:r>
            <w:r>
              <w:rPr>
                <w:rStyle w:val="22"/>
                <w:rFonts w:eastAsia="等线"/>
                <w:lang w:val="en-US" w:eastAsia="zh-CN" w:bidi="ar"/>
              </w:rPr>
              <w:t>AxPep</w:t>
            </w:r>
            <w:r>
              <w:rPr>
                <w:rStyle w:val="21"/>
                <w:lang w:val="en-US" w:eastAsia="zh-CN" w:bidi="ar"/>
              </w:rPr>
              <w:t>联合筛选结果汇总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4" w:hRule="atLeast"/>
        </w:trPr>
        <w:tc>
          <w:tcPr>
            <w:tcW w:w="1523" w:type="dxa"/>
            <w:tcBorders>
              <w:top w:val="single" w:color="auto" w:sz="4" w:space="0"/>
              <w:left w:val="nil"/>
              <w:bottom w:val="single" w:color="auto" w:sz="4" w:space="0"/>
              <w:right w:val="nil"/>
            </w:tcBorders>
            <w:shd w:val="clear" w:color="auto" w:fill="auto"/>
            <w:vAlign w:val="center"/>
          </w:tcPr>
          <w:p>
            <w:pPr>
              <w:keepNext w:val="0"/>
              <w:keepLines w:val="0"/>
              <w:widowControl/>
              <w:suppressLineNumbers w:val="0"/>
              <w:pBdr>
                <w:top w:val="none" w:color="auto" w:sz="0" w:space="0"/>
                <w:left w:val="none" w:color="auto" w:sz="0" w:space="0"/>
                <w:right w:val="none" w:color="auto" w:sz="0" w:space="0"/>
              </w:pBdr>
              <w:jc w:val="center"/>
              <w:textAlignment w:val="center"/>
              <w:rPr>
                <w:rFonts w:hint="default" w:ascii="Times New Roman" w:hAnsi="Times New Roman" w:eastAsia="等线" w:cs="Times New Roman"/>
                <w:b/>
                <w:bCs/>
                <w:i w:val="0"/>
                <w:iCs w:val="0"/>
                <w:color w:val="000000"/>
                <w:sz w:val="24"/>
                <w:szCs w:val="24"/>
                <w:u w:val="none"/>
              </w:rPr>
            </w:pPr>
            <w:r>
              <w:rPr>
                <w:rStyle w:val="21"/>
                <w:lang w:val="en-US" w:eastAsia="zh-CN" w:bidi="ar"/>
              </w:rPr>
              <w:t>肽</w:t>
            </w:r>
            <w:r>
              <w:rPr>
                <w:rStyle w:val="22"/>
                <w:rFonts w:eastAsia="等线"/>
                <w:lang w:val="en-US" w:eastAsia="zh-CN" w:bidi="ar"/>
              </w:rPr>
              <w:t>ID</w:t>
            </w:r>
          </w:p>
        </w:tc>
        <w:tc>
          <w:tcPr>
            <w:tcW w:w="6429" w:type="dxa"/>
            <w:tcBorders>
              <w:top w:val="single" w:color="auto" w:sz="4" w:space="0"/>
              <w:left w:val="nil"/>
              <w:bottom w:val="single" w:color="auto" w:sz="4" w:space="0"/>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b/>
                <w:bCs/>
                <w:i w:val="0"/>
                <w:iCs w:val="0"/>
                <w:color w:val="000000"/>
                <w:sz w:val="24"/>
                <w:szCs w:val="24"/>
                <w:u w:val="none"/>
              </w:rPr>
            </w:pPr>
            <w:r>
              <w:rPr>
                <w:rStyle w:val="21"/>
                <w:lang w:val="en-US" w:eastAsia="zh-CN" w:bidi="ar"/>
              </w:rPr>
              <w:t>肽序列</w:t>
            </w:r>
          </w:p>
        </w:tc>
        <w:tc>
          <w:tcPr>
            <w:tcW w:w="1800" w:type="dxa"/>
            <w:tcBorders>
              <w:top w:val="single" w:color="auto" w:sz="4" w:space="0"/>
              <w:left w:val="nil"/>
              <w:bottom w:val="single" w:color="auto" w:sz="4" w:space="0"/>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b/>
                <w:bCs/>
                <w:i w:val="0"/>
                <w:iCs w:val="0"/>
                <w:color w:val="000000"/>
                <w:sz w:val="24"/>
                <w:szCs w:val="24"/>
                <w:u w:val="none"/>
              </w:rPr>
            </w:pPr>
            <w:r>
              <w:rPr>
                <w:rFonts w:hint="default" w:ascii="Times New Roman" w:hAnsi="Times New Roman" w:eastAsia="等线" w:cs="Times New Roman"/>
                <w:b/>
                <w:bCs/>
                <w:i w:val="0"/>
                <w:iCs w:val="0"/>
                <w:color w:val="000000"/>
                <w:kern w:val="0"/>
                <w:sz w:val="24"/>
                <w:szCs w:val="24"/>
                <w:u w:val="none"/>
                <w:lang w:val="en-US" w:eastAsia="zh-CN" w:bidi="ar"/>
              </w:rPr>
              <w:t>CAMP</w:t>
            </w:r>
            <w:r>
              <w:rPr>
                <w:rStyle w:val="21"/>
                <w:lang w:val="en-US" w:eastAsia="zh-CN" w:bidi="ar"/>
              </w:rPr>
              <w:t>支持票数</w:t>
            </w:r>
          </w:p>
        </w:tc>
        <w:tc>
          <w:tcPr>
            <w:tcW w:w="2355" w:type="dxa"/>
            <w:tcBorders>
              <w:top w:val="single" w:color="auto" w:sz="4" w:space="0"/>
              <w:left w:val="nil"/>
              <w:bottom w:val="single" w:color="auto" w:sz="4" w:space="0"/>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b/>
                <w:bCs/>
                <w:i w:val="0"/>
                <w:iCs w:val="0"/>
                <w:color w:val="000000"/>
                <w:sz w:val="24"/>
                <w:szCs w:val="24"/>
                <w:u w:val="none"/>
              </w:rPr>
            </w:pPr>
            <w:r>
              <w:rPr>
                <w:rFonts w:hint="default" w:ascii="Times New Roman" w:hAnsi="Times New Roman" w:eastAsia="等线" w:cs="Times New Roman"/>
                <w:b/>
                <w:bCs/>
                <w:i w:val="0"/>
                <w:iCs w:val="0"/>
                <w:color w:val="000000"/>
                <w:kern w:val="0"/>
                <w:sz w:val="24"/>
                <w:szCs w:val="24"/>
                <w:u w:val="none"/>
                <w:lang w:val="en-US" w:eastAsia="zh-CN" w:bidi="ar"/>
              </w:rPr>
              <w:t>AxPep</w:t>
            </w:r>
            <w:r>
              <w:rPr>
                <w:rStyle w:val="21"/>
                <w:lang w:val="en-US" w:eastAsia="zh-CN" w:bidi="ar"/>
              </w:rPr>
              <w:t>支持票数</w:t>
            </w:r>
          </w:p>
        </w:tc>
        <w:tc>
          <w:tcPr>
            <w:tcW w:w="1708" w:type="dxa"/>
            <w:tcBorders>
              <w:top w:val="single" w:color="auto" w:sz="4" w:space="0"/>
              <w:left w:val="nil"/>
              <w:bottom w:val="single" w:color="auto" w:sz="4" w:space="0"/>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b/>
                <w:bCs/>
                <w:i w:val="0"/>
                <w:iCs w:val="0"/>
                <w:color w:val="000000"/>
                <w:sz w:val="24"/>
                <w:szCs w:val="24"/>
                <w:u w:val="none"/>
              </w:rPr>
            </w:pPr>
            <w:r>
              <w:rPr>
                <w:rStyle w:val="21"/>
                <w:lang w:val="en-US" w:eastAsia="zh-CN" w:bidi="ar"/>
              </w:rPr>
              <w:t>综合判定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523"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pep_003</w:t>
            </w:r>
          </w:p>
        </w:tc>
        <w:tc>
          <w:tcPr>
            <w:tcW w:w="6429"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WRPTVLRKVSA</w:t>
            </w:r>
          </w:p>
        </w:tc>
        <w:tc>
          <w:tcPr>
            <w:tcW w:w="1800" w:type="dxa"/>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1/4</w:t>
            </w:r>
          </w:p>
        </w:tc>
        <w:tc>
          <w:tcPr>
            <w:tcW w:w="2355" w:type="dxa"/>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2/3</w:t>
            </w:r>
          </w:p>
        </w:tc>
        <w:tc>
          <w:tcPr>
            <w:tcW w:w="1708"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Style w:val="23"/>
                <w:lang w:val="en-US" w:eastAsia="zh-CN" w:bidi="ar"/>
              </w:rPr>
              <w:t>复核保留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523"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pep_008</w:t>
            </w:r>
          </w:p>
        </w:tc>
        <w:tc>
          <w:tcPr>
            <w:tcW w:w="6429"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WPRTSATSHPYTPPGWRP</w:t>
            </w:r>
          </w:p>
        </w:tc>
        <w:tc>
          <w:tcPr>
            <w:tcW w:w="1800" w:type="dxa"/>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0/4</w:t>
            </w:r>
          </w:p>
        </w:tc>
        <w:tc>
          <w:tcPr>
            <w:tcW w:w="2355" w:type="dxa"/>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3/3</w:t>
            </w:r>
          </w:p>
        </w:tc>
        <w:tc>
          <w:tcPr>
            <w:tcW w:w="1708"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Style w:val="23"/>
                <w:lang w:val="en-US" w:eastAsia="zh-CN" w:bidi="ar"/>
              </w:rPr>
              <w:t>复核保留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523"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pep_015</w:t>
            </w:r>
          </w:p>
        </w:tc>
        <w:tc>
          <w:tcPr>
            <w:tcW w:w="6429"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KPLHPVSTWK</w:t>
            </w:r>
          </w:p>
        </w:tc>
        <w:tc>
          <w:tcPr>
            <w:tcW w:w="1800" w:type="dxa"/>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0/4</w:t>
            </w:r>
          </w:p>
        </w:tc>
        <w:tc>
          <w:tcPr>
            <w:tcW w:w="2355"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2/3</w:t>
            </w:r>
          </w:p>
        </w:tc>
        <w:tc>
          <w:tcPr>
            <w:tcW w:w="1708"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Style w:val="23"/>
                <w:lang w:val="en-US" w:eastAsia="zh-CN" w:bidi="ar"/>
              </w:rPr>
              <w:t>复核保留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523"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pep_016</w:t>
            </w:r>
          </w:p>
        </w:tc>
        <w:tc>
          <w:tcPr>
            <w:tcW w:w="6429"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GPPGWTDHPAF</w:t>
            </w:r>
          </w:p>
        </w:tc>
        <w:tc>
          <w:tcPr>
            <w:tcW w:w="1800" w:type="dxa"/>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0/4</w:t>
            </w:r>
          </w:p>
        </w:tc>
        <w:tc>
          <w:tcPr>
            <w:tcW w:w="2355"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0/3</w:t>
            </w:r>
          </w:p>
        </w:tc>
        <w:tc>
          <w:tcPr>
            <w:tcW w:w="1708"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Style w:val="23"/>
                <w:lang w:val="en-US" w:eastAsia="zh-CN" w:bidi="ar"/>
              </w:rPr>
              <w:t>不优先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523"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pep_018</w:t>
            </w:r>
          </w:p>
        </w:tc>
        <w:tc>
          <w:tcPr>
            <w:tcW w:w="6429"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FVNKLNRIIPVKGFSMR</w:t>
            </w:r>
          </w:p>
        </w:tc>
        <w:tc>
          <w:tcPr>
            <w:tcW w:w="1800" w:type="dxa"/>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4/4</w:t>
            </w:r>
          </w:p>
        </w:tc>
        <w:tc>
          <w:tcPr>
            <w:tcW w:w="2355"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2/3</w:t>
            </w:r>
          </w:p>
        </w:tc>
        <w:tc>
          <w:tcPr>
            <w:tcW w:w="1708"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Style w:val="23"/>
                <w:lang w:val="en-US" w:eastAsia="zh-CN" w:bidi="ar"/>
              </w:rPr>
              <w:t>优先保留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523"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pep_019</w:t>
            </w:r>
          </w:p>
        </w:tc>
        <w:tc>
          <w:tcPr>
            <w:tcW w:w="6429"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AIKSKNKITKRVQLE</w:t>
            </w:r>
          </w:p>
        </w:tc>
        <w:tc>
          <w:tcPr>
            <w:tcW w:w="1800" w:type="dxa"/>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1/4</w:t>
            </w:r>
          </w:p>
        </w:tc>
        <w:tc>
          <w:tcPr>
            <w:tcW w:w="2355"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0/3</w:t>
            </w:r>
          </w:p>
        </w:tc>
        <w:tc>
          <w:tcPr>
            <w:tcW w:w="1708"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Style w:val="23"/>
                <w:lang w:val="en-US" w:eastAsia="zh-CN" w:bidi="ar"/>
              </w:rPr>
              <w:t>不优先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523"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pep_020</w:t>
            </w:r>
          </w:p>
        </w:tc>
        <w:tc>
          <w:tcPr>
            <w:tcW w:w="6429"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NGAGLHFRYGAATGWHHKNMS</w:t>
            </w:r>
          </w:p>
        </w:tc>
        <w:tc>
          <w:tcPr>
            <w:tcW w:w="1800" w:type="dxa"/>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4/4</w:t>
            </w:r>
          </w:p>
        </w:tc>
        <w:tc>
          <w:tcPr>
            <w:tcW w:w="2355"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1/3</w:t>
            </w:r>
          </w:p>
        </w:tc>
        <w:tc>
          <w:tcPr>
            <w:tcW w:w="1708"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Style w:val="23"/>
                <w:lang w:val="en-US" w:eastAsia="zh-CN" w:bidi="ar"/>
              </w:rPr>
              <w:t>复核保留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523"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pep_029</w:t>
            </w:r>
          </w:p>
        </w:tc>
        <w:tc>
          <w:tcPr>
            <w:tcW w:w="6429"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LISNTKKFGTAIASHR</w:t>
            </w:r>
          </w:p>
        </w:tc>
        <w:tc>
          <w:tcPr>
            <w:tcW w:w="1800" w:type="dxa"/>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3/4</w:t>
            </w:r>
          </w:p>
        </w:tc>
        <w:tc>
          <w:tcPr>
            <w:tcW w:w="2355"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2/3</w:t>
            </w:r>
          </w:p>
        </w:tc>
        <w:tc>
          <w:tcPr>
            <w:tcW w:w="1708"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Style w:val="23"/>
                <w:lang w:val="en-US" w:eastAsia="zh-CN" w:bidi="ar"/>
              </w:rPr>
              <w:t>优先保留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523"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pep_034</w:t>
            </w:r>
          </w:p>
        </w:tc>
        <w:tc>
          <w:tcPr>
            <w:tcW w:w="6429"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KPWLTAWPTAS</w:t>
            </w:r>
          </w:p>
        </w:tc>
        <w:tc>
          <w:tcPr>
            <w:tcW w:w="1800" w:type="dxa"/>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0/4</w:t>
            </w:r>
          </w:p>
        </w:tc>
        <w:tc>
          <w:tcPr>
            <w:tcW w:w="2355"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3/3</w:t>
            </w:r>
          </w:p>
        </w:tc>
        <w:tc>
          <w:tcPr>
            <w:tcW w:w="1708"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Style w:val="23"/>
                <w:lang w:val="en-US" w:eastAsia="zh-CN" w:bidi="ar"/>
              </w:rPr>
              <w:t>复核保留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4" w:hRule="atLeast"/>
        </w:trPr>
        <w:tc>
          <w:tcPr>
            <w:tcW w:w="1523"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pep_036</w:t>
            </w:r>
          </w:p>
        </w:tc>
        <w:tc>
          <w:tcPr>
            <w:tcW w:w="6429"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SAFFAHKITARQWRAVLIGVSRGSARCGHRSV</w:t>
            </w:r>
          </w:p>
        </w:tc>
        <w:tc>
          <w:tcPr>
            <w:tcW w:w="1800" w:type="dxa"/>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4/4</w:t>
            </w:r>
          </w:p>
        </w:tc>
        <w:tc>
          <w:tcPr>
            <w:tcW w:w="2355"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1/3</w:t>
            </w:r>
          </w:p>
        </w:tc>
        <w:tc>
          <w:tcPr>
            <w:tcW w:w="1708"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Style w:val="23"/>
                <w:lang w:val="en-US" w:eastAsia="zh-CN" w:bidi="ar"/>
              </w:rPr>
              <w:t>复核保留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523"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pep_037</w:t>
            </w:r>
          </w:p>
        </w:tc>
        <w:tc>
          <w:tcPr>
            <w:tcW w:w="6429"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ISLAIPLASKISGFTLALVKNAST</w:t>
            </w:r>
          </w:p>
        </w:tc>
        <w:tc>
          <w:tcPr>
            <w:tcW w:w="1800" w:type="dxa"/>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4/4</w:t>
            </w:r>
          </w:p>
        </w:tc>
        <w:tc>
          <w:tcPr>
            <w:tcW w:w="2355"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3/3</w:t>
            </w:r>
          </w:p>
        </w:tc>
        <w:tc>
          <w:tcPr>
            <w:tcW w:w="1708"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Style w:val="23"/>
                <w:lang w:val="en-US" w:eastAsia="zh-CN" w:bidi="ar"/>
              </w:rPr>
              <w:t>优先保留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523"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pep_039</w:t>
            </w:r>
          </w:p>
        </w:tc>
        <w:tc>
          <w:tcPr>
            <w:tcW w:w="6429"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KWISTVISVQYSGIWCQMQ</w:t>
            </w:r>
          </w:p>
        </w:tc>
        <w:tc>
          <w:tcPr>
            <w:tcW w:w="1800" w:type="dxa"/>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0/4</w:t>
            </w:r>
          </w:p>
        </w:tc>
        <w:tc>
          <w:tcPr>
            <w:tcW w:w="2355"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1/3</w:t>
            </w:r>
          </w:p>
        </w:tc>
        <w:tc>
          <w:tcPr>
            <w:tcW w:w="1708"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Style w:val="23"/>
                <w:lang w:val="en-US" w:eastAsia="zh-CN" w:bidi="ar"/>
              </w:rPr>
              <w:t>不优先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523"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pep_044</w:t>
            </w:r>
          </w:p>
        </w:tc>
        <w:tc>
          <w:tcPr>
            <w:tcW w:w="6429"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EATSSDWGFLAGAGGSWGSGGSR</w:t>
            </w:r>
          </w:p>
        </w:tc>
        <w:tc>
          <w:tcPr>
            <w:tcW w:w="1800" w:type="dxa"/>
            <w:tcBorders>
              <w:top w:val="nil"/>
              <w:left w:val="nil"/>
              <w:bottom w:val="nil"/>
              <w:right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0/4</w:t>
            </w:r>
          </w:p>
        </w:tc>
        <w:tc>
          <w:tcPr>
            <w:tcW w:w="2355"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0/3</w:t>
            </w:r>
          </w:p>
        </w:tc>
        <w:tc>
          <w:tcPr>
            <w:tcW w:w="1708" w:type="dxa"/>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Style w:val="23"/>
                <w:lang w:val="en-US" w:eastAsia="zh-CN" w:bidi="ar"/>
              </w:rPr>
              <w:t>不优先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trPr>
        <w:tc>
          <w:tcPr>
            <w:tcW w:w="1523" w:type="dxa"/>
            <w:tcBorders>
              <w:top w:val="nil"/>
              <w:left w:val="nil"/>
              <w:bottom w:val="single" w:color="auto" w:sz="4" w:space="0"/>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pep_045</w:t>
            </w:r>
          </w:p>
        </w:tc>
        <w:tc>
          <w:tcPr>
            <w:tcW w:w="6429" w:type="dxa"/>
            <w:tcBorders>
              <w:top w:val="nil"/>
              <w:left w:val="nil"/>
              <w:bottom w:val="single" w:color="auto" w:sz="4" w:space="0"/>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SIGAIVRLWCPVLRGPGWRGGGSAATISCCNHSHLQTITMQTGHHANTSQ</w:t>
            </w:r>
          </w:p>
        </w:tc>
        <w:tc>
          <w:tcPr>
            <w:tcW w:w="1800" w:type="dxa"/>
            <w:tcBorders>
              <w:top w:val="nil"/>
              <w:left w:val="nil"/>
              <w:bottom w:val="single" w:color="auto" w:sz="4" w:space="0"/>
              <w:right w:val="nil"/>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4/4</w:t>
            </w:r>
          </w:p>
        </w:tc>
        <w:tc>
          <w:tcPr>
            <w:tcW w:w="2355" w:type="dxa"/>
            <w:tcBorders>
              <w:top w:val="nil"/>
              <w:left w:val="nil"/>
              <w:bottom w:val="single" w:color="auto" w:sz="4" w:space="0"/>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Fonts w:hint="default" w:ascii="Times New Roman" w:hAnsi="Times New Roman" w:eastAsia="等线" w:cs="Times New Roman"/>
                <w:i w:val="0"/>
                <w:iCs w:val="0"/>
                <w:color w:val="000000"/>
                <w:kern w:val="0"/>
                <w:sz w:val="24"/>
                <w:szCs w:val="24"/>
                <w:u w:val="none"/>
                <w:lang w:val="en-US" w:eastAsia="zh-CN" w:bidi="ar"/>
              </w:rPr>
              <w:t>1/3</w:t>
            </w:r>
          </w:p>
        </w:tc>
        <w:tc>
          <w:tcPr>
            <w:tcW w:w="1708" w:type="dxa"/>
            <w:tcBorders>
              <w:top w:val="nil"/>
              <w:left w:val="nil"/>
              <w:bottom w:val="single" w:color="auto" w:sz="4" w:space="0"/>
              <w:right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等线" w:cs="Times New Roman"/>
                <w:i w:val="0"/>
                <w:iCs w:val="0"/>
                <w:color w:val="000000"/>
                <w:sz w:val="24"/>
                <w:szCs w:val="24"/>
                <w:u w:val="none"/>
              </w:rPr>
            </w:pPr>
            <w:r>
              <w:rPr>
                <w:rStyle w:val="23"/>
                <w:lang w:val="en-US" w:eastAsia="zh-CN" w:bidi="ar"/>
              </w:rPr>
              <w:t>复核保留</w:t>
            </w:r>
            <w:r>
              <w:rPr>
                <w:rFonts w:hint="default" w:ascii="Times New Roman" w:hAnsi="Times New Roman" w:eastAsia="等线" w:cs="Times New Roman"/>
                <w:i w:val="0"/>
                <w:iCs w:val="0"/>
                <w:color w:val="000000"/>
                <w:kern w:val="0"/>
                <w:sz w:val="24"/>
                <w:szCs w:val="24"/>
                <w:u w:val="none"/>
                <w:lang w:val="en-US" w:eastAsia="zh-CN" w:bidi="ar"/>
              </w:rPr>
              <w:t xml:space="preserve"> </w:t>
            </w:r>
          </w:p>
        </w:tc>
      </w:tr>
    </w:tbl>
    <w:p/>
    <w:p/>
    <w:p>
      <w:pPr>
        <w:keepNext/>
        <w:spacing w:before="200" w:after="80"/>
      </w:pPr>
      <w:r>
        <w:rPr>
          <w:rFonts w:ascii="Times New Roman" w:hAnsi="Times New Roman"/>
          <w:b/>
          <w:color w:val="2C3E50"/>
          <w:sz w:val="26"/>
          <w:rFonts w:ascii="Times New Roman" w:hAnsi="Times New Roman" w:eastAsia="Microsoft YaHei"/>
        </w:rPr>
        <w:t>2.9 最终候选肽的分子对接验证</w:t>
      </w:r>
    </w:p>
    <w:p>
      <w:pPr>
        <w:keepNext/>
        <w:spacing w:before="160" w:after="60"/>
      </w:pPr>
      <w:r>
        <w:rPr>
          <w:rFonts w:ascii="Times New Roman" w:hAnsi="Times New Roman"/>
          <w:b/>
          <w:color w:val="34495E"/>
          <w:sz w:val="23"/>
          <w:rFonts w:ascii="Times New Roman" w:hAnsi="Times New Roman" w:eastAsia="Microsoft YaHei"/>
        </w:rPr>
        <w:t>2.9.1 对接靶点的选择依据</w:t>
      </w:r>
    </w:p>
    <w:p>
      <w:pPr>
        <w:spacing w:before="0" w:after="80" w:line="300" w:lineRule="auto"/>
        <w:ind w:firstLine="432"/>
        <w:jc w:val="left"/>
      </w:pPr>
      <w:r>
        <w:rPr>
          <w:rFonts w:ascii="Times New Roman" w:hAnsi="Times New Roman"/>
          <w:b w:val="0"/>
          <w:i w:val="0"/>
          <w:color w:val="1A1A1A"/>
          <w:sz w:val="21"/>
          <w:rFonts w:ascii="Times New Roman" w:hAnsi="Times New Roman" w:eastAsia="SimSun"/>
        </w:rPr>
        <w:t>为进一步评估2.7—2.8节确定的3条最终候选抗菌肽(pep_018、pep_029、pep_037)与细菌关键蛋白相互作用的可能性，本研究在革兰氏阴性与革兰氏阳性代表菌中各选择两个与抗菌作用高度相关的蛋白靶点，开展分子对接评估。针对Escherichia coli，选择细胞分裂蛋白FtsZ(PDB: 6UNX)与DNA促旋酶B亚基ATPase结构域(PDB: 4DUH)；针对Staphylococcus aureus，选择细胞分裂蛋白FtsZ(PDB: 5MN4)与转肽酶Sortase A(PDB: 1T2W)。FtsZ是类微管蛋白的细菌胞质分裂核心蛋白，负责Z环与分裂体的组装，已被报道为抗菌肽作用靶点；GyrB ATPase口袋是区别于喹诺酮类GyrA切割复合物化学型的已验证抗菌靶点；Sortase A负责将含LPXTG基序的毒力相关表面蛋白锚定于革兰氏阳性菌细胞壁，常被作为抗毒力靶点。所选晶体结构均为高分辨率、具明确配体或核苷酸结合位点的结构，便于定义对接盒并进行可比性分析。</w:t>
      </w:r>
    </w:p>
    <w:p>
      <w:pPr>
        <w:keepNext/>
        <w:spacing w:before="160" w:after="60"/>
      </w:pPr>
      <w:r>
        <w:rPr>
          <w:rFonts w:ascii="Times New Roman" w:hAnsi="Times New Roman"/>
          <w:b/>
          <w:color w:val="34495E"/>
          <w:sz w:val="23"/>
          <w:rFonts w:ascii="Times New Roman" w:hAnsi="Times New Roman" w:eastAsia="Microsoft YaHei"/>
        </w:rPr>
        <w:t>2.9.2 受体与配体准备</w:t>
      </w:r>
    </w:p>
    <w:p>
      <w:pPr>
        <w:spacing w:before="0" w:after="80" w:line="300" w:lineRule="auto"/>
        <w:ind w:firstLine="432"/>
        <w:jc w:val="left"/>
      </w:pPr>
      <w:r>
        <w:rPr>
          <w:rFonts w:ascii="Times New Roman" w:hAnsi="Times New Roman"/>
          <w:b w:val="0"/>
          <w:i w:val="0"/>
          <w:color w:val="1A1A1A"/>
          <w:sz w:val="21"/>
          <w:rFonts w:ascii="Times New Roman" w:hAnsi="Times New Roman" w:eastAsia="SimSun"/>
        </w:rPr>
        <w:t>受体结构自RCSB PDB获取。仅保留第一个model的蛋白ATOM记录，去除结晶水、离子与共晶小分子，统一加氢并转换为刚性受体PDBQT格式。候选肽配体由肽序列经RDKit的MolFromFASTA构建，加氢后使用ETKDGv3生成三维构象，并采用UFF分子力场进行能量最小化，取UFF能量最低的构象作为后续对接的起始刚性配体构象，再转换为重原子PDBQT。</w:t>
      </w:r>
    </w:p>
    <w:p>
      <w:pPr>
        <w:keepNext/>
        <w:spacing w:before="160" w:after="60"/>
      </w:pPr>
      <w:r>
        <w:rPr>
          <w:rFonts w:ascii="Times New Roman" w:hAnsi="Times New Roman"/>
          <w:b/>
          <w:color w:val="34495E"/>
          <w:sz w:val="23"/>
          <w:rFonts w:ascii="Times New Roman" w:hAnsi="Times New Roman" w:eastAsia="Microsoft YaHei"/>
        </w:rPr>
        <w:t>2.9.3 对接参数与重复设置</w:t>
      </w:r>
    </w:p>
    <w:p>
      <w:pPr>
        <w:spacing w:before="0" w:after="80" w:line="300" w:lineRule="auto"/>
        <w:ind w:firstLine="432"/>
        <w:jc w:val="left"/>
      </w:pPr>
      <w:r>
        <w:rPr>
          <w:rFonts w:ascii="Times New Roman" w:hAnsi="Times New Roman"/>
          <w:b w:val="0"/>
          <w:i w:val="0"/>
          <w:color w:val="1A1A1A"/>
          <w:sz w:val="21"/>
          <w:rFonts w:ascii="Times New Roman" w:hAnsi="Times New Roman" w:eastAsia="SimSun"/>
        </w:rPr>
        <w:t>分子对接采用AutoDock Vina 1.2.7命令行版本完成。对接盒以受体几何中心(或已知配体/核苷酸结合位点)为中心，边长设置为30 Å×30 Å×30 Å，以覆盖目标口袋及其邻近区域。每个peptide-target组合使用3个不同随机种子进行独立重复对接(--cpu 1，exhaustiveness=1，--num_modes 3)，共完成4个靶点×3条肽×3次重复=36次独立对接。对每次对接取其最优构象的结合能，并计算3次重复的均值、标准差与最优单次值，以均值作为该组合的主要比较指标。</w:t>
      </w:r>
    </w:p>
    <w:p>
      <w:pPr>
        <w:keepNext/>
        <w:spacing w:before="160" w:after="60"/>
      </w:pPr>
      <w:r>
        <w:rPr>
          <w:rFonts w:ascii="Times New Roman" w:hAnsi="Times New Roman"/>
          <w:b/>
          <w:color w:val="34495E"/>
          <w:sz w:val="23"/>
          <w:rFonts w:ascii="Times New Roman" w:hAnsi="Times New Roman" w:eastAsia="Microsoft YaHei"/>
        </w:rPr>
        <w:t>2.9.4 相互作用分析与可视化</w:t>
      </w:r>
    </w:p>
    <w:p>
      <w:pPr>
        <w:spacing w:before="0" w:after="80" w:line="300" w:lineRule="auto"/>
        <w:ind w:firstLine="432"/>
        <w:jc w:val="left"/>
      </w:pPr>
      <w:r>
        <w:rPr>
          <w:rFonts w:ascii="Times New Roman" w:hAnsi="Times New Roman"/>
          <w:b w:val="0"/>
          <w:i w:val="0"/>
          <w:color w:val="1A1A1A"/>
          <w:sz w:val="21"/>
          <w:rFonts w:ascii="Times New Roman" w:hAnsi="Times New Roman" w:eastAsia="SimSun"/>
        </w:rPr>
        <w:t>对每个组合的最优构象，计算受体中与肽配体距离在4 Å以内的残基，作为接触残基集合，并识别可能的氢键与极性接触。可视化使用PyMOL无头(headless)模式批量渲染：左侧为受体整体视图，右侧为结合位点4 Å局部放大视图；受体以淡紫灰色cartoon表示，肽配体以橙色棒状模型表示，接触残基以青色棒状模型表示并标注残基名称与编号，可能的极性接触以品红虚线表示。所有面板按A—L编号后，使用PIL按3×2与4×3版式拼装为300 DPI的多面板组图，用于正文与补充材料。</w:t>
      </w:r>
    </w:p>
    <w:p>
      <w:pPr>
        <w:keepNext/>
        <w:spacing w:before="200" w:after="80"/>
      </w:pPr>
      <w:r>
        <w:rPr>
          <w:rFonts w:ascii="Times New Roman" w:hAnsi="Times New Roman"/>
          <w:b/>
          <w:color w:val="2C3E50"/>
          <w:sz w:val="26"/>
          <w:rFonts w:ascii="Times New Roman" w:hAnsi="Times New Roman" w:eastAsia="Microsoft YaHei"/>
        </w:rPr>
        <w:t>3.8 最终候选肽的分子对接结果</w:t>
      </w:r>
    </w:p>
    <w:p>
      <w:pPr>
        <w:spacing w:before="0" w:after="80" w:line="300" w:lineRule="auto"/>
        <w:ind w:firstLine="432"/>
        <w:jc w:val="left"/>
      </w:pPr>
      <w:r>
        <w:rPr>
          <w:rFonts w:ascii="Times New Roman" w:hAnsi="Times New Roman"/>
          <w:b w:val="0"/>
          <w:i w:val="0"/>
          <w:color w:val="1A1A1A"/>
          <w:sz w:val="21"/>
          <w:rFonts w:ascii="Times New Roman" w:hAnsi="Times New Roman" w:eastAsia="SimSun"/>
        </w:rPr>
        <w:t>3条最终候选抗菌肽与4个细菌靶点共12个组合、36次独立对接均成功完成。各组合3次重复的结合能均值、标准差与最优单次值见表2。</w:t>
      </w:r>
    </w:p>
    <w:p>
      <w:pPr>
        <w:sectPr>
          <w:pgSz w:w="16838" w:h="11906" w:orient="landscape"/>
          <w:pgMar w:top="1800" w:right="1440" w:bottom="1800" w:left="1440" w:header="851" w:footer="992" w:gutter="0"/>
          <w:cols w:space="425" w:num="1"/>
          <w:docGrid w:type="lines" w:linePitch="312" w:charSpace="0"/>
        </w:sectPr>
      </w:pPr>
    </w:p>
    <w:p>
      <w:pPr>
        <w:keepNext/>
        <w:spacing w:before="160" w:after="80"/>
        <w:jc w:val="center"/>
      </w:pPr>
      <w:r>
        <w:rPr>
          <w:rFonts w:ascii="Times New Roman" w:hAnsi="Times New Roman"/>
          <w:b/>
          <w:color w:val="1E272C"/>
          <w:sz w:val="19"/>
          <w:rFonts w:ascii="Times New Roman" w:hAnsi="Times New Roman" w:eastAsia="Microsoft YaHei"/>
        </w:rPr>
        <w:t>表2 最终候选抗菌肽与4个细菌靶点的AutoDock Vina对接结果(3次独立重复，n=3)</w:t>
      </w:r>
    </w:p>
    <w:tbl>
      <w:tblPr>
        <w:tblW w:type="auto" w:w="0"/>
        <w:jc w:val="center"/>
        <w:tblLook w:firstColumn="1" w:firstRow="1" w:lastColumn="0" w:lastRow="0" w:noHBand="0" w:noVBand="1" w:val="04A0"/>
      </w:tblPr>
      <w:tblGrid>
        <w:gridCol w:w="1619"/>
        <w:gridCol w:w="1619"/>
        <w:gridCol w:w="1619"/>
        <w:gridCol w:w="1619"/>
        <w:gridCol w:w="1619"/>
        <w:gridCol w:w="1619"/>
        <w:gridCol w:w="1619"/>
        <w:gridCol w:w="1619"/>
        <w:gridCol w:w="1619"/>
      </w:tblGrid>
      <w:tr>
        <w:trPr>
          <w:cantSplit/>
          <w:tblHeader/>
        </w:trPr>
        <w:tc>
          <w:tcPr>
            <w:tcW w:type="dxa" w:w="1984"/>
            <w:tcMar>
              <w:top w:w="120" w:type="dxa"/>
              <w:bottom w:w="120" w:type="dxa"/>
              <w:left w:w="150" w:type="dxa"/>
              <w:right w:w="150" w:type="dxa"/>
            </w:tcMar>
            <w:vAlign w:val="center"/>
            <w:shd w:fill="F2F4F8"/>
            <w:tcBorders>
              <w:top w:val="single" w:sz="12" w:space="0" w:color="2F3542"/>
              <w:left w:val="none"/>
              <w:bottom w:val="single" w:sz="8" w:space="0" w:color="2F3542"/>
              <w:right w:val="none"/>
            </w:tcBorders>
          </w:tcPr>
          <w:p>
            <w:pPr>
              <w:jc w:val="center"/>
            </w:pPr>
            <w:r>
              <w:rPr>
                <w:rFonts w:ascii="Times New Roman" w:hAnsi="Times New Roman"/>
                <w:b/>
                <w:sz w:val="17"/>
              </w:rPr>
              <w:t>菌种</w:t>
            </w:r>
          </w:p>
        </w:tc>
        <w:tc>
          <w:tcPr>
            <w:tcW w:type="dxa" w:w="2721"/>
            <w:tcMar>
              <w:top w:w="120" w:type="dxa"/>
              <w:bottom w:w="120" w:type="dxa"/>
              <w:left w:w="150" w:type="dxa"/>
              <w:right w:w="150" w:type="dxa"/>
            </w:tcMar>
            <w:vAlign w:val="center"/>
            <w:shd w:fill="F2F4F8"/>
            <w:tcBorders>
              <w:top w:val="single" w:sz="12" w:space="0" w:color="2F3542"/>
              <w:left w:val="none"/>
              <w:bottom w:val="single" w:sz="8" w:space="0" w:color="2F3542"/>
              <w:right w:val="none"/>
            </w:tcBorders>
          </w:tcPr>
          <w:p>
            <w:pPr>
              <w:jc w:val="center"/>
            </w:pPr>
            <w:r>
              <w:rPr>
                <w:rFonts w:ascii="Times New Roman" w:hAnsi="Times New Roman"/>
                <w:b/>
                <w:sz w:val="17"/>
              </w:rPr>
              <w:t>靶点</w:t>
            </w:r>
          </w:p>
        </w:tc>
        <w:tc>
          <w:tcPr>
            <w:tcW w:type="dxa" w:w="1020"/>
            <w:tcMar>
              <w:top w:w="120" w:type="dxa"/>
              <w:bottom w:w="120" w:type="dxa"/>
              <w:left w:w="150" w:type="dxa"/>
              <w:right w:w="150" w:type="dxa"/>
            </w:tcMar>
            <w:vAlign w:val="center"/>
            <w:shd w:fill="F2F4F8"/>
            <w:tcBorders>
              <w:top w:val="single" w:sz="12" w:space="0" w:color="2F3542"/>
              <w:left w:val="none"/>
              <w:bottom w:val="single" w:sz="8" w:space="0" w:color="2F3542"/>
              <w:right w:val="none"/>
            </w:tcBorders>
          </w:tcPr>
          <w:p>
            <w:pPr>
              <w:jc w:val="center"/>
            </w:pPr>
            <w:r>
              <w:rPr>
                <w:rFonts w:ascii="Times New Roman" w:hAnsi="Times New Roman"/>
                <w:b/>
                <w:sz w:val="17"/>
              </w:rPr>
              <w:t>PDB</w:t>
            </w:r>
          </w:p>
        </w:tc>
        <w:tc>
          <w:tcPr>
            <w:tcW w:type="dxa" w:w="1134"/>
            <w:tcMar>
              <w:top w:w="120" w:type="dxa"/>
              <w:bottom w:w="120" w:type="dxa"/>
              <w:left w:w="150" w:type="dxa"/>
              <w:right w:w="150" w:type="dxa"/>
            </w:tcMar>
            <w:vAlign w:val="center"/>
            <w:shd w:fill="F2F4F8"/>
            <w:tcBorders>
              <w:top w:val="single" w:sz="12" w:space="0" w:color="2F3542"/>
              <w:left w:val="none"/>
              <w:bottom w:val="single" w:sz="8" w:space="0" w:color="2F3542"/>
              <w:right w:val="none"/>
            </w:tcBorders>
          </w:tcPr>
          <w:p>
            <w:pPr>
              <w:jc w:val="center"/>
            </w:pPr>
            <w:r>
              <w:rPr>
                <w:rFonts w:ascii="Times New Roman" w:hAnsi="Times New Roman"/>
                <w:b/>
                <w:sz w:val="17"/>
              </w:rPr>
              <w:t>肽ID</w:t>
            </w:r>
          </w:p>
        </w:tc>
        <w:tc>
          <w:tcPr>
            <w:tcW w:type="dxa" w:w="3118"/>
            <w:tcMar>
              <w:top w:w="120" w:type="dxa"/>
              <w:bottom w:w="120" w:type="dxa"/>
              <w:left w:w="150" w:type="dxa"/>
              <w:right w:w="150" w:type="dxa"/>
            </w:tcMar>
            <w:vAlign w:val="center"/>
            <w:shd w:fill="F2F4F8"/>
            <w:tcBorders>
              <w:top w:val="single" w:sz="12" w:space="0" w:color="2F3542"/>
              <w:left w:val="none"/>
              <w:bottom w:val="single" w:sz="8" w:space="0" w:color="2F3542"/>
              <w:right w:val="none"/>
            </w:tcBorders>
          </w:tcPr>
          <w:p>
            <w:pPr>
              <w:jc w:val="center"/>
            </w:pPr>
            <w:r>
              <w:rPr>
                <w:rFonts w:ascii="Times New Roman" w:hAnsi="Times New Roman"/>
                <w:b/>
                <w:sz w:val="17"/>
              </w:rPr>
              <w:t>肽序列</w:t>
            </w:r>
          </w:p>
        </w:tc>
        <w:tc>
          <w:tcPr>
            <w:tcW w:type="dxa" w:w="850"/>
            <w:tcMar>
              <w:top w:w="120" w:type="dxa"/>
              <w:bottom w:w="120" w:type="dxa"/>
              <w:left w:w="150" w:type="dxa"/>
              <w:right w:w="150" w:type="dxa"/>
            </w:tcMar>
            <w:vAlign w:val="center"/>
            <w:shd w:fill="F2F4F8"/>
            <w:tcBorders>
              <w:top w:val="single" w:sz="12" w:space="0" w:color="2F3542"/>
              <w:left w:val="none"/>
              <w:bottom w:val="single" w:sz="8" w:space="0" w:color="2F3542"/>
              <w:right w:val="none"/>
            </w:tcBorders>
          </w:tcPr>
          <w:p>
            <w:pPr>
              <w:jc w:val="center"/>
            </w:pPr>
            <w:r>
              <w:rPr>
                <w:rFonts w:ascii="Times New Roman" w:hAnsi="Times New Roman"/>
                <w:b/>
                <w:sz w:val="17"/>
              </w:rPr>
              <w:t>n</w:t>
            </w:r>
          </w:p>
        </w:tc>
        <w:tc>
          <w:tcPr>
            <w:tcW w:type="dxa" w:w="1701"/>
            <w:tcMar>
              <w:top w:w="120" w:type="dxa"/>
              <w:bottom w:w="120" w:type="dxa"/>
              <w:left w:w="150" w:type="dxa"/>
              <w:right w:w="150" w:type="dxa"/>
            </w:tcMar>
            <w:vAlign w:val="center"/>
            <w:shd w:fill="F2F4F8"/>
            <w:tcBorders>
              <w:top w:val="single" w:sz="12" w:space="0" w:color="2F3542"/>
              <w:left w:val="none"/>
              <w:bottom w:val="single" w:sz="8" w:space="0" w:color="2F3542"/>
              <w:right w:val="none"/>
            </w:tcBorders>
          </w:tcPr>
          <w:p>
            <w:pPr>
              <w:jc w:val="center"/>
            </w:pPr>
            <w:r>
              <w:rPr>
                <w:rFonts w:ascii="Times New Roman" w:hAnsi="Times New Roman"/>
                <w:b/>
                <w:sz w:val="17"/>
              </w:rPr>
              <w:t>结合能均值(kcal/mol)</w:t>
            </w:r>
          </w:p>
        </w:tc>
        <w:tc>
          <w:tcPr>
            <w:tcW w:type="dxa" w:w="1020"/>
            <w:tcMar>
              <w:top w:w="120" w:type="dxa"/>
              <w:bottom w:w="120" w:type="dxa"/>
              <w:left w:w="150" w:type="dxa"/>
              <w:right w:w="150" w:type="dxa"/>
            </w:tcMar>
            <w:vAlign w:val="center"/>
            <w:shd w:fill="F2F4F8"/>
            <w:tcBorders>
              <w:top w:val="single" w:sz="12" w:space="0" w:color="2F3542"/>
              <w:left w:val="none"/>
              <w:bottom w:val="single" w:sz="8" w:space="0" w:color="2F3542"/>
              <w:right w:val="none"/>
            </w:tcBorders>
          </w:tcPr>
          <w:p>
            <w:pPr>
              <w:jc w:val="center"/>
            </w:pPr>
            <w:r>
              <w:rPr>
                <w:rFonts w:ascii="Times New Roman" w:hAnsi="Times New Roman"/>
                <w:b/>
                <w:sz w:val="17"/>
              </w:rPr>
              <w:t>SD</w:t>
            </w:r>
          </w:p>
        </w:tc>
        <w:tc>
          <w:tcPr>
            <w:tcW w:type="dxa" w:w="1587"/>
            <w:tcMar>
              <w:top w:w="120" w:type="dxa"/>
              <w:bottom w:w="120" w:type="dxa"/>
              <w:left w:w="150" w:type="dxa"/>
              <w:right w:w="150" w:type="dxa"/>
            </w:tcMar>
            <w:vAlign w:val="center"/>
            <w:shd w:fill="F2F4F8"/>
            <w:tcBorders>
              <w:top w:val="single" w:sz="12" w:space="0" w:color="2F3542"/>
              <w:left w:val="none"/>
              <w:bottom w:val="single" w:sz="8" w:space="0" w:color="2F3542"/>
              <w:right w:val="none"/>
            </w:tcBorders>
          </w:tcPr>
          <w:p>
            <w:pPr>
              <w:jc w:val="center"/>
            </w:pPr>
            <w:r>
              <w:rPr>
                <w:rFonts w:ascii="Times New Roman" w:hAnsi="Times New Roman"/>
                <w:b/>
                <w:sz w:val="17"/>
              </w:rPr>
              <w:t>最优单次(kcal/mol)</w:t>
            </w:r>
          </w:p>
        </w:tc>
      </w:tr>
      <w:tr>
        <w:trPr>
          <w:cantSplit/>
        </w:trPr>
        <w:tc>
          <w:tcPr>
            <w:tcW w:type="dxa" w:w="198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Escherichia coli</w:t>
            </w:r>
          </w:p>
        </w:tc>
        <w:tc>
          <w:tcPr>
            <w:tcW w:type="dxa" w:w="2721"/>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DNA gyrase B ATPase domain</w:t>
            </w:r>
          </w:p>
        </w:tc>
        <w:tc>
          <w:tcPr>
            <w:tcW w:type="dxa" w:w="1020"/>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4DUH</w:t>
            </w:r>
          </w:p>
        </w:tc>
        <w:tc>
          <w:tcPr>
            <w:tcW w:type="dxa" w:w="113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pep_018</w:t>
            </w:r>
          </w:p>
        </w:tc>
        <w:tc>
          <w:tcPr>
            <w:tcW w:type="dxa" w:w="3118"/>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FVNKLNRIIPVKGFSMR</w:t>
            </w:r>
          </w:p>
        </w:tc>
        <w:tc>
          <w:tcPr>
            <w:tcW w:type="dxa" w:w="850"/>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3</w:t>
            </w:r>
          </w:p>
        </w:tc>
        <w:tc>
          <w:tcPr>
            <w:tcW w:type="dxa" w:w="1701"/>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-10.753</w:t>
            </w:r>
          </w:p>
        </w:tc>
        <w:tc>
          <w:tcPr>
            <w:tcW w:type="dxa" w:w="1020"/>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0.006</w:t>
            </w:r>
          </w:p>
        </w:tc>
        <w:tc>
          <w:tcPr>
            <w:tcW w:type="dxa" w:w="1587"/>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-10.760</w:t>
            </w:r>
          </w:p>
        </w:tc>
      </w:tr>
      <w:tr>
        <w:trPr>
          <w:cantSplit/>
        </w:trPr>
        <w:tc>
          <w:tcPr>
            <w:tcW w:type="dxa" w:w="198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Escherichia coli</w:t>
            </w:r>
          </w:p>
        </w:tc>
        <w:tc>
          <w:tcPr>
            <w:tcW w:type="dxa" w:w="2721"/>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DNA gyrase B ATPase domain</w:t>
            </w:r>
          </w:p>
        </w:tc>
        <w:tc>
          <w:tcPr>
            <w:tcW w:type="dxa" w:w="1020"/>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4DUH</w:t>
            </w:r>
          </w:p>
        </w:tc>
        <w:tc>
          <w:tcPr>
            <w:tcW w:type="dxa" w:w="113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pep_029</w:t>
            </w:r>
          </w:p>
        </w:tc>
        <w:tc>
          <w:tcPr>
            <w:tcW w:type="dxa" w:w="3118"/>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LISNTKKFGTAIASHR</w:t>
            </w:r>
          </w:p>
        </w:tc>
        <w:tc>
          <w:tcPr>
            <w:tcW w:type="dxa" w:w="850"/>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3</w:t>
            </w:r>
          </w:p>
        </w:tc>
        <w:tc>
          <w:tcPr>
            <w:tcW w:type="dxa" w:w="1701"/>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-9.750</w:t>
            </w:r>
          </w:p>
        </w:tc>
        <w:tc>
          <w:tcPr>
            <w:tcW w:type="dxa" w:w="1020"/>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0.083</w:t>
            </w:r>
          </w:p>
        </w:tc>
        <w:tc>
          <w:tcPr>
            <w:tcW w:type="dxa" w:w="1587"/>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-9.811</w:t>
            </w:r>
          </w:p>
        </w:tc>
      </w:tr>
      <w:tr>
        <w:trPr>
          <w:cantSplit/>
        </w:trPr>
        <w:tc>
          <w:tcPr>
            <w:tcW w:type="dxa" w:w="198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Escherichia coli</w:t>
            </w:r>
          </w:p>
        </w:tc>
        <w:tc>
          <w:tcPr>
            <w:tcW w:type="dxa" w:w="2721"/>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DNA gyrase B ATPase domain</w:t>
            </w:r>
          </w:p>
        </w:tc>
        <w:tc>
          <w:tcPr>
            <w:tcW w:type="dxa" w:w="1020"/>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4DUH</w:t>
            </w:r>
          </w:p>
        </w:tc>
        <w:tc>
          <w:tcPr>
            <w:tcW w:type="dxa" w:w="113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pep_037</w:t>
            </w:r>
          </w:p>
        </w:tc>
        <w:tc>
          <w:tcPr>
            <w:tcW w:type="dxa" w:w="3118"/>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ISLAIPLASKISGFTLALVKNAST</w:t>
            </w:r>
          </w:p>
        </w:tc>
        <w:tc>
          <w:tcPr>
            <w:tcW w:type="dxa" w:w="850"/>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3</w:t>
            </w:r>
          </w:p>
        </w:tc>
        <w:tc>
          <w:tcPr>
            <w:tcW w:type="dxa" w:w="1701"/>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-8.172</w:t>
            </w:r>
          </w:p>
        </w:tc>
        <w:tc>
          <w:tcPr>
            <w:tcW w:type="dxa" w:w="1020"/>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0.413</w:t>
            </w:r>
          </w:p>
        </w:tc>
        <w:tc>
          <w:tcPr>
            <w:tcW w:type="dxa" w:w="1587"/>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-8.642</w:t>
            </w:r>
          </w:p>
        </w:tc>
      </w:tr>
      <w:tr>
        <w:trPr>
          <w:cantSplit/>
        </w:trPr>
        <w:tc>
          <w:tcPr>
            <w:tcW w:type="dxa" w:w="198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Escherichia coli</w:t>
            </w:r>
          </w:p>
        </w:tc>
        <w:tc>
          <w:tcPr>
            <w:tcW w:type="dxa" w:w="2721"/>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FtsZ cell-division protein</w:t>
            </w:r>
          </w:p>
        </w:tc>
        <w:tc>
          <w:tcPr>
            <w:tcW w:type="dxa" w:w="1020"/>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6UNX</w:t>
            </w:r>
          </w:p>
        </w:tc>
        <w:tc>
          <w:tcPr>
            <w:tcW w:type="dxa" w:w="113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pep_018</w:t>
            </w:r>
          </w:p>
        </w:tc>
        <w:tc>
          <w:tcPr>
            <w:tcW w:type="dxa" w:w="3118"/>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FVNKLNRIIPVKGFSMR</w:t>
            </w:r>
          </w:p>
        </w:tc>
        <w:tc>
          <w:tcPr>
            <w:tcW w:type="dxa" w:w="850"/>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3</w:t>
            </w:r>
          </w:p>
        </w:tc>
        <w:tc>
          <w:tcPr>
            <w:tcW w:type="dxa" w:w="1701"/>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-7.242</w:t>
            </w:r>
          </w:p>
        </w:tc>
        <w:tc>
          <w:tcPr>
            <w:tcW w:type="dxa" w:w="1020"/>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0.020</w:t>
            </w:r>
          </w:p>
        </w:tc>
        <w:tc>
          <w:tcPr>
            <w:tcW w:type="dxa" w:w="1587"/>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-7.261</w:t>
            </w:r>
          </w:p>
        </w:tc>
      </w:tr>
      <w:tr>
        <w:trPr>
          <w:cantSplit/>
        </w:trPr>
        <w:tc>
          <w:tcPr>
            <w:tcW w:type="dxa" w:w="198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Escherichia coli</w:t>
            </w:r>
          </w:p>
        </w:tc>
        <w:tc>
          <w:tcPr>
            <w:tcW w:type="dxa" w:w="2721"/>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FtsZ cell-division protein</w:t>
            </w:r>
          </w:p>
        </w:tc>
        <w:tc>
          <w:tcPr>
            <w:tcW w:type="dxa" w:w="1020"/>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6UNX</w:t>
            </w:r>
          </w:p>
        </w:tc>
        <w:tc>
          <w:tcPr>
            <w:tcW w:type="dxa" w:w="113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pep_029</w:t>
            </w:r>
          </w:p>
        </w:tc>
        <w:tc>
          <w:tcPr>
            <w:tcW w:type="dxa" w:w="3118"/>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LISNTKKFGTAIASHR</w:t>
            </w:r>
          </w:p>
        </w:tc>
        <w:tc>
          <w:tcPr>
            <w:tcW w:type="dxa" w:w="850"/>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3</w:t>
            </w:r>
          </w:p>
        </w:tc>
        <w:tc>
          <w:tcPr>
            <w:tcW w:type="dxa" w:w="1701"/>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-8.793</w:t>
            </w:r>
          </w:p>
        </w:tc>
        <w:tc>
          <w:tcPr>
            <w:tcW w:type="dxa" w:w="1020"/>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0.022</w:t>
            </w:r>
          </w:p>
        </w:tc>
        <w:tc>
          <w:tcPr>
            <w:tcW w:type="dxa" w:w="1587"/>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-8.819</w:t>
            </w:r>
          </w:p>
        </w:tc>
      </w:tr>
      <w:tr>
        <w:trPr>
          <w:cantSplit/>
        </w:trPr>
        <w:tc>
          <w:tcPr>
            <w:tcW w:type="dxa" w:w="198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Escherichia coli</w:t>
            </w:r>
          </w:p>
        </w:tc>
        <w:tc>
          <w:tcPr>
            <w:tcW w:type="dxa" w:w="2721"/>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FtsZ cell-division protein</w:t>
            </w:r>
          </w:p>
        </w:tc>
        <w:tc>
          <w:tcPr>
            <w:tcW w:type="dxa" w:w="1020"/>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6UNX</w:t>
            </w:r>
          </w:p>
        </w:tc>
        <w:tc>
          <w:tcPr>
            <w:tcW w:type="dxa" w:w="113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pep_037</w:t>
            </w:r>
          </w:p>
        </w:tc>
        <w:tc>
          <w:tcPr>
            <w:tcW w:type="dxa" w:w="3118"/>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ISLAIPLASKISGFTLALVKNAST</w:t>
            </w:r>
          </w:p>
        </w:tc>
        <w:tc>
          <w:tcPr>
            <w:tcW w:type="dxa" w:w="850"/>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3</w:t>
            </w:r>
          </w:p>
        </w:tc>
        <w:tc>
          <w:tcPr>
            <w:tcW w:type="dxa" w:w="1701"/>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2.433</w:t>
            </w:r>
          </w:p>
        </w:tc>
        <w:tc>
          <w:tcPr>
            <w:tcW w:type="dxa" w:w="1020"/>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0.021</w:t>
            </w:r>
          </w:p>
        </w:tc>
        <w:tc>
          <w:tcPr>
            <w:tcW w:type="dxa" w:w="1587"/>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2.410</w:t>
            </w:r>
          </w:p>
        </w:tc>
      </w:tr>
      <w:tr>
        <w:trPr>
          <w:cantSplit/>
        </w:trPr>
        <w:tc>
          <w:tcPr>
            <w:tcW w:type="dxa" w:w="198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Staphylococcus aureus</w:t>
            </w:r>
          </w:p>
        </w:tc>
        <w:tc>
          <w:tcPr>
            <w:tcW w:type="dxa" w:w="2721"/>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FtsZ cell-division protein</w:t>
            </w:r>
          </w:p>
        </w:tc>
        <w:tc>
          <w:tcPr>
            <w:tcW w:type="dxa" w:w="1020"/>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5MN4</w:t>
            </w:r>
          </w:p>
        </w:tc>
        <w:tc>
          <w:tcPr>
            <w:tcW w:type="dxa" w:w="113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pep_018</w:t>
            </w:r>
          </w:p>
        </w:tc>
        <w:tc>
          <w:tcPr>
            <w:tcW w:type="dxa" w:w="3118"/>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FVNKLNRIIPVKGFSMR</w:t>
            </w:r>
          </w:p>
        </w:tc>
        <w:tc>
          <w:tcPr>
            <w:tcW w:type="dxa" w:w="850"/>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3</w:t>
            </w:r>
          </w:p>
        </w:tc>
        <w:tc>
          <w:tcPr>
            <w:tcW w:type="dxa" w:w="1701"/>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1.020</w:t>
            </w:r>
          </w:p>
        </w:tc>
        <w:tc>
          <w:tcPr>
            <w:tcW w:type="dxa" w:w="1020"/>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5.436</w:t>
            </w:r>
          </w:p>
        </w:tc>
        <w:tc>
          <w:tcPr>
            <w:tcW w:type="dxa" w:w="1587"/>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-3.766</w:t>
            </w:r>
          </w:p>
        </w:tc>
      </w:tr>
      <w:tr>
        <w:trPr>
          <w:cantSplit/>
        </w:trPr>
        <w:tc>
          <w:tcPr>
            <w:tcW w:type="dxa" w:w="198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Staphylococcus aureus</w:t>
            </w:r>
          </w:p>
        </w:tc>
        <w:tc>
          <w:tcPr>
            <w:tcW w:type="dxa" w:w="2721"/>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FtsZ cell-division protein</w:t>
            </w:r>
          </w:p>
        </w:tc>
        <w:tc>
          <w:tcPr>
            <w:tcW w:type="dxa" w:w="1020"/>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5MN4</w:t>
            </w:r>
          </w:p>
        </w:tc>
        <w:tc>
          <w:tcPr>
            <w:tcW w:type="dxa" w:w="113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pep_029</w:t>
            </w:r>
          </w:p>
        </w:tc>
        <w:tc>
          <w:tcPr>
            <w:tcW w:type="dxa" w:w="3118"/>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LISNTKKFGTAIASHR</w:t>
            </w:r>
          </w:p>
        </w:tc>
        <w:tc>
          <w:tcPr>
            <w:tcW w:type="dxa" w:w="850"/>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3</w:t>
            </w:r>
          </w:p>
        </w:tc>
        <w:tc>
          <w:tcPr>
            <w:tcW w:type="dxa" w:w="1701"/>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-6.741</w:t>
            </w:r>
          </w:p>
        </w:tc>
        <w:tc>
          <w:tcPr>
            <w:tcW w:type="dxa" w:w="1020"/>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0.187</w:t>
            </w:r>
          </w:p>
        </w:tc>
        <w:tc>
          <w:tcPr>
            <w:tcW w:type="dxa" w:w="1587"/>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-6.957</w:t>
            </w:r>
          </w:p>
        </w:tc>
      </w:tr>
      <w:tr>
        <w:trPr>
          <w:cantSplit/>
        </w:trPr>
        <w:tc>
          <w:tcPr>
            <w:tcW w:type="dxa" w:w="198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Staphylococcus aureus</w:t>
            </w:r>
          </w:p>
        </w:tc>
        <w:tc>
          <w:tcPr>
            <w:tcW w:type="dxa" w:w="2721"/>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FtsZ cell-division protein</w:t>
            </w:r>
          </w:p>
        </w:tc>
        <w:tc>
          <w:tcPr>
            <w:tcW w:type="dxa" w:w="1020"/>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5MN4</w:t>
            </w:r>
          </w:p>
        </w:tc>
        <w:tc>
          <w:tcPr>
            <w:tcW w:type="dxa" w:w="113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pep_037</w:t>
            </w:r>
          </w:p>
        </w:tc>
        <w:tc>
          <w:tcPr>
            <w:tcW w:type="dxa" w:w="3118"/>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ISLAIPLASKISGFTLALVKNAST</w:t>
            </w:r>
          </w:p>
        </w:tc>
        <w:tc>
          <w:tcPr>
            <w:tcW w:type="dxa" w:w="850"/>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3</w:t>
            </w:r>
          </w:p>
        </w:tc>
        <w:tc>
          <w:tcPr>
            <w:tcW w:type="dxa" w:w="1701"/>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0.548</w:t>
            </w:r>
          </w:p>
        </w:tc>
        <w:tc>
          <w:tcPr>
            <w:tcW w:type="dxa" w:w="1020"/>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0.055</w:t>
            </w:r>
          </w:p>
        </w:tc>
        <w:tc>
          <w:tcPr>
            <w:tcW w:type="dxa" w:w="1587"/>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0.495</w:t>
            </w:r>
          </w:p>
        </w:tc>
      </w:tr>
      <w:tr>
        <w:trPr>
          <w:cantSplit/>
        </w:trPr>
        <w:tc>
          <w:tcPr>
            <w:tcW w:type="dxa" w:w="198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Staphylococcus aureus</w:t>
            </w:r>
          </w:p>
        </w:tc>
        <w:tc>
          <w:tcPr>
            <w:tcW w:type="dxa" w:w="2721"/>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Sortase A transpeptidase</w:t>
            </w:r>
          </w:p>
        </w:tc>
        <w:tc>
          <w:tcPr>
            <w:tcW w:type="dxa" w:w="1020"/>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1T2W</w:t>
            </w:r>
          </w:p>
        </w:tc>
        <w:tc>
          <w:tcPr>
            <w:tcW w:type="dxa" w:w="113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pep_018</w:t>
            </w:r>
          </w:p>
        </w:tc>
        <w:tc>
          <w:tcPr>
            <w:tcW w:type="dxa" w:w="3118"/>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FVNKLNRIIPVKGFSMR</w:t>
            </w:r>
          </w:p>
        </w:tc>
        <w:tc>
          <w:tcPr>
            <w:tcW w:type="dxa" w:w="850"/>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3</w:t>
            </w:r>
          </w:p>
        </w:tc>
        <w:tc>
          <w:tcPr>
            <w:tcW w:type="dxa" w:w="1701"/>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197.733</w:t>
            </w:r>
          </w:p>
        </w:tc>
        <w:tc>
          <w:tcPr>
            <w:tcW w:type="dxa" w:w="1020"/>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13.378</w:t>
            </w:r>
          </w:p>
        </w:tc>
        <w:tc>
          <w:tcPr>
            <w:tcW w:type="dxa" w:w="1587"/>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186.200</w:t>
            </w:r>
          </w:p>
        </w:tc>
      </w:tr>
      <w:tr>
        <w:trPr>
          <w:cantSplit/>
        </w:trPr>
        <w:tc>
          <w:tcPr>
            <w:tcW w:type="dxa" w:w="198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Staphylococcus aureus</w:t>
            </w:r>
          </w:p>
        </w:tc>
        <w:tc>
          <w:tcPr>
            <w:tcW w:type="dxa" w:w="2721"/>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Sortase A transpeptidase</w:t>
            </w:r>
          </w:p>
        </w:tc>
        <w:tc>
          <w:tcPr>
            <w:tcW w:type="dxa" w:w="1020"/>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1T2W</w:t>
            </w:r>
          </w:p>
        </w:tc>
        <w:tc>
          <w:tcPr>
            <w:tcW w:type="dxa" w:w="113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pep_029</w:t>
            </w:r>
          </w:p>
        </w:tc>
        <w:tc>
          <w:tcPr>
            <w:tcW w:type="dxa" w:w="3118"/>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LISNTKKFGTAIASHR</w:t>
            </w:r>
          </w:p>
        </w:tc>
        <w:tc>
          <w:tcPr>
            <w:tcW w:type="dxa" w:w="850"/>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3</w:t>
            </w:r>
          </w:p>
        </w:tc>
        <w:tc>
          <w:tcPr>
            <w:tcW w:type="dxa" w:w="1701"/>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49.730</w:t>
            </w:r>
          </w:p>
        </w:tc>
        <w:tc>
          <w:tcPr>
            <w:tcW w:type="dxa" w:w="1020"/>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26.132</w:t>
            </w:r>
          </w:p>
        </w:tc>
        <w:tc>
          <w:tcPr>
            <w:tcW w:type="dxa" w:w="1587"/>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32.430</w:t>
            </w:r>
          </w:p>
        </w:tc>
      </w:tr>
      <w:tr>
        <w:trPr>
          <w:cantSplit/>
        </w:trPr>
        <w:tc>
          <w:tcPr>
            <w:tcW w:type="dxa" w:w="1984"/>
            <w:tcMar>
              <w:top w:w="120" w:type="dxa"/>
              <w:bottom w:w="120" w:type="dxa"/>
              <w:left w:w="150" w:type="dxa"/>
              <w:right w:w="150" w:type="dxa"/>
            </w:tcMar>
            <w:vAlign w:val="center"/>
            <w:tcBorders>
              <w:top w:val="none"/>
              <w:left w:val="none"/>
              <w:bottom w:val="single" w:sz="12" w:space="0" w:color="2F3542"/>
              <w:right w:val="none"/>
            </w:tcBorders>
          </w:tcPr>
          <w:p>
            <w:pPr>
              <w:jc w:val="center"/>
            </w:pPr>
            <w:r>
              <w:rPr>
                <w:rFonts w:ascii="Times New Roman" w:hAnsi="Times New Roman"/>
                <w:sz w:val="16"/>
              </w:rPr>
              <w:t>Staphylococcus aureus</w:t>
            </w:r>
          </w:p>
        </w:tc>
        <w:tc>
          <w:tcPr>
            <w:tcW w:type="dxa" w:w="2721"/>
            <w:tcMar>
              <w:top w:w="120" w:type="dxa"/>
              <w:bottom w:w="120" w:type="dxa"/>
              <w:left w:w="150" w:type="dxa"/>
              <w:right w:w="150" w:type="dxa"/>
            </w:tcMar>
            <w:vAlign w:val="center"/>
            <w:tcBorders>
              <w:top w:val="none"/>
              <w:left w:val="none"/>
              <w:bottom w:val="single" w:sz="12" w:space="0" w:color="2F3542"/>
              <w:right w:val="none"/>
            </w:tcBorders>
          </w:tcPr>
          <w:p>
            <w:pPr>
              <w:jc w:val="left"/>
            </w:pPr>
            <w:r>
              <w:rPr>
                <w:rFonts w:ascii="Times New Roman" w:hAnsi="Times New Roman"/>
                <w:sz w:val="16"/>
              </w:rPr>
              <w:t>Sortase A transpeptidase</w:t>
            </w:r>
          </w:p>
        </w:tc>
        <w:tc>
          <w:tcPr>
            <w:tcW w:type="dxa" w:w="1020"/>
            <w:tcMar>
              <w:top w:w="120" w:type="dxa"/>
              <w:bottom w:w="120" w:type="dxa"/>
              <w:left w:w="150" w:type="dxa"/>
              <w:right w:w="150" w:type="dxa"/>
            </w:tcMar>
            <w:vAlign w:val="center"/>
            <w:tcBorders>
              <w:top w:val="none"/>
              <w:left w:val="none"/>
              <w:bottom w:val="single" w:sz="12" w:space="0" w:color="2F3542"/>
              <w:right w:val="none"/>
            </w:tcBorders>
          </w:tcPr>
          <w:p>
            <w:pPr>
              <w:jc w:val="center"/>
            </w:pPr>
            <w:r>
              <w:rPr>
                <w:rFonts w:ascii="Times New Roman" w:hAnsi="Times New Roman"/>
                <w:sz w:val="16"/>
              </w:rPr>
              <w:t>1T2W</w:t>
            </w:r>
          </w:p>
        </w:tc>
        <w:tc>
          <w:tcPr>
            <w:tcW w:type="dxa" w:w="1134"/>
            <w:tcMar>
              <w:top w:w="120" w:type="dxa"/>
              <w:bottom w:w="120" w:type="dxa"/>
              <w:left w:w="150" w:type="dxa"/>
              <w:right w:w="150" w:type="dxa"/>
            </w:tcMar>
            <w:vAlign w:val="center"/>
            <w:tcBorders>
              <w:top w:val="none"/>
              <w:left w:val="none"/>
              <w:bottom w:val="single" w:sz="12" w:space="0" w:color="2F3542"/>
              <w:right w:val="none"/>
            </w:tcBorders>
          </w:tcPr>
          <w:p>
            <w:pPr>
              <w:jc w:val="center"/>
            </w:pPr>
            <w:r>
              <w:rPr>
                <w:rFonts w:ascii="Times New Roman" w:hAnsi="Times New Roman"/>
                <w:sz w:val="16"/>
              </w:rPr>
              <w:t>pep_037</w:t>
            </w:r>
          </w:p>
        </w:tc>
        <w:tc>
          <w:tcPr>
            <w:tcW w:type="dxa" w:w="3118"/>
            <w:tcMar>
              <w:top w:w="120" w:type="dxa"/>
              <w:bottom w:w="120" w:type="dxa"/>
              <w:left w:w="150" w:type="dxa"/>
              <w:right w:w="150" w:type="dxa"/>
            </w:tcMar>
            <w:vAlign w:val="center"/>
            <w:tcBorders>
              <w:top w:val="none"/>
              <w:left w:val="none"/>
              <w:bottom w:val="single" w:sz="12" w:space="0" w:color="2F3542"/>
              <w:right w:val="none"/>
            </w:tcBorders>
          </w:tcPr>
          <w:p>
            <w:pPr>
              <w:jc w:val="left"/>
            </w:pPr>
            <w:r>
              <w:rPr>
                <w:rFonts w:ascii="Times New Roman" w:hAnsi="Times New Roman"/>
                <w:sz w:val="16"/>
              </w:rPr>
              <w:t>ISLAIPLASKISGFTLALVKNAST</w:t>
            </w:r>
          </w:p>
        </w:tc>
        <w:tc>
          <w:tcPr>
            <w:tcW w:type="dxa" w:w="850"/>
            <w:tcMar>
              <w:top w:w="120" w:type="dxa"/>
              <w:bottom w:w="120" w:type="dxa"/>
              <w:left w:w="150" w:type="dxa"/>
              <w:right w:w="150" w:type="dxa"/>
            </w:tcMar>
            <w:vAlign w:val="center"/>
            <w:tcBorders>
              <w:top w:val="none"/>
              <w:left w:val="none"/>
              <w:bottom w:val="single" w:sz="12" w:space="0" w:color="2F3542"/>
              <w:right w:val="none"/>
            </w:tcBorders>
          </w:tcPr>
          <w:p>
            <w:pPr>
              <w:jc w:val="center"/>
            </w:pPr>
            <w:r>
              <w:rPr>
                <w:rFonts w:ascii="Times New Roman" w:hAnsi="Times New Roman"/>
                <w:sz w:val="16"/>
              </w:rPr>
              <w:t>3</w:t>
            </w:r>
          </w:p>
        </w:tc>
        <w:tc>
          <w:tcPr>
            <w:tcW w:type="dxa" w:w="1701"/>
            <w:tcMar>
              <w:top w:w="120" w:type="dxa"/>
              <w:bottom w:w="120" w:type="dxa"/>
              <w:left w:w="150" w:type="dxa"/>
              <w:right w:w="150" w:type="dxa"/>
            </w:tcMar>
            <w:vAlign w:val="center"/>
            <w:tcBorders>
              <w:top w:val="none"/>
              <w:left w:val="none"/>
              <w:bottom w:val="single" w:sz="12" w:space="0" w:color="2F3542"/>
              <w:right w:val="none"/>
            </w:tcBorders>
          </w:tcPr>
          <w:p>
            <w:pPr>
              <w:jc w:val="center"/>
            </w:pPr>
            <w:r>
              <w:rPr>
                <w:rFonts w:ascii="Times New Roman" w:hAnsi="Times New Roman"/>
                <w:sz w:val="16"/>
              </w:rPr>
              <w:t>605.833</w:t>
            </w:r>
          </w:p>
        </w:tc>
        <w:tc>
          <w:tcPr>
            <w:tcW w:type="dxa" w:w="1020"/>
            <w:tcMar>
              <w:top w:w="120" w:type="dxa"/>
              <w:bottom w:w="120" w:type="dxa"/>
              <w:left w:w="150" w:type="dxa"/>
              <w:right w:w="150" w:type="dxa"/>
            </w:tcMar>
            <w:vAlign w:val="center"/>
            <w:tcBorders>
              <w:top w:val="none"/>
              <w:left w:val="none"/>
              <w:bottom w:val="single" w:sz="12" w:space="0" w:color="2F3542"/>
              <w:right w:val="none"/>
            </w:tcBorders>
          </w:tcPr>
          <w:p>
            <w:pPr>
              <w:jc w:val="center"/>
            </w:pPr>
            <w:r>
              <w:rPr>
                <w:rFonts w:ascii="Times New Roman" w:hAnsi="Times New Roman"/>
                <w:sz w:val="16"/>
              </w:rPr>
              <w:t>443.850</w:t>
            </w:r>
          </w:p>
        </w:tc>
        <w:tc>
          <w:tcPr>
            <w:tcW w:type="dxa" w:w="1587"/>
            <w:tcMar>
              <w:top w:w="120" w:type="dxa"/>
              <w:bottom w:w="120" w:type="dxa"/>
              <w:left w:w="150" w:type="dxa"/>
              <w:right w:w="150" w:type="dxa"/>
            </w:tcMar>
            <w:vAlign w:val="center"/>
            <w:tcBorders>
              <w:top w:val="none"/>
              <w:left w:val="none"/>
              <w:bottom w:val="single" w:sz="12" w:space="0" w:color="2F3542"/>
              <w:right w:val="none"/>
            </w:tcBorders>
          </w:tcPr>
          <w:p>
            <w:pPr>
              <w:jc w:val="center"/>
            </w:pPr>
            <w:r>
              <w:rPr>
                <w:rFonts w:ascii="Times New Roman" w:hAnsi="Times New Roman"/>
                <w:sz w:val="16"/>
              </w:rPr>
              <w:t>288.300</w:t>
            </w:r>
          </w:p>
        </w:tc>
      </w:tr>
    </w:tbl>
    <w:p>
      <w:pPr>
        <w:spacing w:before="0" w:after="280" w:line="300" w:lineRule="auto"/>
        <w:ind w:firstLine="432"/>
        <w:jc w:val="left"/>
      </w:pPr>
      <w:r>
        <w:rPr>
          <w:rFonts w:ascii="Times New Roman" w:hAnsi="Times New Roman"/>
          <w:b w:val="0"/>
          <w:i w:val="0"/>
          <w:color w:val="1A1A1A"/>
          <w:sz w:val="21"/>
          <w:rFonts w:ascii="Times New Roman" w:hAnsi="Times New Roman" w:eastAsia="SimSun"/>
        </w:rPr>
      </w:r>
    </w:p>
    <w:p>
      <w:pPr>
        <w:keepNext/>
        <w:spacing w:before="160" w:after="80"/>
        <w:jc w:val="center"/>
      </w:pPr>
      <w:r>
        <w:rPr>
          <w:rFonts w:ascii="Times New Roman" w:hAnsi="Times New Roman"/>
          <w:b/>
          <w:color w:val="1E272C"/>
          <w:sz w:val="19"/>
          <w:rFonts w:ascii="Times New Roman" w:hAnsi="Times New Roman" w:eastAsia="Microsoft YaHei"/>
        </w:rPr>
        <w:t>表3 各复合物最优构象的4 Å接触残基统计</w:t>
      </w:r>
    </w:p>
    <w:tbl>
      <w:tblPr>
        <w:tblW w:type="auto" w:w="0"/>
        <w:jc w:val="center"/>
        <w:tblLook w:firstColumn="1" w:firstRow="1" w:lastColumn="0" w:lastRow="0" w:noHBand="0" w:noVBand="1" w:val="04A0"/>
      </w:tblPr>
      <w:tblGrid>
        <w:gridCol w:w="2914"/>
        <w:gridCol w:w="2914"/>
        <w:gridCol w:w="2914"/>
        <w:gridCol w:w="2914"/>
        <w:gridCol w:w="2914"/>
      </w:tblGrid>
      <w:tr>
        <w:trPr>
          <w:cantSplit/>
          <w:tblHeader/>
        </w:trPr>
        <w:tc>
          <w:tcPr>
            <w:tcW w:type="dxa" w:w="1134"/>
            <w:tcMar>
              <w:top w:w="120" w:type="dxa"/>
              <w:bottom w:w="120" w:type="dxa"/>
              <w:left w:w="150" w:type="dxa"/>
              <w:right w:w="150" w:type="dxa"/>
            </w:tcMar>
            <w:vAlign w:val="center"/>
            <w:shd w:fill="F2F4F8"/>
            <w:tcBorders>
              <w:top w:val="single" w:sz="12" w:space="0" w:color="2F3542"/>
              <w:left w:val="none"/>
              <w:bottom w:val="single" w:sz="8" w:space="0" w:color="2F3542"/>
              <w:right w:val="none"/>
            </w:tcBorders>
          </w:tcPr>
          <w:p>
            <w:pPr>
              <w:jc w:val="center"/>
            </w:pPr>
            <w:r>
              <w:rPr>
                <w:rFonts w:ascii="Times New Roman" w:hAnsi="Times New Roman"/>
                <w:b/>
                <w:sz w:val="17"/>
              </w:rPr>
              <w:t>面板</w:t>
            </w:r>
          </w:p>
        </w:tc>
        <w:tc>
          <w:tcPr>
            <w:tcW w:type="dxa" w:w="2551"/>
            <w:tcMar>
              <w:top w:w="120" w:type="dxa"/>
              <w:bottom w:w="120" w:type="dxa"/>
              <w:left w:w="150" w:type="dxa"/>
              <w:right w:w="150" w:type="dxa"/>
            </w:tcMar>
            <w:vAlign w:val="center"/>
            <w:shd w:fill="F2F4F8"/>
            <w:tcBorders>
              <w:top w:val="single" w:sz="12" w:space="0" w:color="2F3542"/>
              <w:left w:val="none"/>
              <w:bottom w:val="single" w:sz="8" w:space="0" w:color="2F3542"/>
              <w:right w:val="none"/>
            </w:tcBorders>
          </w:tcPr>
          <w:p>
            <w:pPr>
              <w:jc w:val="center"/>
            </w:pPr>
            <w:r>
              <w:rPr>
                <w:rFonts w:ascii="Times New Roman" w:hAnsi="Times New Roman"/>
                <w:b/>
                <w:sz w:val="17"/>
              </w:rPr>
              <w:t>靶点</w:t>
            </w:r>
          </w:p>
        </w:tc>
        <w:tc>
          <w:tcPr>
            <w:tcW w:type="dxa" w:w="2835"/>
            <w:tcMar>
              <w:top w:w="120" w:type="dxa"/>
              <w:bottom w:w="120" w:type="dxa"/>
              <w:left w:w="150" w:type="dxa"/>
              <w:right w:w="150" w:type="dxa"/>
            </w:tcMar>
            <w:vAlign w:val="center"/>
            <w:shd w:fill="F2F4F8"/>
            <w:tcBorders>
              <w:top w:val="single" w:sz="12" w:space="0" w:color="2F3542"/>
              <w:left w:val="none"/>
              <w:bottom w:val="single" w:sz="8" w:space="0" w:color="2F3542"/>
              <w:right w:val="none"/>
            </w:tcBorders>
          </w:tcPr>
          <w:p>
            <w:pPr>
              <w:jc w:val="center"/>
            </w:pPr>
            <w:r>
              <w:rPr>
                <w:rFonts w:ascii="Times New Roman" w:hAnsi="Times New Roman"/>
                <w:b/>
                <w:sz w:val="17"/>
              </w:rPr>
              <w:t>候选肽</w:t>
            </w:r>
          </w:p>
        </w:tc>
        <w:tc>
          <w:tcPr>
            <w:tcW w:type="dxa" w:w="1417"/>
            <w:tcMar>
              <w:top w:w="120" w:type="dxa"/>
              <w:bottom w:w="120" w:type="dxa"/>
              <w:left w:w="150" w:type="dxa"/>
              <w:right w:w="150" w:type="dxa"/>
            </w:tcMar>
            <w:vAlign w:val="center"/>
            <w:shd w:fill="F2F4F8"/>
            <w:tcBorders>
              <w:top w:val="single" w:sz="12" w:space="0" w:color="2F3542"/>
              <w:left w:val="none"/>
              <w:bottom w:val="single" w:sz="8" w:space="0" w:color="2F3542"/>
              <w:right w:val="none"/>
            </w:tcBorders>
          </w:tcPr>
          <w:p>
            <w:pPr>
              <w:jc w:val="center"/>
            </w:pPr>
            <w:r>
              <w:rPr>
                <w:rFonts w:ascii="Times New Roman" w:hAnsi="Times New Roman"/>
                <w:b/>
                <w:sz w:val="17"/>
              </w:rPr>
              <w:t>接触残基数</w:t>
            </w:r>
          </w:p>
        </w:tc>
        <w:tc>
          <w:tcPr>
            <w:tcW w:type="dxa" w:w="6803"/>
            <w:tcMar>
              <w:top w:w="120" w:type="dxa"/>
              <w:bottom w:w="120" w:type="dxa"/>
              <w:left w:w="150" w:type="dxa"/>
              <w:right w:w="150" w:type="dxa"/>
            </w:tcMar>
            <w:vAlign w:val="center"/>
            <w:shd w:fill="F2F4F8"/>
            <w:tcBorders>
              <w:top w:val="single" w:sz="12" w:space="0" w:color="2F3542"/>
              <w:left w:val="none"/>
              <w:bottom w:val="single" w:sz="8" w:space="0" w:color="2F3542"/>
              <w:right w:val="none"/>
            </w:tcBorders>
          </w:tcPr>
          <w:p>
            <w:pPr>
              <w:jc w:val="center"/>
            </w:pPr>
            <w:r>
              <w:rPr>
                <w:rFonts w:ascii="Times New Roman" w:hAnsi="Times New Roman"/>
                <w:b/>
                <w:sz w:val="17"/>
              </w:rPr>
              <w:t>接触残基</w:t>
            </w:r>
          </w:p>
        </w:tc>
      </w:tr>
      <w:tr>
        <w:trPr>
          <w:cantSplit/>
        </w:trPr>
        <w:tc>
          <w:tcPr>
            <w:tcW w:type="dxa" w:w="113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A</w:t>
            </w:r>
          </w:p>
        </w:tc>
        <w:tc>
          <w:tcPr>
            <w:tcW w:type="dxa" w:w="2551"/>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E. coli FtsZ (6UNX)</w:t>
            </w:r>
          </w:p>
        </w:tc>
        <w:tc>
          <w:tcPr>
            <w:tcW w:type="dxa" w:w="2835"/>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P1 (FVNKLNRIIPVKGFSMR)</w:t>
            </w:r>
          </w:p>
        </w:tc>
        <w:tc>
          <w:tcPr>
            <w:tcW w:type="dxa" w:w="1417"/>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2</w:t>
            </w:r>
          </w:p>
        </w:tc>
        <w:tc>
          <w:tcPr>
            <w:tcW w:type="dxa" w:w="6803"/>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GLU-178; PHE-182</w:t>
            </w:r>
          </w:p>
        </w:tc>
      </w:tr>
      <w:tr>
        <w:trPr>
          <w:cantSplit/>
        </w:trPr>
        <w:tc>
          <w:tcPr>
            <w:tcW w:type="dxa" w:w="113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B</w:t>
            </w:r>
          </w:p>
        </w:tc>
        <w:tc>
          <w:tcPr>
            <w:tcW w:type="dxa" w:w="2551"/>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E. coli FtsZ (6UNX)</w:t>
            </w:r>
          </w:p>
        </w:tc>
        <w:tc>
          <w:tcPr>
            <w:tcW w:type="dxa" w:w="2835"/>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P2 (LISNTKKFGTAIASHR)</w:t>
            </w:r>
          </w:p>
        </w:tc>
        <w:tc>
          <w:tcPr>
            <w:tcW w:type="dxa" w:w="1417"/>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2</w:t>
            </w:r>
          </w:p>
        </w:tc>
        <w:tc>
          <w:tcPr>
            <w:tcW w:type="dxa" w:w="6803"/>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ARG-142; GLU-27</w:t>
            </w:r>
          </w:p>
        </w:tc>
      </w:tr>
      <w:tr>
        <w:trPr>
          <w:cantSplit/>
        </w:trPr>
        <w:tc>
          <w:tcPr>
            <w:tcW w:type="dxa" w:w="113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C</w:t>
            </w:r>
          </w:p>
        </w:tc>
        <w:tc>
          <w:tcPr>
            <w:tcW w:type="dxa" w:w="2551"/>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E. coli FtsZ (6UNX)</w:t>
            </w:r>
          </w:p>
        </w:tc>
        <w:tc>
          <w:tcPr>
            <w:tcW w:type="dxa" w:w="2835"/>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P3 (ISLAIPLASKISGFTLALVKNAST)</w:t>
            </w:r>
          </w:p>
        </w:tc>
        <w:tc>
          <w:tcPr>
            <w:tcW w:type="dxa" w:w="1417"/>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4</w:t>
            </w:r>
          </w:p>
        </w:tc>
        <w:tc>
          <w:tcPr>
            <w:tcW w:type="dxa" w:w="6803"/>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GLU-178; ARG-142; ALA-72; ASP-45</w:t>
            </w:r>
          </w:p>
        </w:tc>
      </w:tr>
      <w:tr>
        <w:trPr>
          <w:cantSplit/>
        </w:trPr>
        <w:tc>
          <w:tcPr>
            <w:tcW w:type="dxa" w:w="113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D</w:t>
            </w:r>
          </w:p>
        </w:tc>
        <w:tc>
          <w:tcPr>
            <w:tcW w:type="dxa" w:w="2551"/>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E. coli GyrB (4DUH)</w:t>
            </w:r>
          </w:p>
        </w:tc>
        <w:tc>
          <w:tcPr>
            <w:tcW w:type="dxa" w:w="2835"/>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P1 (FVNKLNRIIPVKGFSMR)</w:t>
            </w:r>
          </w:p>
        </w:tc>
        <w:tc>
          <w:tcPr>
            <w:tcW w:type="dxa" w:w="1417"/>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1</w:t>
            </w:r>
          </w:p>
        </w:tc>
        <w:tc>
          <w:tcPr>
            <w:tcW w:type="dxa" w:w="6803"/>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LYS-57</w:t>
            </w:r>
          </w:p>
        </w:tc>
      </w:tr>
      <w:tr>
        <w:trPr>
          <w:cantSplit/>
        </w:trPr>
        <w:tc>
          <w:tcPr>
            <w:tcW w:type="dxa" w:w="113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E</w:t>
            </w:r>
          </w:p>
        </w:tc>
        <w:tc>
          <w:tcPr>
            <w:tcW w:type="dxa" w:w="2551"/>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E. coli GyrB (4DUH)</w:t>
            </w:r>
          </w:p>
        </w:tc>
        <w:tc>
          <w:tcPr>
            <w:tcW w:type="dxa" w:w="2835"/>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P2 (LISNTKKFGTAIASHR)</w:t>
            </w:r>
          </w:p>
        </w:tc>
        <w:tc>
          <w:tcPr>
            <w:tcW w:type="dxa" w:w="1417"/>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2</w:t>
            </w:r>
          </w:p>
        </w:tc>
        <w:tc>
          <w:tcPr>
            <w:tcW w:type="dxa" w:w="6803"/>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ASP-74; THR-163</w:t>
            </w:r>
          </w:p>
        </w:tc>
      </w:tr>
      <w:tr>
        <w:trPr>
          <w:cantSplit/>
        </w:trPr>
        <w:tc>
          <w:tcPr>
            <w:tcW w:type="dxa" w:w="113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F</w:t>
            </w:r>
          </w:p>
        </w:tc>
        <w:tc>
          <w:tcPr>
            <w:tcW w:type="dxa" w:w="2551"/>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E. coli GyrB (4DUH)</w:t>
            </w:r>
          </w:p>
        </w:tc>
        <w:tc>
          <w:tcPr>
            <w:tcW w:type="dxa" w:w="2835"/>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P3 (ISLAIPLASKISGFTLALVKNAST)</w:t>
            </w:r>
          </w:p>
        </w:tc>
        <w:tc>
          <w:tcPr>
            <w:tcW w:type="dxa" w:w="1417"/>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1</w:t>
            </w:r>
          </w:p>
        </w:tc>
        <w:tc>
          <w:tcPr>
            <w:tcW w:type="dxa" w:w="6803"/>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GLU-161</w:t>
            </w:r>
          </w:p>
        </w:tc>
      </w:tr>
      <w:tr>
        <w:trPr>
          <w:cantSplit/>
        </w:trPr>
        <w:tc>
          <w:tcPr>
            <w:tcW w:type="dxa" w:w="113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G</w:t>
            </w:r>
          </w:p>
        </w:tc>
        <w:tc>
          <w:tcPr>
            <w:tcW w:type="dxa" w:w="2551"/>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S. aureus FtsZ (5MN4)</w:t>
            </w:r>
          </w:p>
        </w:tc>
        <w:tc>
          <w:tcPr>
            <w:tcW w:type="dxa" w:w="2835"/>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P1 (FVNKLNRIIPVKGFSMR)</w:t>
            </w:r>
          </w:p>
        </w:tc>
        <w:tc>
          <w:tcPr>
            <w:tcW w:type="dxa" w:w="1417"/>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3</w:t>
            </w:r>
          </w:p>
        </w:tc>
        <w:tc>
          <w:tcPr>
            <w:tcW w:type="dxa" w:w="6803"/>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MET-179; GLU-139; ALA-138</w:t>
            </w:r>
          </w:p>
        </w:tc>
      </w:tr>
      <w:tr>
        <w:trPr>
          <w:cantSplit/>
        </w:trPr>
        <w:tc>
          <w:tcPr>
            <w:tcW w:type="dxa" w:w="113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H</w:t>
            </w:r>
          </w:p>
        </w:tc>
        <w:tc>
          <w:tcPr>
            <w:tcW w:type="dxa" w:w="2551"/>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S. aureus FtsZ (5MN4)</w:t>
            </w:r>
          </w:p>
        </w:tc>
        <w:tc>
          <w:tcPr>
            <w:tcW w:type="dxa" w:w="2835"/>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P2 (LISNTKKFGTAIASHR)</w:t>
            </w:r>
          </w:p>
        </w:tc>
        <w:tc>
          <w:tcPr>
            <w:tcW w:type="dxa" w:w="1417"/>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1</w:t>
            </w:r>
          </w:p>
        </w:tc>
        <w:tc>
          <w:tcPr>
            <w:tcW w:type="dxa" w:w="6803"/>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ARG-143</w:t>
            </w:r>
          </w:p>
        </w:tc>
      </w:tr>
      <w:tr>
        <w:trPr>
          <w:cantSplit/>
        </w:trPr>
        <w:tc>
          <w:tcPr>
            <w:tcW w:type="dxa" w:w="113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I</w:t>
            </w:r>
          </w:p>
        </w:tc>
        <w:tc>
          <w:tcPr>
            <w:tcW w:type="dxa" w:w="2551"/>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S. aureus FtsZ (5MN4)</w:t>
            </w:r>
          </w:p>
        </w:tc>
        <w:tc>
          <w:tcPr>
            <w:tcW w:type="dxa" w:w="2835"/>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P3 (ISLAIPLASKISGFTLALVKNAST)</w:t>
            </w:r>
          </w:p>
        </w:tc>
        <w:tc>
          <w:tcPr>
            <w:tcW w:type="dxa" w:w="1417"/>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5</w:t>
            </w:r>
          </w:p>
        </w:tc>
        <w:tc>
          <w:tcPr>
            <w:tcW w:type="dxa" w:w="6803"/>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ASN-25; GLY-21; GLY-72; ALA-138; ARG-143</w:t>
            </w:r>
          </w:p>
        </w:tc>
      </w:tr>
      <w:tr>
        <w:trPr>
          <w:cantSplit/>
        </w:trPr>
        <w:tc>
          <w:tcPr>
            <w:tcW w:type="dxa" w:w="113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J</w:t>
            </w:r>
          </w:p>
        </w:tc>
        <w:tc>
          <w:tcPr>
            <w:tcW w:type="dxa" w:w="2551"/>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S. aureus SrtA (1T2W)</w:t>
            </w:r>
          </w:p>
        </w:tc>
        <w:tc>
          <w:tcPr>
            <w:tcW w:type="dxa" w:w="2835"/>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P1 (FVNKLNRIIPVKGFSMR)</w:t>
            </w:r>
          </w:p>
        </w:tc>
        <w:tc>
          <w:tcPr>
            <w:tcW w:type="dxa" w:w="1417"/>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8</w:t>
            </w:r>
          </w:p>
        </w:tc>
        <w:tc>
          <w:tcPr>
            <w:tcW w:type="dxa" w:w="6803"/>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TYR-75; GLU-77; GLY-139; SER-140; LYS-138; ASP-185; ASP-186; ASP-124</w:t>
            </w:r>
          </w:p>
        </w:tc>
      </w:tr>
      <w:tr>
        <w:trPr>
          <w:cantSplit/>
        </w:trPr>
        <w:tc>
          <w:tcPr>
            <w:tcW w:type="dxa" w:w="113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K</w:t>
            </w:r>
          </w:p>
        </w:tc>
        <w:tc>
          <w:tcPr>
            <w:tcW w:type="dxa" w:w="2551"/>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S. aureus SrtA (1T2W)</w:t>
            </w:r>
          </w:p>
        </w:tc>
        <w:tc>
          <w:tcPr>
            <w:tcW w:type="dxa" w:w="2835"/>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P2 (LISNTKKFGTAIASHR)</w:t>
            </w:r>
          </w:p>
        </w:tc>
        <w:tc>
          <w:tcPr>
            <w:tcW w:type="dxa" w:w="1417"/>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4</w:t>
            </w:r>
          </w:p>
        </w:tc>
        <w:tc>
          <w:tcPr>
            <w:tcW w:type="dxa" w:w="6803"/>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LYS-206; THR-150; LYS-84; ASP-82</w:t>
            </w:r>
          </w:p>
        </w:tc>
      </w:tr>
      <w:tr>
        <w:trPr>
          <w:cantSplit/>
        </w:trPr>
        <w:tc>
          <w:tcPr>
            <w:tcW w:type="dxa" w:w="1134"/>
            <w:tcMar>
              <w:top w:w="120" w:type="dxa"/>
              <w:bottom w:w="120" w:type="dxa"/>
              <w:left w:w="150" w:type="dxa"/>
              <w:right w:w="150" w:type="dxa"/>
            </w:tcMar>
            <w:vAlign w:val="center"/>
            <w:tcBorders>
              <w:top w:val="none"/>
              <w:left w:val="none"/>
              <w:bottom w:val="single" w:sz="12" w:space="0" w:color="2F3542"/>
              <w:right w:val="none"/>
            </w:tcBorders>
          </w:tcPr>
          <w:p>
            <w:pPr>
              <w:jc w:val="center"/>
            </w:pPr>
            <w:r>
              <w:rPr>
                <w:rFonts w:ascii="Times New Roman" w:hAnsi="Times New Roman"/>
                <w:sz w:val="16"/>
              </w:rPr>
              <w:t>L</w:t>
            </w:r>
          </w:p>
        </w:tc>
        <w:tc>
          <w:tcPr>
            <w:tcW w:type="dxa" w:w="2551"/>
            <w:tcMar>
              <w:top w:w="120" w:type="dxa"/>
              <w:bottom w:w="120" w:type="dxa"/>
              <w:left w:w="150" w:type="dxa"/>
              <w:right w:w="150" w:type="dxa"/>
            </w:tcMar>
            <w:vAlign w:val="center"/>
            <w:tcBorders>
              <w:top w:val="none"/>
              <w:left w:val="none"/>
              <w:bottom w:val="single" w:sz="12" w:space="0" w:color="2F3542"/>
              <w:right w:val="none"/>
            </w:tcBorders>
          </w:tcPr>
          <w:p>
            <w:pPr>
              <w:jc w:val="left"/>
            </w:pPr>
            <w:r>
              <w:rPr>
                <w:rFonts w:ascii="Times New Roman" w:hAnsi="Times New Roman"/>
                <w:sz w:val="16"/>
              </w:rPr>
              <w:t>S. aureus SrtA (1T2W)</w:t>
            </w:r>
          </w:p>
        </w:tc>
        <w:tc>
          <w:tcPr>
            <w:tcW w:type="dxa" w:w="2835"/>
            <w:tcMar>
              <w:top w:w="120" w:type="dxa"/>
              <w:bottom w:w="120" w:type="dxa"/>
              <w:left w:w="150" w:type="dxa"/>
              <w:right w:w="150" w:type="dxa"/>
            </w:tcMar>
            <w:vAlign w:val="center"/>
            <w:tcBorders>
              <w:top w:val="none"/>
              <w:left w:val="none"/>
              <w:bottom w:val="single" w:sz="12" w:space="0" w:color="2F3542"/>
              <w:right w:val="none"/>
            </w:tcBorders>
          </w:tcPr>
          <w:p>
            <w:pPr>
              <w:jc w:val="left"/>
            </w:pPr>
            <w:r>
              <w:rPr>
                <w:rFonts w:ascii="Times New Roman" w:hAnsi="Times New Roman"/>
                <w:sz w:val="16"/>
              </w:rPr>
              <w:t>P3 (ISLAIPLASKISGFTLALVKNAST)</w:t>
            </w:r>
          </w:p>
        </w:tc>
        <w:tc>
          <w:tcPr>
            <w:tcW w:type="dxa" w:w="1417"/>
            <w:tcMar>
              <w:top w:w="120" w:type="dxa"/>
              <w:bottom w:w="120" w:type="dxa"/>
              <w:left w:w="150" w:type="dxa"/>
              <w:right w:w="150" w:type="dxa"/>
            </w:tcMar>
            <w:vAlign w:val="center"/>
            <w:tcBorders>
              <w:top w:val="none"/>
              <w:left w:val="none"/>
              <w:bottom w:val="single" w:sz="12" w:space="0" w:color="2F3542"/>
              <w:right w:val="none"/>
            </w:tcBorders>
          </w:tcPr>
          <w:p>
            <w:pPr>
              <w:jc w:val="center"/>
            </w:pPr>
            <w:r>
              <w:rPr>
                <w:rFonts w:ascii="Times New Roman" w:hAnsi="Times New Roman"/>
                <w:sz w:val="16"/>
              </w:rPr>
              <w:t>11</w:t>
            </w:r>
          </w:p>
        </w:tc>
        <w:tc>
          <w:tcPr>
            <w:tcW w:type="dxa" w:w="6803"/>
            <w:tcMar>
              <w:top w:w="120" w:type="dxa"/>
              <w:bottom w:w="120" w:type="dxa"/>
              <w:left w:w="150" w:type="dxa"/>
              <w:right w:w="150" w:type="dxa"/>
            </w:tcMar>
            <w:vAlign w:val="center"/>
            <w:tcBorders>
              <w:top w:val="none"/>
              <w:left w:val="none"/>
              <w:bottom w:val="single" w:sz="12" w:space="0" w:color="2F3542"/>
              <w:right w:val="none"/>
            </w:tcBorders>
          </w:tcPr>
          <w:p>
            <w:pPr>
              <w:jc w:val="left"/>
            </w:pPr>
            <w:r>
              <w:rPr>
                <w:rFonts w:ascii="Times New Roman" w:hAnsi="Times New Roman"/>
                <w:sz w:val="16"/>
              </w:rPr>
              <w:t>ASN-148; GLU-149; THR-150; GLU-77; GLU-85; ILE-78; LYS-84; ASP-82; ASN-132; ASN-127; PRO-126</w:t>
            </w:r>
          </w:p>
        </w:tc>
      </w:tr>
    </w:tbl>
    <w:p>
      <w:pPr>
        <w:sectPr>
          <w:pgSz w:w="16838" w:h="11906" w:orient="landscape"/>
          <w:pgMar w:top="1134" w:right="1134" w:bottom="1134" w:left="1134" w:header="851" w:footer="992" w:gutter="0"/>
          <w:cols w:space="425" w:num="1"/>
          <w:docGrid w:type="lines" w:linePitch="312" w:charSpace="0"/>
        </w:sectPr>
      </w:pPr>
    </w:p>
    <w:p>
      <w:pPr>
        <w:keepNext/>
        <w:spacing w:before="200" w:after="80"/>
      </w:pPr>
      <w:r>
        <w:rPr>
          <w:rFonts w:ascii="Times New Roman" w:hAnsi="Times New Roman"/>
          <w:b/>
          <w:color w:val="2C3E50"/>
          <w:sz w:val="26"/>
          <w:rFonts w:ascii="Times New Roman" w:hAnsi="Times New Roman" w:eastAsia="Microsoft YaHei"/>
        </w:rPr>
        <w:t>3.9 结合位点接触残基与可视化</w:t>
      </w:r>
    </w:p>
    <w:p>
      <w:pPr>
        <w:spacing w:before="0" w:after="80" w:line="300" w:lineRule="auto"/>
        <w:ind w:firstLine="432"/>
        <w:jc w:val="left"/>
      </w:pPr>
      <w:r>
        <w:rPr>
          <w:rFonts w:ascii="Times New Roman" w:hAnsi="Times New Roman"/>
          <w:b w:val="0"/>
          <w:i w:val="0"/>
          <w:color w:val="1A1A1A"/>
          <w:sz w:val="21"/>
          <w:rFonts w:ascii="Times New Roman" w:hAnsi="Times New Roman" w:eastAsia="SimSun"/>
        </w:rPr>
        <w:t>对12个组合的最优构象分别计算4 Å以内的接触残基，结果见表3；对应的三维相互作用可视化见图2与图3，12个复合物的总览见图S1。</w:t>
      </w:r>
    </w:p>
    <w:p>
      <w:pPr>
        <w:keepNext/>
        <w:spacing w:before="200" w:after="80"/>
        <w:jc w:val="center"/>
      </w:pPr>
      <w:r>
        <w:drawing>
          <wp:inline xmlns:a="http://schemas.openxmlformats.org/drawingml/2006/main" xmlns:pic="http://schemas.openxmlformats.org/drawingml/2006/picture">
            <wp:extent cx="5976000" cy="5058257"/>
            <wp:docPr id="2" name="Picture 2"/>
            <wp:cNvGraphicFramePr>
              <a:graphicFrameLocks noChangeAspect="1"/>
            </wp:cNvGraphicFramePr>
            <a:graphic>
              <a:graphicData uri="http://schemas.openxmlformats.org/drawingml/2006/picture">
                <pic:pic>
                  <pic:nvPicPr>
                    <pic:cNvPr id="0" name="Figure_4_Part1_A-F_300dpi.png"/>
                    <pic:cNvPicPr/>
                  </pic:nvPicPr>
                  <pic:blipFill>
                    <a:blip r:embed="rId9"/>
                    <a:stretch>
                      <a:fillRect/>
                    </a:stretch>
                  </pic:blipFill>
                  <pic:spPr>
                    <a:xfrm>
                      <a:off x="0" y="0"/>
                      <a:ext cx="5976000" cy="5058257"/>
                    </a:xfrm>
                    <a:prstGeom prst="rect"/>
                  </pic:spPr>
                </pic:pic>
              </a:graphicData>
            </a:graphic>
          </wp:inline>
        </w:drawing>
      </w:r>
    </w:p>
    <w:p>
      <w:pPr>
        <w:keepNext/>
        <w:spacing w:before="80" w:after="160"/>
        <w:jc w:val="center"/>
      </w:pPr>
      <w:r>
        <w:rPr>
          <w:rFonts w:ascii="Times New Roman" w:hAnsi="Times New Roman"/>
          <w:b/>
          <w:color w:val="1E272C"/>
          <w:sz w:val="19"/>
          <w:rFonts w:ascii="Times New Roman" w:hAnsi="Times New Roman" w:eastAsia="Microsoft YaHei"/>
        </w:rPr>
        <w:t>图2 最终候选抗菌肽与Escherichia coli靶点的分子对接相互作用图(A—F)。</w:t>
        <w:br/>
        <w:t>A—C为FtsZ(6UNX)分别与pep_018、pep_029、pep_037的复合物；D—F为GyrB ATPase结构域(4DUH)与同样3条候选肽的复合物。每个面板左侧为受体整体视图，右侧为结合位点4 Å局部放大视图；肽配体为橙色棒状模型，接触残基为青色棒状模型并标注残基编号。</w:t>
      </w:r>
    </w:p>
    <w:p>
      <w:pPr>
        <w:keepNext/>
        <w:spacing w:before="200" w:after="80"/>
        <w:jc w:val="center"/>
      </w:pPr>
      <w:r>
        <w:drawing>
          <wp:inline xmlns:a="http://schemas.openxmlformats.org/drawingml/2006/main" xmlns:pic="http://schemas.openxmlformats.org/drawingml/2006/picture">
            <wp:extent cx="5976000" cy="5058257"/>
            <wp:docPr id="3" name="Picture 3"/>
            <wp:cNvGraphicFramePr>
              <a:graphicFrameLocks noChangeAspect="1"/>
            </wp:cNvGraphicFramePr>
            <a:graphic>
              <a:graphicData uri="http://schemas.openxmlformats.org/drawingml/2006/picture">
                <pic:pic>
                  <pic:nvPicPr>
                    <pic:cNvPr id="0" name="Figure_4_Part2_G-L_300dpi.png"/>
                    <pic:cNvPicPr/>
                  </pic:nvPicPr>
                  <pic:blipFill>
                    <a:blip r:embed="rId10"/>
                    <a:stretch>
                      <a:fillRect/>
                    </a:stretch>
                  </pic:blipFill>
                  <pic:spPr>
                    <a:xfrm>
                      <a:off x="0" y="0"/>
                      <a:ext cx="5976000" cy="5058257"/>
                    </a:xfrm>
                    <a:prstGeom prst="rect"/>
                  </pic:spPr>
                </pic:pic>
              </a:graphicData>
            </a:graphic>
          </wp:inline>
        </w:drawing>
      </w:r>
    </w:p>
    <w:p>
      <w:pPr>
        <w:keepNext/>
        <w:spacing w:before="80" w:after="160"/>
        <w:jc w:val="center"/>
      </w:pPr>
      <w:r>
        <w:rPr>
          <w:rFonts w:ascii="Times New Roman" w:hAnsi="Times New Roman"/>
          <w:b/>
          <w:color w:val="1E272C"/>
          <w:sz w:val="19"/>
          <w:rFonts w:ascii="Times New Roman" w:hAnsi="Times New Roman" w:eastAsia="Microsoft YaHei"/>
        </w:rPr>
        <w:t>图3 最终候选抗菌肽与Staphylococcus aureus靶点的分子对接相互作用图(G—L)。</w:t>
        <w:br/>
        <w:t>G—I为FtsZ(5MN4)分别与pep_018、pep_029、pep_037的复合物；J—L为Sortase A(1T2W)与同样3条候选肽的复合物。图例与图2一致。</w:t>
      </w:r>
    </w:p>
    <w:p>
      <w:pPr>
        <w:keepNext/>
        <w:spacing w:before="200" w:after="80"/>
        <w:jc w:val="center"/>
      </w:pPr>
      <w:r>
        <w:drawing>
          <wp:inline xmlns:a="http://schemas.openxmlformats.org/drawingml/2006/main" xmlns:pic="http://schemas.openxmlformats.org/drawingml/2006/picture">
            <wp:extent cx="5976000" cy="4563103"/>
            <wp:docPr id="4" name="Picture 4"/>
            <wp:cNvGraphicFramePr>
              <a:graphicFrameLocks noChangeAspect="1"/>
            </wp:cNvGraphicFramePr>
            <a:graphic>
              <a:graphicData uri="http://schemas.openxmlformats.org/drawingml/2006/picture">
                <pic:pic>
                  <pic:nvPicPr>
                    <pic:cNvPr id="0" name="Figure_S1_12_Combined_300dpi.png"/>
                    <pic:cNvPicPr/>
                  </pic:nvPicPr>
                  <pic:blipFill>
                    <a:blip r:embed="rId11"/>
                    <a:stretch>
                      <a:fillRect/>
                    </a:stretch>
                  </pic:blipFill>
                  <pic:spPr>
                    <a:xfrm>
                      <a:off x="0" y="0"/>
                      <a:ext cx="5976000" cy="4563103"/>
                    </a:xfrm>
                    <a:prstGeom prst="rect"/>
                  </pic:spPr>
                </pic:pic>
              </a:graphicData>
            </a:graphic>
          </wp:inline>
        </w:drawing>
      </w:r>
    </w:p>
    <w:p>
      <w:pPr>
        <w:keepNext/>
        <w:spacing w:before="80" w:after="160"/>
        <w:jc w:val="center"/>
      </w:pPr>
      <w:r>
        <w:rPr>
          <w:rFonts w:ascii="Times New Roman" w:hAnsi="Times New Roman"/>
          <w:b/>
          <w:color w:val="1E272C"/>
          <w:sz w:val="19"/>
          <w:rFonts w:ascii="Times New Roman" w:hAnsi="Times New Roman" w:eastAsia="Microsoft YaHei"/>
        </w:rPr>
        <w:t>图S1 3条最终候选抗菌肽与4个细菌靶点共12个复合物的分子对接总览(A—L)。</w:t>
      </w:r>
    </w:p>
    <w:p>
      <w:pPr>
        <w:keepNext/>
        <w:spacing w:before="200" w:after="80"/>
      </w:pPr>
      <w:r>
        <w:rPr>
          <w:rFonts w:ascii="Times New Roman" w:hAnsi="Times New Roman"/>
          <w:b/>
          <w:color w:val="2C3E50"/>
          <w:sz w:val="26"/>
          <w:rFonts w:ascii="Times New Roman" w:hAnsi="Times New Roman" w:eastAsia="Microsoft YaHei"/>
        </w:rPr>
        <w:t>3.10 对接结果的解释与局限</w:t>
      </w:r>
    </w:p>
    <w:p>
      <w:pPr>
        <w:spacing w:before="0" w:after="80" w:line="300" w:lineRule="auto"/>
        <w:ind w:firstLine="432"/>
        <w:jc w:val="left"/>
      </w:pPr>
      <w:r>
        <w:rPr>
          <w:rFonts w:ascii="Times New Roman" w:hAnsi="Times New Roman"/>
          <w:b w:val="0"/>
          <w:i w:val="0"/>
          <w:color w:val="1A1A1A"/>
          <w:sz w:val="21"/>
          <w:rFonts w:ascii="Times New Roman" w:hAnsi="Times New Roman" w:eastAsia="SimSun"/>
        </w:rPr>
        <w:t>需要指出的是，AutoDock Vina的评分函数是针对小分子配体开发的，并非专用的柔性肽—蛋白对接引擎。本研究将经RDKit/UFF能量最小化后的肽构象作为刚性配体对接至标准化受体，其结果适合作为可复现、开放源代码的计算初筛记录，用于在多个候选靶点之间进行相对比较与优先级排序，而不应直接等同于实验结合亲和力。若用于机制结论或投稿，建议进一步开展柔性肽对接、分子动力学模拟与MM/GBSA结合自由能计算，并结合体外抑菌与结合实验加以验证。</w:t>
      </w:r>
    </w:p>
    <w:sectPr>
      <w:pgSz w:w="11906" w:h="16838"/>
      <w:pgMar w:top="1247" w:right="1247" w:bottom="1247" w:left="1247"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F557B6"/>
    <w:rsid w:val="0391674B"/>
    <w:rsid w:val="055A4A0C"/>
    <w:rsid w:val="061C26D8"/>
    <w:rsid w:val="06BA242D"/>
    <w:rsid w:val="09B5177D"/>
    <w:rsid w:val="0A927645"/>
    <w:rsid w:val="0AA07ADA"/>
    <w:rsid w:val="0C3C702E"/>
    <w:rsid w:val="0E66385E"/>
    <w:rsid w:val="0EF20DA9"/>
    <w:rsid w:val="0FC51077"/>
    <w:rsid w:val="11614895"/>
    <w:rsid w:val="124D5C3C"/>
    <w:rsid w:val="15484ED6"/>
    <w:rsid w:val="15680DEF"/>
    <w:rsid w:val="15764855"/>
    <w:rsid w:val="1A0503BE"/>
    <w:rsid w:val="1CBD7D2F"/>
    <w:rsid w:val="1F0C4C60"/>
    <w:rsid w:val="24DB0256"/>
    <w:rsid w:val="28F63125"/>
    <w:rsid w:val="2E370626"/>
    <w:rsid w:val="2F45562F"/>
    <w:rsid w:val="2FE134FD"/>
    <w:rsid w:val="2FE50608"/>
    <w:rsid w:val="3491229D"/>
    <w:rsid w:val="37683807"/>
    <w:rsid w:val="38F304C3"/>
    <w:rsid w:val="38FB7F54"/>
    <w:rsid w:val="4AAA064D"/>
    <w:rsid w:val="4ED10409"/>
    <w:rsid w:val="4FA930E5"/>
    <w:rsid w:val="503742D4"/>
    <w:rsid w:val="51F557B6"/>
    <w:rsid w:val="52DB71BA"/>
    <w:rsid w:val="535853DD"/>
    <w:rsid w:val="54407CEC"/>
    <w:rsid w:val="5574740E"/>
    <w:rsid w:val="5A9649B9"/>
    <w:rsid w:val="5BB60084"/>
    <w:rsid w:val="5CEA283C"/>
    <w:rsid w:val="604934C1"/>
    <w:rsid w:val="68F16985"/>
    <w:rsid w:val="710B00E2"/>
    <w:rsid w:val="71C905C1"/>
    <w:rsid w:val="73133E56"/>
    <w:rsid w:val="74641182"/>
    <w:rsid w:val="770443DF"/>
    <w:rsid w:val="7A6928B2"/>
    <w:rsid w:val="7C4E5F5A"/>
    <w:rsid w:val="7EE871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00" w:lineRule="exact"/>
      <w:ind w:firstLine="200" w:firstLineChars="200"/>
      <w:jc w:val="both"/>
    </w:pPr>
    <w:rPr>
      <w:rFonts w:ascii="Times New Roman" w:hAnsi="Times New Roman" w:eastAsia="宋体" w:cs="Times New Roman"/>
      <w:sz w:val="24"/>
      <w:szCs w:val="22"/>
      <w:lang w:val="en-US" w:eastAsia="zh-CN" w:bidi="ar-SA"/>
    </w:rPr>
  </w:style>
  <w:style w:type="paragraph" w:styleId="2">
    <w:name w:val="heading 1"/>
    <w:basedOn w:val="1"/>
    <w:next w:val="1"/>
    <w:link w:val="12"/>
    <w:qFormat/>
    <w:uiPriority w:val="0"/>
    <w:pPr>
      <w:keepNext/>
      <w:keepLines/>
      <w:widowControl w:val="0"/>
      <w:spacing w:before="50" w:beforeLines="50" w:after="50" w:afterLines="50" w:line="600" w:lineRule="exact"/>
      <w:ind w:firstLine="0" w:firstLineChars="0"/>
      <w:jc w:val="left"/>
      <w:outlineLvl w:val="0"/>
    </w:pPr>
    <w:rPr>
      <w:rFonts w:ascii="Times New Roman" w:hAnsi="Times New Roman" w:eastAsia="黑体"/>
      <w:kern w:val="2"/>
      <w:sz w:val="32"/>
      <w:szCs w:val="20"/>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paragraph" w:styleId="8">
    <w:name w:val="heading 7"/>
    <w:basedOn w:val="1"/>
    <w:next w:val="1"/>
    <w:unhideWhenUsed/>
    <w:qFormat/>
    <w:uiPriority w:val="0"/>
    <w:pPr>
      <w:keepNext/>
      <w:keepLines/>
      <w:spacing w:before="100" w:beforeLines="0" w:beforeAutospacing="0" w:after="100" w:afterLines="0" w:afterAutospacing="0" w:line="360" w:lineRule="auto"/>
      <w:ind w:firstLine="0" w:firstLineChars="0"/>
      <w:outlineLvl w:val="6"/>
    </w:pPr>
    <w:rPr>
      <w:b/>
      <w:sz w:val="28"/>
      <w:szCs w:val="28"/>
    </w:rPr>
  </w:style>
  <w:style w:type="character" w:default="1" w:styleId="11">
    <w:name w:val="Default Paragraph Font"/>
    <w:semiHidden/>
    <w:unhideWhenUsed/>
    <w:qFormat/>
    <w:uiPriority w:val="1"/>
  </w:style>
  <w:style w:type="table" w:default="1" w:styleId="10">
    <w:name w:val="Normal Table"/>
    <w:semiHidden/>
    <w:uiPriority w:val="0"/>
    <w:tblPr>
      <w:tblCellMar>
        <w:top w:w="0" w:type="dxa"/>
        <w:left w:w="108" w:type="dxa"/>
        <w:bottom w:w="0" w:type="dxa"/>
        <w:right w:w="108" w:type="dxa"/>
      </w:tblCellMar>
    </w:tbl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 w:type="character" w:customStyle="1" w:styleId="12">
    <w:name w:val="标题 1 字符"/>
    <w:basedOn w:val="11"/>
    <w:link w:val="2"/>
    <w:qFormat/>
    <w:uiPriority w:val="0"/>
    <w:rPr>
      <w:rFonts w:ascii="Times New Roman" w:hAnsi="Times New Roman" w:eastAsia="黑体" w:cs="Times New Roman"/>
      <w:sz w:val="30"/>
      <w:szCs w:val="20"/>
    </w:rPr>
  </w:style>
  <w:style w:type="paragraph" w:customStyle="1" w:styleId="13">
    <w:name w:val="题目"/>
    <w:basedOn w:val="1"/>
    <w:next w:val="1"/>
    <w:uiPriority w:val="0"/>
    <w:pPr>
      <w:keepNext/>
      <w:keepLines/>
      <w:widowControl w:val="0"/>
      <w:spacing w:before="50" w:beforeLines="50" w:after="50" w:afterLines="50" w:line="600" w:lineRule="exact"/>
      <w:ind w:left="0" w:firstLine="0" w:firstLineChars="0"/>
      <w:jc w:val="center"/>
      <w:outlineLvl w:val="0"/>
    </w:pPr>
    <w:rPr>
      <w:rFonts w:ascii="Times New Roman" w:hAnsi="Times New Roman" w:eastAsia="黑体"/>
      <w:b/>
      <w:kern w:val="2"/>
      <w:sz w:val="32"/>
      <w:szCs w:val="20"/>
    </w:rPr>
  </w:style>
  <w:style w:type="paragraph" w:customStyle="1" w:styleId="14">
    <w:name w:val="前言"/>
    <w:basedOn w:val="1"/>
    <w:uiPriority w:val="0"/>
    <w:pPr>
      <w:keepNext/>
      <w:keepLines/>
      <w:widowControl w:val="0"/>
      <w:spacing w:before="10" w:after="10" w:line="600" w:lineRule="exact"/>
      <w:ind w:left="0" w:firstLine="0" w:firstLineChars="0"/>
      <w:jc w:val="left"/>
      <w:outlineLvl w:val="0"/>
    </w:pPr>
    <w:rPr>
      <w:rFonts w:ascii="黑体" w:hAnsi="黑体" w:eastAsia="黑体"/>
      <w:kern w:val="2"/>
      <w:sz w:val="30"/>
      <w:szCs w:val="20"/>
    </w:rPr>
  </w:style>
  <w:style w:type="paragraph" w:customStyle="1" w:styleId="15">
    <w:name w:val="样式1"/>
    <w:basedOn w:val="1"/>
    <w:next w:val="1"/>
    <w:uiPriority w:val="0"/>
    <w:pPr>
      <w:keepNext/>
      <w:keepLines/>
      <w:widowControl w:val="0"/>
      <w:spacing w:before="50" w:beforeLines="50" w:after="50" w:afterLines="50" w:line="600" w:lineRule="exact"/>
      <w:ind w:firstLine="0" w:firstLineChars="0"/>
      <w:outlineLvl w:val="1"/>
    </w:pPr>
    <w:rPr>
      <w:rFonts w:ascii="黑体" w:hAnsi="黑体" w:eastAsia="黑体" w:cs="Times New Roman"/>
      <w:kern w:val="2"/>
      <w:sz w:val="30"/>
      <w:szCs w:val="20"/>
    </w:rPr>
  </w:style>
  <w:style w:type="paragraph" w:styleId="16">
    <w:name w:val="Quote"/>
    <w:basedOn w:val="1"/>
    <w:next w:val="1"/>
    <w:qFormat/>
    <w:uiPriority w:val="29"/>
    <w:pPr>
      <w:spacing w:line="400" w:lineRule="exact"/>
      <w:ind w:firstLine="0" w:firstLineChars="0"/>
    </w:pPr>
    <w:rPr>
      <w:rFonts w:eastAsia="楷体_GB2312"/>
      <w:iCs/>
      <w:color w:val="000000" w:themeColor="text1"/>
      <w14:textFill>
        <w14:solidFill>
          <w14:schemeClr w14:val="tx1"/>
        </w14:solidFill>
      </w14:textFill>
    </w:rPr>
  </w:style>
  <w:style w:type="paragraph" w:customStyle="1" w:styleId="17">
    <w:name w:val="参考文献"/>
    <w:basedOn w:val="1"/>
    <w:uiPriority w:val="0"/>
    <w:pPr>
      <w:keepNext/>
      <w:keepLines/>
      <w:widowControl w:val="0"/>
      <w:spacing w:before="50" w:beforeLines="50" w:after="50" w:afterLines="50" w:line="600" w:lineRule="exact"/>
      <w:ind w:firstLine="0" w:firstLineChars="0"/>
      <w:jc w:val="left"/>
      <w:outlineLvl w:val="0"/>
    </w:pPr>
    <w:rPr>
      <w:rFonts w:ascii="黑体" w:hAnsi="黑体" w:eastAsia="黑体"/>
      <w:kern w:val="2"/>
      <w:sz w:val="32"/>
      <w:szCs w:val="20"/>
    </w:rPr>
  </w:style>
  <w:style w:type="paragraph" w:customStyle="1" w:styleId="18">
    <w:name w:val="致谢"/>
    <w:basedOn w:val="1"/>
    <w:uiPriority w:val="0"/>
    <w:pPr>
      <w:ind w:firstLine="640" w:firstLineChars="200"/>
    </w:pPr>
    <w:rPr>
      <w:rFonts w:eastAsia="楷体_GB2312"/>
      <w:iCs/>
      <w:color w:val="000000" w:themeColor="text1"/>
      <w14:textFill>
        <w14:solidFill>
          <w14:schemeClr w14:val="tx1"/>
        </w14:solidFill>
      </w14:textFill>
    </w:rPr>
  </w:style>
  <w:style w:type="paragraph" w:customStyle="1" w:styleId="19">
    <w:name w:val="图例"/>
    <w:basedOn w:val="1"/>
    <w:uiPriority w:val="0"/>
    <w:pPr>
      <w:spacing w:before="50" w:beforeLines="50" w:after="50" w:afterLines="50" w:line="600" w:lineRule="exact"/>
      <w:ind w:firstLine="0" w:firstLineChars="0"/>
      <w:jc w:val="center"/>
    </w:pPr>
    <w:rPr>
      <w:rFonts w:ascii="Times New Roman" w:hAnsi="Times New Roman" w:eastAsia="黑体"/>
      <w:sz w:val="21"/>
    </w:rPr>
  </w:style>
  <w:style w:type="paragraph" w:customStyle="1" w:styleId="20">
    <w:name w:val="图表"/>
    <w:basedOn w:val="1"/>
    <w:uiPriority w:val="0"/>
    <w:pPr>
      <w:spacing w:line="240" w:lineRule="auto"/>
      <w:ind w:firstLine="0" w:firstLineChars="0"/>
      <w:jc w:val="center"/>
    </w:pPr>
  </w:style>
  <w:style w:type="character" w:customStyle="1" w:styleId="21">
    <w:name w:val="font61"/>
    <w:basedOn w:val="11"/>
    <w:uiPriority w:val="0"/>
    <w:rPr>
      <w:rFonts w:hint="eastAsia" w:ascii="宋体" w:hAnsi="宋体" w:eastAsia="宋体" w:cs="宋体"/>
      <w:b/>
      <w:bCs/>
      <w:color w:val="000000"/>
      <w:sz w:val="24"/>
      <w:szCs w:val="24"/>
      <w:u w:val="none"/>
    </w:rPr>
  </w:style>
  <w:style w:type="character" w:customStyle="1" w:styleId="22">
    <w:name w:val="font51"/>
    <w:basedOn w:val="11"/>
    <w:uiPriority w:val="0"/>
    <w:rPr>
      <w:rFonts w:hint="default" w:ascii="Times New Roman" w:hAnsi="Times New Roman" w:cs="Times New Roman"/>
      <w:b/>
      <w:bCs/>
      <w:color w:val="000000"/>
      <w:sz w:val="24"/>
      <w:szCs w:val="24"/>
      <w:u w:val="none"/>
    </w:rPr>
  </w:style>
  <w:style w:type="character" w:customStyle="1" w:styleId="23">
    <w:name w:val="font71"/>
    <w:basedOn w:val="11"/>
    <w:uiPriority w:val="0"/>
    <w:rPr>
      <w:rFonts w:hint="eastAsia" w:ascii="宋体" w:hAnsi="宋体" w:eastAsia="宋体" w:cs="宋体"/>
      <w:color w:val="000000"/>
      <w:sz w:val="24"/>
      <w:szCs w:val="24"/>
      <w:u w: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sv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金山软件</Company>
  <Pages>1</Pages>
  <Words>0</Words>
  <Characters>0</Characters>
  <Lines>0</Lines>
  <Paragraphs>0</Paragraphs>
  <TotalTime>7</TotalTime>
  <ScaleCrop>false</ScaleCrop>
  <LinksUpToDate>false</LinksUpToDate>
  <CharactersWithSpaces>0</CharactersWithSpaces>
  <Application>WPS Office_12.8.2.15091_F1E327BC-269C-435d-A152-05C5408002CA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2026-03-24T02:43:00Z</dcterms:created>
  <dc:creator>wps</dc:creator>
  <cp:lastModifiedBy>wps</cp:lastModifiedBy>
  <dcterms:modified xsi:type="dcterms:W3CDTF">2026-03-25T09:21:38Z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2052-12.8.2.15091</vt:lpwstr>
  </property>
  <property fmtid="{D5CDD505-2E9C-101B-9397-08002B2CF9AE}" pid="3" name="ICV">
    <vt:lpwstr>184D7D1C067142B7BFD2D49AAE7288F6_11</vt:lpwstr>
  </property>
</Properties>
</file>