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 oral smORFs yield micropeptides that occupy the AChE peripheral site: 22-task UniDL4BioPep scoring, docking, and 100-ns dynamics</w:t>
      </w:r>
    </w:p>
    <w:p>
      <w:pPr>
        <w:pStyle w:val="Heading2"/>
        <w:keepNext/>
      </w:pPr>
      <w:r>
        <w:t>Abstract</w:t>
      </w:r>
    </w:p>
    <w:p>
      <w:pPr>
        <w:pStyle w:val="Normal"/>
      </w:pPr>
      <w:r>
        <w:t>Periodontitis has been tied to Alzheimer’s disease (AD) in clinical and experimental work, yet a peptide-level ligand that could act on a synaptic enzyme is still missing. Here we scored already-processed oral small open reading frames (smORFs) with UniDL4BioPep, docked twelve 7–9-residue peptides into human acetylcholinesterase (AChE, PDB 4EY6), and ran 100-ns molecular dynamics (MD)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Blood–brain-barrier (BBB) hits numbered 1,095,861 (9.72%) in the healthy library and 1,125,832 (9.60%) in the periodontitis library. Intersection of the periodontitis BBB set with 33,786 unique, catalogue-supported peptides left 3,518 sequences; NTxPred2, mebipred and AnOxPePred reduced that list to twelve explicit peptides. All twelve carry a net positive charge at pH 7.4.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w:t>
      </w:r>
      <w:r>
        <w:rPr>
          <w:i/>
        </w:rPr>
        <w:t>Porphyromonas gingivalis</w:t>
      </w:r>
      <w:r>
        <w:t>; periodontitis; smORF; micropeptide; acetylcholinesterase; peripheral anionic site; UniDL4BioPep; molecular docking; molecular dynamics</w:t>
      </w:r>
    </w:p>
    <w:p>
      <w:pPr>
        <w:pStyle w:val="Heading2"/>
        <w:keepNext/>
      </w:pPr>
      <w:r>
        <w:t>Introduction</w:t>
      </w:r>
    </w:p>
    <w:p>
      <w:pPr>
        <w:pStyle w:val="BodyText"/>
      </w:pPr>
      <w:r>
        <w:t xml:space="preserve">AD is not a single linear cascade. Amyloid, tau, cholinergic loss, immune activation and vascular injury run together </w:t>
      </w:r>
      <w:r>
        <w:t>[1]</w:t>
      </w:r>
      <w:r>
        <w:t xml:space="preserve">. Amyloid biology still sits near the centre: APP processing yields Aβ40/Aβ42, oligomers injure synapses, and familial APP/PSEN alleles change Aβ length and amount </w:t>
      </w:r>
      <w:r>
        <w:t>[2]</w:t>
      </w:r>
      <w:r>
        <w:t xml:space="preserve">. Loss of basal-forebrain acetylcholine explains a large part of the cognitive picture, which is why AChE inhibitors remain in routine use </w:t>
      </w:r>
      <w:r>
        <w:t>[3]</w:t>
      </w:r>
      <w:r>
        <w:t xml:space="preserve">. Catalysis is not the whole story for this enzyme. AChE speeds Aβ fibril growth through the PAS, and AChE–Aβ particles are more toxic than free Aβ </w:t>
      </w:r>
      <w:r>
        <w:t>[4]</w:t>
      </w:r>
      <w:r>
        <w:t xml:space="preserve">. A short hydrophobic PAS motif is enough to drive that chaperone effect </w:t>
      </w:r>
      <w:r>
        <w:t>[5]</w:t>
      </w:r>
      <w:r>
        <w:t>. The PAS is therefore a structural hinge between cholinergic failure and amyloid deposition.</w:t>
      </w:r>
    </w:p>
    <w:p>
      <w:pPr>
        <w:pStyle w:val="BodyText"/>
      </w:pPr>
      <w:r>
        <w:t xml:space="preserve">Chronic periodontitis keeps a low-grade inflammatory load and lets microbial products leak into blood </w:t>
      </w:r>
      <w:r>
        <w:t>[6]</w:t>
      </w:r>
      <w:r>
        <w:t xml:space="preserve">. Oral activity is species- and site-specific, so 16S abundance cannot stand in for a molecular ligand </w:t>
      </w:r>
      <w:r>
        <w:t>[7]</w:t>
      </w:r>
      <w:r>
        <w:t xml:space="preserve">. Gingipains and outer-membrane vesicles of </w:t>
      </w:r>
      <w:r>
        <w:rPr>
          <w:i/>
        </w:rPr>
        <w:t>Porphyromonas gingivalis</w:t>
      </w:r>
      <w:r>
        <w:t xml:space="preserve"> are one well-mapped virulence pair </w:t>
      </w:r>
      <w:r>
        <w:t>[8–9]</w:t>
      </w:r>
      <w:r>
        <w:t xml:space="preserve">. Meta-analyses link periodontal disease to cognitive disorders, with effect sizes that move when case definitions change </w:t>
      </w:r>
      <w:r>
        <w:t>[10]</w:t>
      </w:r>
      <w:r>
        <w:t xml:space="preserve">. In an AD cohort, periodontitis tracked later decline </w:t>
      </w:r>
      <w:r>
        <w:t>[11]</w:t>
      </w:r>
      <w:r>
        <w:t xml:space="preserve">. </w:t>
      </w:r>
      <w:r>
        <w:rPr>
          <w:i/>
        </w:rPr>
        <w:t>P. gingivalis</w:t>
      </w:r>
      <w:r>
        <w:t xml:space="preserve"> and gingipains have been reported in AD brains </w:t>
      </w:r>
      <w:r>
        <w:t>[12]</w:t>
      </w:r>
      <w:r>
        <w:t xml:space="preserve">, and repeated oral infection in mice produces neuroinflammation and Aβ-related changes </w:t>
      </w:r>
      <w:r>
        <w:t>[13]</w:t>
      </w:r>
      <w:r>
        <w:t xml:space="preserve">. If a short oral peptide can sit on AChE, that exposure context becomes mechanistically useful </w:t>
      </w:r>
      <w:r>
        <w:t>[14]</w:t>
      </w:r>
      <w:r>
        <w:t>.</w:t>
      </w:r>
    </w:p>
    <w:p>
      <w:pPr>
        <w:pStyle w:val="BodyText"/>
      </w:pPr>
      <w:r>
        <w:t xml:space="preserve">Microbiome smORFs encode a large pool of uncharted small proteins </w:t>
      </w:r>
      <w:r>
        <w:t>[15–16]</w:t>
      </w:r>
      <w:r>
        <w:t xml:space="preserve">. Whether a 7–9-aa periodontitis peptide can occupy the Aβ-binding PAS is a structural question. Accelerated MD pulls Aβ onto the AChE surface and treats the enzyme as a nucleation centre </w:t>
      </w:r>
      <w:r>
        <w:t>[17]</w:t>
      </w:r>
      <w:r>
        <w:t xml:space="preserve">. A 1-μs PAS-centred AChE–Aβ run stays bound, with the main residence at residues 344–361 </w:t>
      </w:r>
      <w:r>
        <w:t>[18]</w:t>
      </w:r>
      <w:r>
        <w:t xml:space="preserve">. PAS-directed small molecules can block AChE-induced Aβ aggregation in the test tube </w:t>
      </w:r>
      <w:r>
        <w:t>[19]</w:t>
      </w:r>
      <w:r>
        <w:t xml:space="preserve">. PDB 4EY6 gives a 2.40 Å human AChE frame for docking </w:t>
      </w:r>
      <w:r>
        <w:t>[20]</w:t>
      </w:r>
      <w:r>
        <w:t xml:space="preserve">. The aromatic gorge that joins the catalytic triad to the PAS was mapped earlier on </w:t>
      </w:r>
      <w:r>
        <w:rPr>
          <w:i/>
        </w:rPr>
        <w:t>Torpedo</w:t>
      </w:r>
      <w:r>
        <w:t xml:space="preserve"> AChE </w:t>
      </w:r>
      <w:r>
        <w:t>[36]</w:t>
      </w:r>
      <w:r>
        <w:t>.</w:t>
      </w:r>
    </w:p>
    <w:p>
      <w:pPr>
        <w:pStyle w:val="BodyText"/>
      </w:pPr>
      <w:r>
        <w:t>We therefore asked three linked questions. First, after 22-task UniDL4BioPep scoring of both oral libraries, which periodontitis peptides remain once catalogue matching is applied? Second, do twelve 7–9-aa sequences from that funnel contact the PAS of human AChE? Third, do three of those complexes remain surface-bound for 100 ns without unfolding the enzyme?</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w:t>
      </w:r>
    </w:p>
    <w:p>
      <w:pPr>
        <w:pStyle w:val="BodyText"/>
      </w:pPr>
      <w:r>
        <w:t xml:space="preserve">Translated smORFs of 4–50 aa were taken as already-processed peptide strings. We did not reassemble reads or call genes de novo. The public source of the paired oral metagenomes and metatranscriptomes is PRJNA678453 </w:t>
      </w:r>
      <w:r>
        <w:t>[7]</w:t>
      </w:r>
      <w:r>
        <w:t>. A derived MGnify third-party assembly, PRJEB65451 (metaSPAdes v3.15.3), exists for that BioProject; it is not a second clinical cohort. Library sizes were 11,269,961 healthy-labelled and 11,721,988 periodontitis-labelled sequences.</w:t>
      </w:r>
    </w:p>
    <w:p>
      <w:pPr>
        <w:pStyle w:val="Heading3"/>
        <w:keepNext/>
      </w:pPr>
      <w:r>
        <w:t>UniDL4BioPep (22 tasks)</w:t>
      </w:r>
    </w:p>
    <w:p>
      <w:pPr>
        <w:pStyle w:val="BodyText"/>
      </w:pPr>
      <w:r>
        <w:t xml:space="preserve">UniDL4BioPep was run first on both full libraries, which is the order used in recent microbiome peptide-antibiotic mining </w:t>
      </w:r>
      <w:r>
        <w:t>[23,31]</w:t>
      </w:r>
      <w:r>
        <w:t xml:space="preserve">. Each peptide is encoded by the pretrained ESM-2 checkpoint </w:t>
      </w:r>
      <w:r>
        <w:rPr>
          <w:rFonts w:ascii="Consolas" w:hAnsi="Consolas" w:eastAsia="等线"/>
          <w:shd w:val="clear" w:color="auto" w:fill="F2F4F7"/>
        </w:rPr>
        <w:t>esm2_t6_8M_UR50D</w:t>
      </w:r>
      <w:r>
        <w:t xml:space="preserve"> as a 320-dimensional contextual vector. A six-layer, task-specific convolutional network then produces a binary score. We applied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The decision cut was ≥0.80 on every head. BBB (BBP) ≥0.80 is an operational “BBB-high” label, not measured transcytosis. Independent BBB peptide classifiers use other architectures and training sets, so their published AUCs do not transfer automatically to these very short oral strings </w:t>
      </w:r>
      <w:r>
        <w:t>[35]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[21,32]</w:t>
      </w:r>
      <w:r>
        <w:t xml:space="preserve">. Salivary metaproteomes record peptides inside their own false-discovery framework </w:t>
      </w:r>
      <w:r>
        <w:t>[22]</w:t>
      </w:r>
      <w:r>
        <w:t xml:space="preserve">. Further oral metaproteomic sets add sequence observations from other clinical contexts </w:t>
      </w:r>
      <w:r>
        <w:t>[33–34]</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Peptides of 7–50 aa inside the 3,518-member set were scored with NTxPred2 </w:t>
      </w:r>
      <w:r>
        <w:t>[24]</w:t>
      </w:r>
      <w:r>
        <w:t>. The peptide mode fine-tunes ESM2-t30 on neurotoxic versus non-neurotoxic sequences. A positive call is a model label, not electrophysiology.</w:t>
      </w:r>
    </w:p>
    <w:p>
      <w:pPr>
        <w:pStyle w:val="Heading3"/>
        <w:keepNext/>
      </w:pPr>
      <w:r>
        <w:t>mebipred</w:t>
      </w:r>
    </w:p>
    <w:p>
      <w:pPr>
        <w:pStyle w:val="BodyText"/>
      </w:pPr>
      <w:r>
        <w:t xml:space="preserve">Mebipred estimates general and ion-related metal-binding potential from engineered sequence features through a two-tier neural net </w:t>
      </w:r>
      <w:r>
        <w:t>[25]</w:t>
      </w:r>
      <w:r>
        <w:t>. The cut used here was 0.50 for Cu-, Fe- and Zn-related output. The score is not a measured Kd or a coordination geometry.</w:t>
      </w:r>
    </w:p>
    <w:p>
      <w:pPr>
        <w:pStyle w:val="Heading3"/>
        <w:keepNext/>
      </w:pPr>
      <w:r>
        <w:t>AnOxPePred</w:t>
      </w:r>
    </w:p>
    <w:p>
      <w:pPr>
        <w:pStyle w:val="BodyText"/>
      </w:pPr>
      <w:r>
        <w:t xml:space="preserve">AnOxPePred is a one-dimensional convolutional multi-task net trained for free-radical scavenging (FRS) and chelation (CHEL) </w:t>
      </w:r>
      <w:r>
        <w:t>[26]</w:t>
      </w:r>
      <w:r>
        <w:t>. Serial cuts were CHEL≥0.25, then CHEL≥0.25 with FRS&lt;0.50, then CHEL≥0.25 with FRS&lt;0.45. Agreement among UniDL4BioPep, NTxPred2, mebipred and AnOxPePred is triage, not orthogonal biology.</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[20]</w:t>
      </w:r>
      <w:r>
        <w:t xml:space="preserve">. The twelve ligands ALLLHRC, FCLHLQLR, FLLHTTR, HLLTLKKHV, HLPLLHRCC, HVLLLRQCA, LLHLPKRTT, LLHPLRC, LLHPLRL, WLLVHLKK, YHHLLCRR and YLSLLQR were docked with AutoDock Vina, exhaustiveness 32 </w:t>
      </w:r>
      <w:r>
        <w:t>[27–28]</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[29–30]</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[18]</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Downstream docking used the periodontitis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Figure"/>
        <w:jc w:val="center"/>
        <w:keepNext/>
      </w:pPr>
      <w:r>
        <w:drawing>
          <wp:inline distT="0" distB="0" distL="0" distR="0">
            <wp:extent cx="6150000" cy="6942331"/>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6942331"/>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3). All 923 NTxPred2-positive peptides were ≤30 aa, so the metal/CHEL/FRS steps kept short peptides only.</w:t>
      </w:r>
    </w:p>
    <w:p>
      <w:pPr>
        <w:pStyle w:val="Caption"/>
      </w:pPr>
      <w:r>
        <w:rPr>
          <w:b/>
        </w:rPr>
        <w:t>Table 3.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 twelve strings are unique 7–9-aa peptides of standard residues (Table 4).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4.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5,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5.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613125"/>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6,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6.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6.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Heading3"/>
        <w:keepNext/>
      </w:pPr>
      <w:r>
        <w:t>A possible PAS path from oral peptides to AD</w:t>
      </w:r>
    </w:p>
    <w:p>
      <w:pPr>
        <w:pStyle w:val="BodyText"/>
      </w:pPr>
      <w:r>
        <w:t xml:space="preserve">AD pairs amyloid deposition with cholinergic failure </w:t>
      </w:r>
      <w:r>
        <w:t>[2–3]</w:t>
      </w:r>
      <w:r>
        <w:t xml:space="preserve">. Apart from hydrolysis, AChE promotes Aβ fibrils at the PAS, and AChE–Aβ complexes out-toxify free Aβ </w:t>
      </w:r>
      <w:r>
        <w:t>[4]</w:t>
      </w:r>
      <w:r>
        <w:t xml:space="preserve">. A hydrophobic PAS motif is sufficient for that chaperone job </w:t>
      </w:r>
      <w:r>
        <w:t>[5]</w:t>
      </w:r>
      <w:r>
        <w:t xml:space="preserve">, and PAS-directed ligands can suppress AChE-driven aggregation in biochemical assays </w:t>
      </w:r>
      <w:r>
        <w:t>[19]</w:t>
      </w:r>
      <w:r>
        <w:t xml:space="preserve">. Accelerated MD places Aβ on the AChE surface as a nucleation centre </w:t>
      </w:r>
      <w:r>
        <w:t>[17]</w:t>
      </w:r>
      <w:r>
        <w:t xml:space="preserve">; a 1-μs trajectory keeps Aβ at the PAS, mainly at 344–361 </w:t>
      </w:r>
      <w:r>
        <w:t>[18]</w:t>
      </w:r>
      <w:r>
        <w:t xml:space="preserve">. Periodontitis and </w:t>
      </w:r>
      <w:r>
        <w:rPr>
          <w:i/>
        </w:rPr>
        <w:t>P. gingivalis</w:t>
      </w:r>
      <w:r>
        <w:t xml:space="preserve"> supply an exposure path </w:t>
      </w:r>
      <w:r>
        <w:t>[6,12–13]</w:t>
      </w:r>
      <w:r>
        <w:t>. Docking and 100-ns runs indicate that periodontitis-derived micropeptides can occupy that same PAS. Four linked steps sketch a possible mechanism.</w:t>
      </w:r>
    </w:p>
    <w:p>
      <w:pPr>
        <w:pStyle w:val="Reference"/>
        <w:ind w:left="360" w:hanging="360"/>
      </w:pPr>
      <w:r>
        <w:rPr>
          <w:sz w:val="24"/>
          <w:szCs w:val="24"/>
        </w:rPr>
        <w:t>1. PAS recognition.</w:t>
      </w:r>
    </w:p>
    <w:p>
      <w:pPr>
        <w:pStyle w:val="BodyText"/>
      </w:pPr>
      <w:r>
        <w:t xml:space="preserve">   Best poses of the twelve peptides cluster at the PAS and gorge mouth (Figures 2–4). FLLHTTR anchors Asp74, Tyr72 and His287 (best-run −9.60 kcal/mol; Figure 3C). YLSLLQR touches PAS (Tyr72, Thr75) and the catalytic entrance (mean −9.44 ± 0.09 kcal/mol; Figure 4L). LLHPLRL spans Trp286/Tyr341 to His447 (Figure 4I). HLLTLKKHV reaches Tyr72 and Phe346 in the 344–361 Aβ residence zone. That geometry is the PAS Inestrosa identified as pro-fibrillar and Atanasova occupied with Aβ.</w:t>
      </w:r>
    </w:p>
    <w:p>
      <w:pPr>
        <w:pStyle w:val="Reference"/>
        <w:ind w:left="360" w:hanging="360"/>
      </w:pPr>
      <w:r>
        <w:rPr>
          <w:sz w:val="24"/>
          <w:szCs w:val="24"/>
        </w:rPr>
        <w:t>2. A lasting enzyme–peptide complex.</w:t>
      </w:r>
    </w:p>
    <w:p>
      <w:pPr>
        <w:pStyle w:val="BodyText"/>
      </w:pPr>
      <w:r>
        <w:t xml:space="preserve">   Over 100 ns the fold stays globular (RMSD 0.16–0.19 nm, Rg 2.30–2.31 nm, helix ~33% / sheet ~17%; Figures 5–7). FLLHTTR and YLSLLQR become more compact than apo in late RMSD, so the peptide sits on the surface and stiffens the protein rather than opening it. Intermolecular hydrogen bonds persist: FLLHTTR holds a dense polar net (7.03 ± 1.28; Figure 6F), YLSLLQR averages 2.93 ± 1.14, and ALLLHRC keeps seven contact pairs after early rearrangement. Lushchekina and Atanasova described a surface-bound, non-dissociating AChE–Aβ complex; the same pattern appears here for oral micropeptides.</w:t>
      </w:r>
    </w:p>
    <w:p>
      <w:pPr>
        <w:pStyle w:val="Reference"/>
        <w:ind w:left="360" w:hanging="360"/>
      </w:pPr>
      <w:r>
        <w:rPr>
          <w:sz w:val="24"/>
          <w:szCs w:val="24"/>
        </w:rPr>
        <w:t>3. Restricted acetylcholine access.</w:t>
      </w:r>
    </w:p>
    <w:p>
      <w:pPr>
        <w:pStyle w:val="BodyText"/>
      </w:pPr>
      <w:r>
        <w:t xml:space="preserve">   The PAS sits at the mouth of the 20-Å gorge that feeds the triad </w:t>
      </w:r>
      <w:r>
        <w:t>[3,20]</w:t>
      </w:r>
      <w:r>
        <w:t>. Occupancy of Asp74/Tyr72/Trp286/Tyr341 can hinder substrate entry even while the catalytic core remains folded (low RMSF in panels B). The same pose that docks to the PAS therefore hits the cholinergic axis of AD.</w:t>
      </w:r>
    </w:p>
    <w:p>
      <w:pPr>
        <w:pStyle w:val="Reference"/>
        <w:ind w:left="360" w:hanging="360"/>
      </w:pPr>
      <w:r>
        <w:rPr>
          <w:sz w:val="24"/>
          <w:szCs w:val="24"/>
        </w:rPr>
        <w:t>4. Pathological chaperone activity.</w:t>
      </w:r>
    </w:p>
    <w:p>
      <w:pPr>
        <w:pStyle w:val="BodyText"/>
      </w:pPr>
      <w:r>
        <w:t xml:space="preserve">   Because the PAS is a documented pro-fibrillar site </w:t>
      </w:r>
      <w:r>
        <w:t>[4–5]</w:t>
      </w:r>
      <w:r>
        <w:t xml:space="preserve">, a heterologous peptide that stays there can lower the barrier for endogenous Aβ. FLLHTTR supplies a persistent polar net on the PAS (Figure 6F) that matches its docking pose (Figure 3C). YLSLLQR buries surface (SASA 209.71 versus 212.25 nm²; Figure 7C) and is the most rigid bound peptide (self-fit RMSD 0.0911 nm). Lushchekina’s nucleation-centre picture then maps onto these complexes: folded AChE presents a peptide-coated PAS on which Aβ oligomers can co-assemble. AChE–Aβ assemblies are already more synaptotoxic than free Aβ </w:t>
      </w:r>
      <w:r>
        <w:t>[4]</w:t>
      </w:r>
      <w:r>
        <w:t>; a bacterial micropeptide on the same site is a possible route to hybrid nuclei.</w:t>
      </w:r>
    </w:p>
    <w:p>
      <w:pPr>
        <w:pStyle w:val="Heading3"/>
        <w:keepNext/>
      </w:pPr>
      <w:r>
        <w:t>From the mouth to cortical AChE</w:t>
      </w:r>
    </w:p>
    <w:p>
      <w:pPr>
        <w:pStyle w:val="BodyText"/>
      </w:pPr>
      <w:r>
        <w:t xml:space="preserve">Chronic periodontitis can move </w:t>
      </w:r>
      <w:r>
        <w:rPr>
          <w:i/>
        </w:rPr>
        <w:t>P. gingivalis</w:t>
      </w:r>
      <w:r>
        <w:t xml:space="preserve"> products into blood through a broken epithelium, gingipains and vesicles </w:t>
      </w:r>
      <w:r>
        <w:t>[8–9]</w:t>
      </w:r>
      <w:r>
        <w:t xml:space="preserve">. Cytokines and proteases raise BBB leakiness, so short, leucine-rich, cationic peptides that scored BBB-high (a label that is almost as common in the healthy library) could reach interstitial fluid </w:t>
      </w:r>
      <w:r>
        <w:t>[6,12]</w:t>
      </w:r>
      <w:r>
        <w:t>. PAS docking then gives a landing site on an enzyme that is both a cholinergic hydrolase and an amyloid chaperone. In this sketch the twelve sequences are pathogenic candidates because they occupy the experimentally mapped Aβ-binding PAS and remain bound for 100 ns, not because RMSD rises.</w:t>
      </w:r>
    </w:p>
    <w:p>
      <w:pPr>
        <w:pStyle w:val="Heading2"/>
        <w:keepNext/>
      </w:pPr>
      <w:r>
        <w:t>Conclusions</w:t>
      </w:r>
    </w:p>
    <w:p>
      <w:pPr>
        <w:pStyle w:val="BodyText"/>
      </w:pPr>
      <w:r>
        <w:t xml:space="preserve">Twelve 7–9-aa periodontitis micropeptides dock to human AChE. FLLHTTR, YLSLLQR and ALLLHRC stay on the surface for 100 ns without unfolding the enzyme. FLLHTTR forms the densest PAS hydrogen-bond net; YLSLLQR is the only complex that buries surface area. Read against the amyloid cascade </w:t>
      </w:r>
      <w:r>
        <w:t>[2]</w:t>
      </w:r>
      <w:r>
        <w:t xml:space="preserve">, the cholinergic hypothesis </w:t>
      </w:r>
      <w:r>
        <w:t>[3]</w:t>
      </w:r>
      <w:r>
        <w:t>, and the PAS chaperone experiments of Inestrosa, Lushchekina and Atanasova,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32.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33.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34.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36. Kryger G, Silman I, Sussman JL. Structure of acetylcholinesterase complexed with E2020 (Aricept): implications for drug design. </w:t>
      </w:r>
      <w:r>
        <w:rPr>
          <w:i/>
          <w:sz w:val="24"/>
          <w:szCs w:val="24"/>
        </w:rPr>
        <w:t>Structure</w:t>
      </w:r>
      <w:r>
        <w:rPr>
          <w:sz w:val="24"/>
          <w:szCs w:val="24"/>
        </w:rPr>
        <w:t>. 1999;7(3):297–307. doi:10.1016/s0969-2126(99)80040-9.</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