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Rule="auto" w:line="336"/>
        <w:jc w:val="center"/>
      </w:pPr>
      <w:r>
        <w:rPr>
          <w:rFonts w:ascii="Times New Roman" w:hAnsi="Times New Roman" w:eastAsia="黑体"/>
          <w:b/>
          <w:sz w:val="30"/>
        </w:rPr>
        <w:t>抗菌肽与阿尔茨海默病的机制关联：八个机制落点与计算方案</w:t>
      </w:r>
    </w:p>
    <w:p>
      <w:pPr>
        <w:spacing w:before="240" w:after="120" w:lineRule="auto" w:line="336"/>
        <w:jc w:val="left"/>
      </w:pPr>
      <w:r>
        <w:rPr>
          <w:rFonts w:ascii="Times New Roman" w:hAnsi="Times New Roman" w:eastAsia="黑体"/>
          <w:b/>
          <w:sz w:val="26"/>
        </w:rPr>
        <w:t>一、八个机制落点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八个落点按肠腔与肠上皮、循环与屏障、脑实质三个隔室排列，见图 1。前两个顺着已有的 AChE 和交叉成核两条线往下做，后面六个补上受体识别、膜界面、清除代谢、自身淀粉样化和菌群这几层。它们彼此独立，又能互相印证：脑内那几条若因浓度不足而落空，肠道端和外周端的链条仍然成立。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963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echanism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6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Rule="auto" w:line="312"/>
        <w:jc w:val="center"/>
      </w:pPr>
      <w:r>
        <w:rPr>
          <w:rFonts w:ascii="Times New Roman" w:hAnsi="Times New Roman" w:eastAsia="黑体"/>
          <w:b w:val="0"/>
          <w:sz w:val="21"/>
        </w:rPr>
        <w:t>图 1  肠道来源抗菌肽与 AD 之间的机制落点（按肠腔、循环与屏障、脑实质三个隔室排列）</w:t>
      </w:r>
    </w:p>
    <w:p>
      <w:pPr>
        <w:spacing w:before="160" w:after="80" w:lineRule="auto" w:line="336"/>
        <w:jc w:val="left"/>
      </w:pPr>
      <w:r>
        <w:rPr>
          <w:rFonts w:ascii="Times New Roman" w:hAnsi="Times New Roman" w:eastAsia="黑体"/>
          <w:b/>
          <w:sz w:val="24"/>
        </w:rPr>
        <w:t>1. AChE 的 PAS 上的三元复合物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乙酰胆碱酯酶能通过外周阴离子位点（PAS）附近的疏水区加速 Aβ 成纤维，形成的复合物毒性高于 Aβ 单独存在时[1,2]。把现有的 AChE–Aβ 二元体系改成三元的，问抗菌肽能否在 344—361 这段疏水区和 PAS 邻域稳定占位。结果有两种可能：替代 Aβ 占位，减少可用的模板表面；或者形成 AChE–抗菌肽–Aβ 的夹层，把 Aβ 拉得更近。做法是以 PAS 残基（Tyr72、Asp74、Tyr124、Trp286、Tyr341）和 344—361 为活性残基做数据驱动对接，再跑二元与三元体系各三条 1 μs 轨迹，与已有的 AChE–Aβ 体系并排当内参。看的量是界面接触占据率、停留区段与 344—361 的重合比例，以及 Aβ 占据 PAS 的概率有没有变化。对照放一个只结合催化位点的小分子，湿实验这边用 AChE 促聚集的 ThT 曲线和 SPR 结合实验对上。</w:t>
      </w:r>
    </w:p>
    <w:p>
      <w:pPr>
        <w:spacing w:before="160" w:after="80" w:lineRule="auto" w:line="336"/>
        <w:jc w:val="left"/>
      </w:pPr>
      <w:r>
        <w:rPr>
          <w:rFonts w:ascii="Times New Roman" w:hAnsi="Times New Roman" w:eastAsia="黑体"/>
          <w:b/>
          <w:sz w:val="24"/>
        </w:rPr>
        <w:t>2. 与 Aβ 的交叉成核，重点是把方向定下来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两类肽都倾向形成 β-折叠，结构上兼容，可以互相成核。文献里既有加速的例子，也有抑制和改变纤维形态的例子[3,4]，方向取决于结合位点、化学计量比和界面电荷互补性，所以这一条要改的是判据而不是方法。Aβ 与 hIAPP 的共聚集研究提供了可以照搬的流程：先用增强采样统计异质二聚体里异质接触与同质接触的比例、有没有 β-桶中间体，再把单体分别放到纤维的生长端和侧表面，比较两种结合模式的自由能[6,7]。侧表面还要补一条伞形采样的自由能曲线，因为二次成核就发生在那里。方向在开跑前规定好：生长端结合占优、伸长自由能更负，判为加速和共纤维化；侧表面结合占优并封端，判为改变形态、滞留寡聚体；两者都弱，就是没有明显的交叉成核。湿实验用 ThT 曲线做全局动力学拟合，把总效应拆成一次成核、二次成核和伸长三个速率常数[20,21]，和模拟的三种判断一一对应。β-折叠含量对力场敏感，CHARMM36m 和 a99SB-disp 两套都要跑，只采信两套一致的结论[22,23]。</w:t>
      </w:r>
    </w:p>
    <w:p>
      <w:pPr>
        <w:spacing w:before="160" w:after="80" w:lineRule="auto" w:line="336"/>
        <w:jc w:val="left"/>
      </w:pPr>
      <w:r>
        <w:rPr>
          <w:rFonts w:ascii="Times New Roman" w:hAnsi="Times New Roman" w:eastAsia="黑体"/>
          <w:b/>
          <w:sz w:val="24"/>
        </w:rPr>
        <w:t>3. tau 这一侧（可选）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 tau 的 PHF6（306VQIVYK311）和 PHF6*（275VQIINK280）为界面做对接和增强采样，看阳离子肽能否靠芳香堆积参与异质 β-折叠，读数是异质 β-折叠占比和界面氢键数。这一条阴性结果同样有用：如果抗菌肽因为同为阳离子而和 tau 相斥，正好说明效应选择性地走 Aβ 和受体这两条线。</w:t>
      </w:r>
    </w:p>
    <w:p>
      <w:pPr>
        <w:spacing w:before="160" w:after="80" w:lineRule="auto" w:line="336"/>
        <w:jc w:val="left"/>
      </w:pPr>
      <w:r>
        <w:rPr>
          <w:rFonts w:ascii="Times New Roman" w:hAnsi="Times New Roman" w:eastAsia="黑体"/>
          <w:b/>
          <w:sz w:val="24"/>
        </w:rPr>
        <w:t>4. 先天免疫受体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这一层最容易和 AD 表型对上，LL-37 已经走通过：AD 脑内它升高，经 CLIC1 造成小胶质细胞过度活化，在小鼠和猴上做出了 Aβ 升高、缠结增多、脑萎缩和认知损害[5]。FPR2 这边可以直接利用 Aβ42 和 humanin 的复合物结构，把候选肽放进同一口袋做对接和膜环境下的 MD，看位点重合率、界面面积能否和 Aβ42 的 1166 Å² 同量级、以及 TM6 外移这类激活构象指标有没有出现[13]。CLIC1 按 LL-37 的路子算结合面，并在膜体系里看跨膜段的插入倾向有没有变化[5]。TLR4–MD-2、CD14 和 RAGE 把候选肽当作第二配体，评估它对 Aβ 原纤维–受体识别是竞争还是协同，同时比较 pH 7.4 和炎症微环境 pH 6.0 的差别[12]。对应的细胞实验是小胶质细胞的炎症因子释放、NF-κB 报告和钙成像。</w:t>
      </w:r>
    </w:p>
    <w:p>
      <w:pPr>
        <w:spacing w:before="160" w:after="80" w:lineRule="auto" w:line="336"/>
        <w:jc w:val="left"/>
      </w:pPr>
      <w:r>
        <w:rPr>
          <w:rFonts w:ascii="Times New Roman" w:hAnsi="Times New Roman" w:eastAsia="黑体"/>
          <w:b/>
          <w:sz w:val="24"/>
        </w:rPr>
        <w:t>5. 神经元膜界面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抗菌肽本来就靠膜起作用，一旦对细菌膜的选择性丧失，它就会在宿主膜上富集。建三套膜：细菌内膜（POPE/POPG 3:1）、含 GM1 和胆固醇的神经元膜、内皮膜。先用 Martini 3 跑十几微秒看吸附和聚集，关键构象回到全原子验证。要的量是细菌膜与神经元膜的结合自由能差，也就是选择性，再加插入深度、膜厚和曲率扰动、水柱或孔的寿命。这里有一条独立于交叉成核的通道：抗菌肽在含 GM1 的膜面上富集之后，不必直接结合 Aβ，只要把 Aβ 招到同一个界面上就能促进成核，GM1 本来就是 Aβ 的成核平台[24]。</w:t>
      </w:r>
    </w:p>
    <w:p>
      <w:pPr>
        <w:spacing w:before="160" w:after="80" w:lineRule="auto" w:line="336"/>
        <w:jc w:val="left"/>
      </w:pPr>
      <w:r>
        <w:rPr>
          <w:rFonts w:ascii="Times New Roman" w:hAnsi="Times New Roman" w:eastAsia="黑体"/>
          <w:b/>
          <w:sz w:val="24"/>
        </w:rPr>
        <w:t>6. Aβ 清除通路里的竞争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Aβ 在体内主要靠 IDE 和 NEP 降解，胰岛素这类竞争性底物会拖慢这一过程[16,17]。把候选肽和 Aβ 分别对接进 IDE 的封闭催化腔，比停留时间和腔口闭合程度，再用竞争模型把占位时间比换算成 Aβ 降解速率的相对下降，NEP 同理。外周这一侧也值得算：候选肽与转甲状腺素蛋白、白蛋白的结合面如果和 Aβ 的结合面重叠，外周对 Aβ 的沉降槽作用就被削弱，不进脑也能把脑内 Aβ 负荷抬上去[25,26]。</w:t>
      </w:r>
    </w:p>
    <w:p>
      <w:pPr>
        <w:spacing w:before="160" w:after="80" w:lineRule="auto" w:line="336"/>
        <w:jc w:val="left"/>
      </w:pPr>
      <w:r>
        <w:rPr>
          <w:rFonts w:ascii="Times New Roman" w:hAnsi="Times New Roman" w:eastAsia="黑体"/>
          <w:b/>
          <w:sz w:val="24"/>
        </w:rPr>
        <w:t>7. 抗菌肽自己的淀粉样化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抗菌肽和淀粉样蛋白共用一套结构语法。uperin 3.5 在无脂环境里形成 cross-β 纤维，遇到细菌膜脂就切换成 cross-α[14,15]，LL-37 的 17–29 片段能自组装成有功能的超分子纤维[27]。候选肽因此可能先在肠腔或循环里形成种子，再以种子的形式参与宿主蛋白的异质成核。流程是先用聚集倾向预测找热点，枚举可能的 steric zipper，对最优的做几百纳秒稳定性模拟，看剥离功和氢键网络，再把稳定的 zipper 当作种子面去算 Aβ 的结合和伸长自由能。这一条若成立，机制就从单体通道扩成单体加种子两条。</w:t>
      </w:r>
    </w:p>
    <w:p>
      <w:pPr>
        <w:spacing w:before="160" w:after="80" w:lineRule="auto" w:line="336"/>
        <w:jc w:val="left"/>
      </w:pPr>
      <w:r>
        <w:rPr>
          <w:rFonts w:ascii="Times New Roman" w:hAnsi="Times New Roman" w:eastAsia="黑体"/>
          <w:b/>
          <w:sz w:val="24"/>
        </w:rPr>
        <w:t>8. 肠道这一端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肠道端本身就能构成完整链条，不必先进脑。curli 的主亚基 CsgA 是典型的 cross-β 结构，它的片段种子能促进 Aβ 成纤维[8]；动物实验里产 curli 的细菌会增强肠和脑内 α-syn 的聚集，并放大 TLR2、IL-6、TNF 的反应[9,10]；来自人体菌群的多种 CsgA 同源物也能以 1:1 复合物的形式加速 α-syn 聚集[11]。抗菌肽进到这个系统里有两个可以算的面。分子面是它与 CsgA、FapC 组装界面的相互作用，封端、打乱重复单元的配准、还是把可溶 CsgA 稳成寡聚体，三种后果要分开判。方向上要小心，抑制 curli 成纤维未必是好事，把胞外纤维变成可溶寡聚体，反而可能提高跨上皮和交叉成核的能力。群落面是用候选肽的 MIC 谱作约束，做菌群代谢的群落模型，预测短链脂肪酸产生菌和高产 LPS 菌的相对变化，再顺下去看屏障完整性和外周炎症[28,29]。这条链的读数是：MIC 谱、群落模型给出的丁酸丙酸通量和 LPS 负荷、肠屏障跨上皮电阻、血清 LPS 与细胞因子、小胶质表型。</w:t>
      </w:r>
    </w:p>
    <w:p>
      <w:pPr>
        <w:spacing w:before="240" w:after="120" w:lineRule="auto" w:line="336"/>
        <w:jc w:val="left"/>
      </w:pPr>
      <w:r>
        <w:rPr>
          <w:rFonts w:ascii="Times New Roman" w:hAnsi="Times New Roman" w:eastAsia="黑体"/>
          <w:b/>
          <w:sz w:val="26"/>
        </w:rPr>
        <w:t>二、肠道来源意味着什么：要不要过血脑屏障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结论先放：对肠道宏基因组来源的抗菌肽来说，穿过血脑屏障不是默认前提，而是三条路径里最苛刻的一条。肠道局部作用和外周作用适合当主线，跨屏障入脑按需要额外条件的分支处理。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三条路径是这样分的。第一条是直接入脑，肽经肠上皮吸收入血，躲过蛋白酶和肾清除，再靠被动扩散或受体介导转胞吞过血脑屏障，在脑间质达到能和 AChE、Aβ、受体作用的游离浓度。第二条是在肠道就地起效，肠腔里的浓度可以到微摩尔甚至更高，作用对象是菌群、细菌功能性淀粉样蛋白、肠上皮和肠神经系统，再经迷走传入和免疫细胞、细胞因子把信号送到中枢。第三条是入血但不进脑，改变外周对 Aβ 的结合与清除（转甲状腺素蛋白、白蛋白、单核巨噬），或者影响 Aβ 跨屏障的净通量。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条之所以不适合当主线，是因为细菌源候选肽大多十几到几十个残基、净正电荷高、两亲性强，这类分子被动过屏障的效率很低。能过血脑屏障的肽在序列特征上自成一类，偏小、偏疏水、弱阳离子，和一般意义上的穿膜肽并不重合[18,19]。与此同时，肠道端和外周端已经有被验证过的完整链条可以借用[9,10,11,25,26,28,29]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果还是要主张能入脑，需要同时满足四条：序列层面的血脑屏障穿透预测为阳性，且不只依赖一个模型，并报出概率而不是只给标签；跨膜自由能垒处在可跨越的范围，或者能明确指出受体介导转胞吞的结合面；房室模型给出的脑间质游离浓度不低于目标结合常数的十分之一；脑组织里用质谱检出的是完整肽，而不是降解片段或只看荧光标记。四条里有一条不成立，就把机制主线放回肠道端和外周端。脑内 Aβ 稳态本来就受外周清除和系统炎症的调控[25,26]，肠源因子不进脑也能改变中枢的病理负荷。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还有一个成本很低的实验值得先做：候选肽在模拟肠液和血浆里的稳定性以及降解片段谱。主要活性片段如果变短、变疏水，入脑的可能性反而上升，这时脑内那几个落点就该拿片段而不是全长肽去建模。</w:t>
      </w:r>
    </w:p>
    <w:p>
      <w:pPr>
        <w:spacing w:before="240" w:after="120" w:lineRule="auto" w:line="336"/>
        <w:jc w:val="left"/>
      </w:pPr>
      <w:r>
        <w:rPr>
          <w:rFonts w:ascii="Times New Roman" w:hAnsi="Times New Roman" w:eastAsia="黑体"/>
          <w:b/>
          <w:sz w:val="26"/>
        </w:rPr>
        <w:t>三、计算方案与判据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八个落点共用一套流程。评审真正会追问的是整条链条能否复现，单次对接分数说明不了什么，所以结构来源、力场、时长、判据和阴性对照先统一下来。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序列层面先做分诊：净电荷、疏水矩、两亲性，聚集倾向预测，血脑屏障穿透预测，以及溶血和细胞毒预测，同时给出各隔室的可及浓度估计。这一步不过关，后面的结论都只在试管里成立。结构用 ESMFold 或 AlphaFold3 生成，无序肽保留构象系综而不是单一构象，并准备 pH 7.4 和 pH 6.0 两套质子化状态。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对接只用来枚举可能的界面，不进入结论句。数据驱动对接（HADDOCK）和盲对接（HPEPDOCK、ClusPro）并用，再用 AlphaFold-Multimer 交叉验证，要求至少两个引擎给出一致的位姿、首位聚类占比不低于三成。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动力学部分，全原子体系每个跑三条 1 μs 的独立轨迹，310 K、0.15 mol/L NaCl；膜体系先用 Martini 3 跑长时程，关键构象回到全原子；自由能用伞形采样或 metadynamics，MM/PBSA 只做相对排序，不和实验亲和力直接比。判定稳定的标准是最后 500 ns 的界面接触占据率不低于六成，而且至少两条副本一致。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阴性对照和正样本同流程、同时长：打乱序列的肽、等长等电荷的非抗菌肽、同源但没有抗菌活性的肽，这三类都应当通不过上面的判据。做到这一点，为什么是这条肽而不是随便哪条阳离子肽，才算回答了。</w:t>
      </w:r>
    </w:p>
    <w:p>
      <w:pPr>
        <w:spacing w:before="240" w:after="120" w:lineRule="auto" w:line="336"/>
        <w:jc w:val="left"/>
      </w:pPr>
      <w:r>
        <w:rPr>
          <w:rFonts w:ascii="Times New Roman" w:hAnsi="Times New Roman" w:eastAsia="黑体"/>
          <w:b/>
          <w:sz w:val="26"/>
        </w:rPr>
        <w:t>四、接下来的安排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先做两件事。一是把肠道端（第 8 条）和外周清除竞争（第 6 条）立起来，这两条不依赖跨屏障假设，风险最低，而且能直接说明肠道来源这个出身的意义。二是把 AChE 三元体系和交叉成核的方向判据补完，补上三元体系、双力场和 ThT 全局拟合之后，机制层次和可证伪性都能上一个台阶。</w:t>
      </w:r>
    </w:p>
    <w:p>
      <w:pPr>
        <w:spacing w:before="0"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受体那一层（第 4 条）放在第二批，它最容易和 AD 表型对上，但需要膜体系和细胞实验配合，周期较长。膜界面（第 5 条）、自淀粉样化（第 7 条）、tau（第 3 条）作为第三批，视前两批的结果决定是否展开。跨血脑屏障那条路径在稳定性和降解片段谱的数据出来之前，先按条件分支处理，不写进主线结论。</w:t>
      </w:r>
    </w:p>
    <w:p>
      <w:pPr>
        <w:spacing w:before="240" w:after="120" w:lineRule="auto" w:line="336"/>
        <w:jc w:val="left"/>
      </w:pPr>
      <w:r>
        <w:rPr>
          <w:rFonts w:ascii="Times New Roman" w:hAnsi="Times New Roman" w:eastAsia="黑体"/>
          <w:b/>
          <w:sz w:val="26"/>
        </w:rPr>
        <w:t>参考文献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[1] Inestrosa N C, Alvarez A, Pérez C A, et al. Acetylcholinesterase accelerates assembly of amyloid-β-peptides into Alzheimer’s fibrils[J]. Neuron, 1996, 16(4): 881–891.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[2] De Ferrari G V, Canales M A, Shin I, et al. A structural motif of acetylcholinesterase that promotes amyloid β-peptide fibril formation[J]. Biochemistry, 2001, 40(35): 10447–10457.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[3] De Lorenzi E, Chiari M, Colombo R, et al. Evidence that the human innate immune peptide LL-37 may be a binding partner of amyloid-β and inhibitor of fibril assembly[J]. Journal of Alzheimer’s Disease, 2017, 59(4): 1213–1226.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[4] LL-37 and its truncated fragments modulate amyloid-β dynamics, aggregation and toxicity through hetero-oligomer and cluster formation[J]. 2025. PMID: 40916348.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[5] Wang C, et al. Human antimicrobial peptide LL-37 contributes to Alzheimer’s disease progression[J]. Molecular Psychiatry, 2022. doi:10.1038/s41380-022-01790-6.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[6] Fan X, Zhang X, Yan J, et al. Computational investigation of co-aggregation and cross-seeding between Aβ and hIAPP underpinning the crosstalk in Alzheimer’s disease and type-2 diabetes[J]. Journal of Chemical Information and Modeling, 2024, 64(13): 5303–5316.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[7] Identification of hybrid amyloid strains assembled from amyloid-β and human islet amyloid polypeptide[J]. Nanotechnology, 2023. doi:10.1088/1361-6528/acf3ee.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[8] Perov S, Lidor O, Salinas N, et al. Structural insights into curli CsgA cross-β fibril architecture inspire repurposing of anti-amyloid compounds as anti-biofilm agents[J]. PLoS Pathogens, 2019, 15(8): e1007978.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[9] Chen S G, Stribinskis V, Rane M J, et al. Exposure to the functional bacterial amyloid protein curli enhances alpha-synuclein aggregation in aged Fischer 344 rats and Caenorhabditis elegans[J]. Scientific Reports, 2016, 6: 34477.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[10] Wang C, Lau C Y, Ma F, et al. Genome-wide screen identifies curli amyloid fibril as a bacterial component promoting host neurodegeneration[J]. PNAS, 2021, 118(34): e2106504118.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[11] Bhoite S S, Han Y, Ruotolo B T, et al. Mechanistic insights into accelerated α-synuclein aggregation mediated by human microbiome-associated functional amyloids[J]. Journal of Biological Chemistry, 2022, 298(8): 102088.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[12] Factors driving amyloid beta fibril recognition by cell surface receptors: a computational study[J]. 2025. PMCID: PMC12566521.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[13] Zhu Y, Lin X, Zong X, et al. Structural basis of FPR2 in recognition of Aβ42 and neuroprotection by humanin[J]. Nature Communications, 2022, 13: 1775.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[14] Salinas N, Tayeb-Fligelman E, Sammito M D, et al. The amphibian antimicrobial peptide uperin 3.5 is a cross-α/cross-β chameleon functional amyloid[J]. PNAS, 2021, 118(3): e2014442118.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[15] Bücker R, Seuring C, Cazey C, et al. The cryo-EM structures of two amphibian antimicrobial cross-β amyloid fibrils[J]. Nature Communications, 2022, 13: 4356.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[16] Farris W, Mansourian S, Chang Y, et al. Insulin-degrading enzyme regulates the levels of insulin, amyloid β-protein, and the β-amyloid precursor protein intracellular domain in vivo[J]. PNAS, 2003, 100(7): 4162–4167.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[17] Iwata N, Tsubuki S, Takaki Y, et al. Metabolic regulation of brain Aβ by neprilysin[J]. Science, 2001, 292(5521): 1550–1552.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[18] Kumar V, Patiyal S, Dhall A, et al. B3Pred: a random-forest-based method for predicting and designing blood–brain barrier penetrating peptides[J]. Pharmaceutics, 2021, 13(8): 1237.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[19] Prediction of blood-brain barrier-penetrating peptides using B3BPFN[J]. Frontiers in Molecular Biosciences, 2026. doi:10.3389/fmolb.2026.1858506.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[20] Meisl G, Kirkegaard J B, Arosio P, et al. Molecular mechanisms of protein aggregation from global fitting of kinetic models[J]. Nature Protocols, 2016, 11(2): 252–272.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[21] Cohen S I A, Linse S, Luheshi L M, et al. Proliferation of amyloid-β42 aggregates occurs through a secondary nucleation mechanism[J]. PNAS, 2013, 110(24): 9758–9763.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[22] Huang J, Rauscher S, Nawrocki G, et al. CHARMM36m: an improved force field for folded and intrinsically disordered proteins[J]. Nature Methods, 2017, 14(1): 71–73.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[23] Robustelli P, Piana S, Shaw D E. Developing a molecular dynamics force field for both folded and disordered protein states[J]. PNAS, 2018, 115(21): E4758–E4766.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[24] Matsuzaki K. Aβ–ganglioside interactions in the pathogenesis of Alzheimer’s disease[J]. Biochimica et Biophysica Acta – Biomembranes, 2020, 1862(8): 183233.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[25] Wang J, Gu B J, Masters C L, et al. A systemic view of Alzheimer disease—insights from amyloid-β metabolism beyond the brain[J]. Nature Reviews Neurology, 2017, 13(10): 612–623.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[26] Xiang Y, Bu X L, Liu Y H, et al. Physiological amyloid-beta clearance in the periphery and its therapeutic potential for Alzheimer’s disease[J]. Acta Neuropathologica, 2015, 130(4): 487–499.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[27] Engelberg Y, Landau M. The human LL-37(17-29) antimicrobial peptide reveals a functional supramolecular structure[J]. Nature Communications, 2020, 11: 3894.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[28] Diener C, Gibbons S M, Resendis-Antonio O. MICOM: metagenome-scale modeling to infer metabolic interactions in the gut microbiota[J]. mSystems, 2020, 5(1): e00606-19.</w:t>
      </w:r>
    </w:p>
    <w:p>
      <w:pPr>
        <w:spacing w:after="60" w:lineRule="auto" w:line="312"/>
        <w:ind w:left="480" w:hanging="480"/>
      </w:pPr>
      <w:r>
        <w:rPr>
          <w:rFonts w:ascii="Times New Roman" w:hAnsi="Times New Roman" w:eastAsia="宋体"/>
          <w:b w:val="0"/>
          <w:sz w:val="21"/>
        </w:rPr>
        <w:t>[29] Yang J, Liang J, Hu N, et al. The gut microbiota modulates neuroinflammation in Alzheimer’s disease: elucidating crucial factors and mechanistic underpinnings[J]. CNS Neuroscience &amp; Therapeutics, 2024, 30(10): e70091.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