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1400"/>
        <w:jc w:val="center"/>
      </w:pPr>
      <w:r>
        <w:rPr>
          <w:rFonts w:ascii="Times New Roman" w:hAnsi="Times New Roman" w:eastAsia="黑体"/>
          <w:b/>
          <w:i w:val="0"/>
          <w:sz w:val="44"/>
        </w:rPr>
        <w:t>单细胞 RNA-seq 聚类基准分析</w:t>
      </w:r>
    </w:p>
    <w:p>
      <w:pPr>
        <w:spacing w:after="520" w:before="0"/>
        <w:jc w:val="center"/>
      </w:pPr>
      <w:r>
        <w:rPr>
          <w:rFonts w:ascii="Times New Roman" w:hAnsi="Times New Roman" w:eastAsia="黑体"/>
          <w:b w:val="0"/>
          <w:i w:val="0"/>
          <w:sz w:val="32"/>
        </w:rPr>
        <w:t>代码与方法文档</w:t>
      </w:r>
    </w:p>
    <w:p>
      <w:pPr>
        <w:spacing w:after="88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GSE118767 / sc_mixology — 基于 demuxlet 金标准的doublet 检测与聚类分辨率客观评估</w:t>
      </w:r>
    </w:p>
    <w:p>
      <w:pPr>
        <w:spacing w:after="80" w:befor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生成日期：2026-07-26</w:t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分析流程构建于 bioSkills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1  概述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本文档描述 10x Chromium 单细胞 RNA-seq 数据集 GSE118767 的完整分析流程。该数据集将五个人肺腺癌细胞系等比例混合后建库，每个细胞的真实归属由 demuxlet 依据 SNP 基因型独立判定。这一设计提供了**客观 ground truth**，使我们能够定量评估 doublet 检测与聚类分辨率选择这两个通常只能靠主观判断的环节。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1.1 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6576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GEO 编号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GSE118767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来源仓库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LuyiTian/sc_mixology (94★)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平台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10x Chromium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细胞系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A549, H838, H2228, HCC827, H1975（人肺腺癌）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原始规模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3,918 细胞 × 11,786 基因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数据形态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整数 UMI counts（scPipe 输出，最大值 2715）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Ground truth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demuxlet SNP 判定；含 96 个 doublet（2.45%）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内参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ERCC spike-in 8 个，线粒体基因 23 个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下载体积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约 14 MB（稀疏检出 2 个文件）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1.2  为什么选这个数据集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常规单细胞分析中，聚类分辨率的选择缺乏客观依据——通常只能观察 UMAP 是否"看起来合理"，或依赖标记基因的事后解释。这一环节的主观性是单细胞分析可重复性问题的主要来源之一。本数据集的细胞身份来自 SNP 基因型，完全独立于表达量，因此可以用调整兰德指数（ARI）等外部指标直接量化"聚类结果与真实分组的一致程度"。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2  运行环境与依赖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conda create -n sc python=3.11 -y &amp;&amp; conda activate sc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pip install scanpy leidenalg igraph scikit-image scikit-learn python-docx</w:t>
      </w:r>
    </w:p>
    <w:p>
      <w:pPr>
        <w:spacing w:after="80"/>
      </w:pP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2-1  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包</w:t>
            </w:r>
          </w:p>
        </w:tc>
        <w:tc>
          <w:tcPr>
            <w:tcW w:type="dxa" w:w="136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实测版本</w:t>
            </w:r>
          </w:p>
        </w:tc>
        <w:tc>
          <w:tcPr>
            <w:tcW w:type="dxa" w:w="374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type="dxa" w:w="90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必需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python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3.11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scanpy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1.11.5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单细胞分析主框架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anndata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0.12.19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数据容器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leidenalg / igraph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最新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Leiden 图聚类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scikit-learn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最新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ARI / NMI / AUROC / 轮廓系数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scikit-image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最新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Scrublet 自动阈值（大津法）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scipy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1.17.1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Mann-Whitney 检验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matplotlib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最新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绘图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pandas / numpy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2.3.3 / 2.4.6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数据处理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python-docx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1.2.0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生成本文档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</w:tr>
    </w:tbl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运行资源：峰值内存约 2 GB，全流程实测耗时约 2 分钟（不含下载）。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3  分析流程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01_fetch.sh              稀疏检出真实 counts（14MB，非整仓 377MB）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▼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02_qc_doublet.py         QC 指标 + Scrublet + 用 demuxlet 金标准评估性能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▼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03_cluster_benchmark.py  归一化 → HVG → PCA → 分辨率扫描（ARI/NMI）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                 → 亚群溯源 → 细胞周期回归对照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▼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04_markers.py            细胞系标记基因 + 亚群表征 + 深度诊断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▼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05_figures.py            8 张图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▼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06_make_docx.py          本文档 + 论文</w:t>
      </w:r>
    </w:p>
    <w:p>
      <w:pPr>
        <w:spacing w:after="80"/>
      </w:pPr>
    </w:p>
    <w:p>
      <w:pPr>
        <w:spacing w:after="6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一键执行：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analysis/GSE118767/run_all.sh</w:t>
      </w:r>
    </w:p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3.1  质量控制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3-1  过滤前 QC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510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中位基因数/细胞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4437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中位 UMI/细胞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25171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中位线粒体比例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6.27%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中位 ERCC 比例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0.01%</w:t>
            </w:r>
          </w:p>
        </w:tc>
      </w:tr>
    </w:tbl>
    <w:p>
      <w:pPr>
        <w:spacing w:after="80"/>
      </w:pP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过滤标准：基因数 &gt; 500，线粒体比例 &lt; 20.0%，并移除 Scrublet 判定的 doublet；基因需在至少 3 个细胞中表达。ERCC spike-in 在下游分析中剔除，避免人工转录本影响高变基因选择。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3.2  Doublet 检测与基准评估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常规流程中 doublet 检测的效果无从检验。本数据集的 demuxlet 标签提供了金标准，使我们能给出定量性能：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3-2  Scrublet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92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  <w:tc>
          <w:tcPr>
            <w:tcW w:type="dxa" w:w="476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AUROC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0.9143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整体判别能力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AUPRC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0.8198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随机基线仅 0.0245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默认阈值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0.170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Scrublet 大津法自动确定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预测阳性数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真实共 96 个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TP / FP / FN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53 / 0 / 43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精确率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1.000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预测为 doublet 的全部正确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召回率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0.552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但漏掉了近一半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F1 最优阈值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0.056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F1 可达 0.847</w:t>
            </w:r>
          </w:p>
        </w:tc>
      </w:tr>
    </w:tbl>
    <w:p>
      <w:pPr>
        <w:spacing w:after="80"/>
      </w:pP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结论：Scrublet 的排序能力很强（AUROC 0.914），但默认阈值明显偏保守——精确率 100% 的代价是召回率仅 55%。若研究目标是尽可能清除 doublet，应下调阈值；若目标是避免误删真实细胞，默认值是安全的。这一权衡在没有 ground truth 的常规数据中是看不见的。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3.3  降维与聚类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3-3  聚类参数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260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取值</w:t>
            </w:r>
          </w:p>
        </w:tc>
        <w:tc>
          <w:tcPr>
            <w:tcW w:type="dxa" w:w="3969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归一化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每细胞总量 1e4 + log1p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标准做法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高变基因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2000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常规范围 1000–3000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主成分数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累计解释 35.1% 方差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近邻数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scanpy 默认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聚类算法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Leiden (igraph flavor)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优于 Louvain，保证连通性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分辨率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0.03–1.0 共 10 档扫描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见基准结果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4  核心结果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4.1  分辨率基准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4-1  分辨率扫描（对照 demuxlet 真值）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分辨率</w:t>
            </w:r>
          </w:p>
        </w:tc>
        <w:tc>
          <w:tcPr>
            <w:tcW w:type="dxa" w:w="170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簇数</w:t>
            </w:r>
          </w:p>
        </w:tc>
        <w:tc>
          <w:tcPr>
            <w:tcW w:type="dxa" w:w="226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ARI</w:t>
            </w:r>
          </w:p>
        </w:tc>
        <w:tc>
          <w:tcPr>
            <w:tcW w:type="dxa" w:w="226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NMI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0.9995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0.9988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0.9995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0.9988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0.08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0.9995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0.9988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0.9995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0.9988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0.9262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0.9378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0.2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0.9262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0.9378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0.8268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0.8967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0.7591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0.8548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0.8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0.5868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0.7954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0.4670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0.7385</w:t>
            </w:r>
          </w:p>
        </w:tc>
      </w:tr>
    </w:tbl>
    <w:p>
      <w:pPr>
        <w:spacing w:after="80"/>
      </w:pP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最优分辨率 0.03 下得到 5 个簇，ARI = 0.9995，NMI = 0.9988，与五个细胞系近乎完美对应。ARI 随分辨率升高单调下降，印证了 bioSkills 聚类 skill 的判断：过聚类是默认失效模式，任何均质群体在更高分辨率下都会被继续切分。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2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img_b1857b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sz w:val="18"/>
        </w:rPr>
        <w:t>图 4-1  分辨率扫描。左：与真值的一致性；右：簇数变化。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4.2  细胞周期回归对照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S 期与 G2M 期打分做回归后重跑全流程，最优 ARI 为 0.9995，在 res=0.2 处 ΔARI = +0.0000。聚类结构几乎不受影响，说明本数据中细胞周期不是主要的结构驱动因素。这一步是必要的阴性对照：若不做，无法排除亚群只是细胞周期时相的反映。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4.3  亚群溯源：技术性还是生物学？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在略高的分辨率（0.2）下出现 7 个簇，其中 H838 与 H1975 各被拆为两个亚群。关键问题是：这是真实的转录异质性，还是技术伪影？我们比较了两个亚群的测序深度：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4-2  亚群深度诊断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细胞系</w:t>
            </w:r>
          </w:p>
        </w:tc>
        <w:tc>
          <w:tcPr>
            <w:tcW w:type="dxa" w:w="147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亚群A 中位UMI</w:t>
            </w:r>
          </w:p>
        </w:tc>
        <w:tc>
          <w:tcPr>
            <w:tcW w:type="dxa" w:w="147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亚群B 中位UMI</w:t>
            </w:r>
          </w:p>
        </w:tc>
        <w:tc>
          <w:tcPr>
            <w:tcW w:type="dxa" w:w="90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比值</w:t>
            </w:r>
          </w:p>
        </w:tc>
        <w:tc>
          <w:tcPr>
            <w:tcW w:type="dxa" w:w="136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Mann-Whitney p</w:t>
            </w:r>
          </w:p>
        </w:tc>
        <w:tc>
          <w:tcPr>
            <w:tcW w:type="dxa" w:w="215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H838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34777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13577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2.561×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0.0e+00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技术性：深度差异主导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H1975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29699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28308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1.049×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9.0e-02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生物学：深度相当，反映真实异质性</w:t>
            </w:r>
          </w:p>
        </w:tc>
      </w:tr>
    </w:tbl>
    <w:p>
      <w:pPr>
        <w:spacing w:after="80"/>
      </w:pP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两个亚群的性质完全不同：H838 的两个亚群测序深度相差 2.56 倍（p 值接近 0），该"亚群"实为文库深度造成的技术性分层；而 H1975 两个亚群深度仅差 1.05 倍（p = 0.09，不显著），属于真实的转录状态差异。若不做这一诊断，很容易把技术伪影误报为生物学发现。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img_8b97bd5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sz w:val="18"/>
        </w:rPr>
        <w:t>图 4-2  亚群溯源。左侧为测序深度，右侧为细胞周期分数。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4.4  标记基因与生物学验证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细胞系标记基因的分组标签来自 demuxlet SNP 判定，独立于表达数据，因此不存在 double-dipping，p 值有效。已知特征基因核查如下：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4-3  已知标记基因平均表达（log-归一化）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基因</w:t>
            </w:r>
          </w:p>
        </w:tc>
        <w:tc>
          <w:tcPr>
            <w:tcW w:type="dxa" w:w="141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A549</w:t>
            </w:r>
          </w:p>
        </w:tc>
        <w:tc>
          <w:tcPr>
            <w:tcW w:type="dxa" w:w="141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H838</w:t>
            </w:r>
          </w:p>
        </w:tc>
        <w:tc>
          <w:tcPr>
            <w:tcW w:type="dxa" w:w="141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H1975</w:t>
            </w:r>
          </w:p>
        </w:tc>
        <w:tc>
          <w:tcPr>
            <w:tcW w:type="dxa" w:w="141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H2228</w:t>
            </w:r>
          </w:p>
        </w:tc>
        <w:tc>
          <w:tcPr>
            <w:tcW w:type="dxa" w:w="141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HCC827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EGFR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0.20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0.11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0.35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0.40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1.81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KRT81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4.17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0.43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0.66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0.44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0.38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VIM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1.85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2.00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2.29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2.71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0.33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CDH1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0.06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0.01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0.26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0.10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0.51</w:t>
            </w:r>
          </w:p>
        </w:tc>
      </w:tr>
    </w:tbl>
    <w:p>
      <w:pPr>
        <w:spacing w:after="80"/>
      </w:pP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HCC827 的 EGFR 表达量显著高于其余四系，与该细胞系已知的 EGFR 基因扩增一致；A549 高表达 AKR1B10、ALDH1A1 与 KRT81；H838 特异表达 GAGE 家族癌睾抗原。这些均与文献记载的细胞系特征吻合，构成流程正确性的生物学佐证。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5  关于 double-dipping 的处理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bioSkills 的 single-cell/clustering skill 指出一个常被忽视的统计陷阱：聚类算法的优化目标就是最大化簇间差异，再对同一批数据上的这些簇做差异检验，等于用产生假设的数据检验该假设。所得 p 值不是偏高，而是**无效推断**。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分析</w:t>
            </w:r>
          </w:p>
        </w:tc>
        <w:tc>
          <w:tcPr>
            <w:tcW w:type="dxa" w:w="204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分组来源</w:t>
            </w:r>
          </w:p>
        </w:tc>
        <w:tc>
          <w:tcPr>
            <w:tcW w:type="dxa" w:w="170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p 值是否有效</w:t>
            </w:r>
          </w:p>
        </w:tc>
        <w:tc>
          <w:tcPr>
            <w:tcW w:type="dxa" w:w="272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本流程处理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细胞系标记基因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demuxlet SNP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有效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正常报告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亚群差异基因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聚类结果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无效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仅作描述，明确标注不可用于推断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6  输出文件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6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文件</w:t>
            </w:r>
          </w:p>
        </w:tc>
        <w:tc>
          <w:tcPr>
            <w:tcW w:type="dxa" w:w="5443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qc_summary.json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QC 指标 + Scrublet 基准全部数值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cluster_summary.json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分辨率扫描、最优解、细胞周期对照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markers_summary.json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标记基因统计 + 亚群深度诊断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resolution_sweep_*.csv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分辨率扫描明细（标准 / 细胞周期回归）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confusion_*.csv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簇 × 真实细胞系列联表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markers_cell_line.csv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各细胞系标记基因（p 值有效）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markers_subcluster.csv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亚群差异基因（p 值仅描述）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adata_*.h5ad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各阶段 AnnData 对象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fig01–fig08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图件，PNG 300dpi + PDF 矢量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7  参数速查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124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当前值</w:t>
            </w:r>
          </w:p>
        </w:tc>
        <w:tc>
          <w:tcPr>
            <w:tcW w:type="dxa" w:w="260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260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调整建议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min_genes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02_qc_doublet.py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低质量样本可降至 200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max_mt_pct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02_qc_doublet.py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组织样本常用 10–20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expected_doublet_rate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0.025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02_qc_doublet.py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按 10x 载入细胞数估算，约 0.8%/1000 细胞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n_top_genes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2000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03_cluster_benchmark.py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1000–3000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n_pcs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03_cluster_benchmark.py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看肘部图或方差累计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n_neighbors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03_cluster_benchmark.py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细胞数多可增至 30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resolutions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0.03–1.0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03_cluster_benchmark.py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有真值时扫描取最优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8  复现步骤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git clone -b arena/019f9c4c-bioskills https://github.com/mqgg5630-cyber/bioSkills.git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cd bioSkills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conda create -n sc python=3.11 -y &amp;&amp; conda activate sc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pip install scanpy leidenalg igraph scikit-image scikit-learn python-docx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analysis/GSE118767/run_all.sh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9  参考文献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[1]  Tian L, Dong X, Freytag S, et al. Benchmarking single cell RNA-sequencing analysis pipelines using mixture control experiments. Nat Methods. 2019;16(6):479-487.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[2]  Traag VA, Waltman L, van Eck NJ. From Louvain to Leiden: guaranteeing well-connected communities. Sci Rep. 2019;9:5233.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[3]  Wolf FA, Angerer P, Theis FJ. SCANPY: large-scale single-cell gene expression data analysis. Genome Biol. 2018;19:15.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[4]  Wolock SL, Lopez R, Klein AM. Scrublet: computational identification of cell doublets in single-cell transcriptomic data. Cell Syst. 2019;8(4):281-291.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[5]  Kang HM, Subramaniam M, Targ S, et al. Multiplexed droplet single-cell RNA-sequencing using natural genetic variation. Nat Biotechnol. 2018;36(1):89-94.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[6]  Tirosh I, Izar B, Prakadan SM, et al. Dissecting the multicellular ecosystem of metastatic melanoma by single-cell RNA-seq. Science. 2016;352(6282):189-196.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[7]  Chari T, Pachter L. The specious art of single-cell genomics. PLoS Comput Biol. 2023;19(8):e1011288.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[8]  Hubert L, Arabie P. Comparing partitions. J Classif. 1985;2:193-218.</w:t>
      </w:r>
    </w:p>
    <w:sectPr w:rsidR="00FC693F" w:rsidRPr="0006063C" w:rsidSect="00034616">
      <w:footerReference w:type="default" r:id="rId9"/>
      <w:pgSz w:w="12240" w:h="15840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