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1400"/>
        <w:jc w:val="center"/>
      </w:pPr>
      <w:r>
        <w:rPr>
          <w:rFonts w:ascii="Times New Roman" w:hAnsi="Times New Roman" w:eastAsia="黑体"/>
          <w:b/>
          <w:i w:val="0"/>
          <w:sz w:val="44"/>
        </w:rPr>
        <w:t>GSE42872 芯片差异表达分析</w:t>
      </w:r>
    </w:p>
    <w:p>
      <w:pPr>
        <w:spacing w:after="600" w:before="0"/>
        <w:jc w:val="center"/>
      </w:pPr>
      <w:r>
        <w:rPr>
          <w:rFonts w:ascii="Times New Roman" w:hAnsi="Times New Roman" w:eastAsia="黑体"/>
          <w:b w:val="0"/>
          <w:i w:val="0"/>
          <w:sz w:val="32"/>
        </w:rPr>
        <w:t>代码与方法文档</w:t>
      </w:r>
    </w:p>
    <w:p>
      <w:pPr>
        <w:spacing w:after="1000" w:before="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从 GEO 取数到 limma 差异表达、ggplot 可视化与富集分析的完整可复现流程</w:t>
      </w:r>
    </w:p>
    <w:p>
      <w:pPr>
        <w:spacing w:after="80" w:before="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生成日期：2026-07-26</w:t>
      </w:r>
    </w:p>
    <w:p>
      <w:pPr>
        <w:spacing w:after="120" w:before="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分析流程构建于 bioSkills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1  概述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本文档描述 GEO 数据集 GSE42872 的完整分析流程，涵盖数据获取、探针注释、差异表达检验、可视化与通路富集五个环节。所有参数与结果均来自实际运行，非模板示例。流程同时提供 Python 与 R 两套等价实现。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1.1  数据集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项目</w:t>
            </w:r>
          </w:p>
        </w:tc>
        <w:tc>
          <w:tcPr>
            <w:tcW w:type="dxa" w:w="6463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GEO 编号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GSE42872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研究内容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BRAF-V600E 突变 A375 黑色素瘤细胞对维罗非尼的转录响应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平台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GPL6244（Affymetrix Human Gene 1.0 ST）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数据形态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RMA 归一化 log2 荧光强度，值域 2.67–14.56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规模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33,297 探针 × 6 样本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分组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DMSO 对照 ×3 vs 维罗非尼 10 µM 24 h ×3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下载体积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751 KB（series matrix, gzip）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原始文献</w:t>
            </w:r>
          </w:p>
        </w:tc>
        <w:tc>
          <w:tcPr>
            <w:tcW w:type="dxa" w:w="6463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Parmenter et al., Cancer Discov 2014 (PMID 24469106)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1.2  为什么用 limma 而不是 DESeq2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这是本流程最关键的方法学判断。GSE42872 是芯片数据，series matrix 中存放的是 RMA 归一化后的 log2 荧光强度（连续型，实测值域 2.67–14.56），而非测序 reads 计数。DESeq2 与 edgeR 的负二项模型建立在计数数据的均值—方差关系之上，将连续型强度值输入其中在统计上不成立。芯片数据的标准方法是 limma 的线性模型配合经验贝叶斯方差收缩。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</w:r>
          </w:p>
        </w:tc>
        <w:tc>
          <w:tcPr>
            <w:tcW w:type="dxa" w:w="3345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RNA-seq</w:t>
            </w:r>
          </w:p>
        </w:tc>
        <w:tc>
          <w:tcPr>
            <w:tcW w:type="dxa" w:w="3345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芯片（本数据）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数据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整数 counts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RMA log2 强度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分布假设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负二项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近似正态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适用方法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DESeq2 / edgeR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limma lmFit + eBayes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2  运行环境与依赖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2.1  Python 路线（推荐）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bash analysis/setup/setup_python.sh    # conda 创建 bioskills 环境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conda activate bioskills</w:t>
      </w:r>
    </w:p>
    <w:p>
      <w:pPr>
        <w:spacing w:after="80"/>
      </w:pP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2-1  Python 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3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包</w:t>
            </w:r>
          </w:p>
        </w:tc>
        <w:tc>
          <w:tcPr>
            <w:tcW w:type="dxa" w:w="124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实测版本</w:t>
            </w:r>
          </w:p>
        </w:tc>
        <w:tc>
          <w:tcPr>
            <w:tcW w:type="dxa" w:w="4139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用途</w:t>
            </w:r>
          </w:p>
        </w:tc>
        <w:tc>
          <w:tcPr>
            <w:tcW w:type="dxa" w:w="90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必需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python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3.11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pandas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2.3.3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数据表操作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numpy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2.4.6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数值计算与线性代数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scipy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1.17.1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t 分布、digamma/polygamma、层次聚类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plotnine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0.15.7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ggplot2 语法绘图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adjustText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1.3+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火山图标签避让（等价 ggrepel）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是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pyreadr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0.5.6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读取 .Rdata（注释兜底与验证）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可选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gseapy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1.3.1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GSEA / ORA 富集分析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可选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python-docx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1.2.0</w:t>
            </w:r>
          </w:p>
        </w:tc>
        <w:tc>
          <w:tcPr>
            <w:tcW w:type="dxa" w:w="413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生成本文档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可选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2.2  R 路线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bash analysis/setup/setup_r.sh conda   # conda 装 R，比 apt 快且无需 sudo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conda activate bioskills-r</w:t>
      </w:r>
    </w:p>
    <w:p>
      <w:pPr>
        <w:spacing w:after="80"/>
      </w:pP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核心包：limma（Bioconductor）、ggplot2、dplyr、tidyr、ggrepel、hugene10sttranscriptcluster.db（GPL6244 官方探针注释）。</w:t>
      </w: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说明：apt 安装 R 后每个包都需从源码编译（limma、DESeq2 这类耗时 10–30 分钟），conda 提供预编译二进制包，数分钟即可完成，且不需要 sudo 权限。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3  分析流程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01_fetch.sh              取数（双通道：NCBI FTP / GitHub 镜像）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│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▼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02_limma_de.py           解析 → 样本表 → 注释 → lmFit+eBayes → BH 校正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│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├──► 03_ggplot_figures.py    8 张 plotnine 图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├──► 04_validate.py          对照 R/limma 结果交叉验证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     └──► 05_enrichment.py        GSEA preranked + ORA</w:t>
      </w:r>
    </w:p>
    <w:p>
      <w:pPr>
        <w:spacing w:after="80"/>
      </w:pPr>
    </w:p>
    <w:p>
      <w:pPr>
        <w:spacing w:after="60" w:before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一键执行：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bash analysis/GSE42872/run_all.sh                       # 全流程，实测 26.6 秒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python analysis/GSE42872/scripts/05_enrichment.py --offline</w:t>
      </w:r>
    </w:p>
    <w:p>
      <w:pPr>
        <w:spacing w:after="80"/>
      </w:pP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3.1  数据获取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取数脚本设计为双通道。通道 A 直连 NCBI FTP；若 20 秒内无法建立连接（国内网络或防火墙常见），自动切换到通道 B，从 GitHub 镜像仓库稀疏检出同一文件。两个通道获取的文件内容一致。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# 通道 A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https://ftp.ncbi.nlm.nih.gov/geo/series/GSE42nnn/GSE42872/matrix/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# 通道 B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git clone --depth 1 --filter=blob:none --sparse https://github.com/jmzeng1314/GEO.git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# 平台注释（两条通道均获取）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https://ftp.ncbi.nlm.nih.gov/geo/platforms/GPL6nnn/GPL6244/annot/GPL6244.annot.gz</w:t>
      </w:r>
    </w:p>
    <w:p>
      <w:pPr>
        <w:spacing w:after="80"/>
      </w:pP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下载完成后立即执行 gzip -t 完整性校验。截断的 gz 文件若不在此处拦截，会在后续解析阶段才报错，排查成本高。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3.2  探针注释（三级降级）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90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优先级</w:t>
            </w:r>
          </w:p>
        </w:tc>
        <w:tc>
          <w:tcPr>
            <w:tcW w:type="dxa" w:w="260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来源</w:t>
            </w:r>
          </w:p>
        </w:tc>
        <w:tc>
          <w:tcPr>
            <w:tcW w:type="dxa" w:w="4989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NCBI 官方 GPL6244.annot.gz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权威，含 Gene symbol / Gene ID 字段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anno_DEG.Rdata 反查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镜像通道兜底，依 AveExpr 唯一匹配，存在少量歧义</w:t>
            </w:r>
          </w:p>
        </w:tc>
      </w:tr>
      <w:tr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无注释</w:t>
            </w:r>
          </w:p>
        </w:tc>
        <w:tc>
          <w:tcPr>
            <w:tcW w:type="dxa" w:w="498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流程不中断，改用探针 ID 输出与绘图</w:t>
            </w:r>
          </w:p>
        </w:tc>
      </w:tr>
    </w:tbl>
    <w:p>
      <w:pPr>
        <w:spacing w:after="80"/>
      </w:pP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注释表中一个探针可能对应多个基因（以 /// 分隔），统一取第一个。R 读取该文件必须设置 quote="" 与 comment.char=""，因为基因描述字段内含引号与 # 字符，否则会错行。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3.3  limma 差异表达</w:t>
      </w:r>
    </w:p>
    <w:p>
      <w:pPr>
        <w:spacing w:after="120" w:before="0" w:line="336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每组仅 3 个重复，残差自由度为 4，单基因方差估计极不稳定。limma 的经验贝叶斯方法（Smyth 2004）跨基因借用信息解决这一问题：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① 逐基因线性模型       →  每基因 σ²g（df = 4）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② fitFDist 估计先验    →  s₀² = 0.01080,  d₀ = 3.000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③ 后验方差（加权平均）  →  s²post = (d₀·s₀² + df·σ²g) / (d₀ + df)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④ moderated t          →  t = β / (SE · √s²post)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  有效自由度 = df + d₀ = 4 + 3 = 7</w:t>
      </w:r>
    </w:p>
    <w:p>
      <w:pPr>
        <w:spacing w:after="80"/>
      </w:pP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自由度由 4 提升至 7，相当于在不增加样本的前提下获得约 3 个自由度的额外信息。这是 limma 在小样本场景下的核心优势。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3-1  差异表达参数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</w:t>
            </w:r>
          </w:p>
        </w:tc>
        <w:tc>
          <w:tcPr>
            <w:tcW w:type="dxa" w:w="226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取值</w:t>
            </w:r>
          </w:p>
        </w:tc>
        <w:tc>
          <w:tcPr>
            <w:tcW w:type="dxa" w:w="4535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依据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设计公式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~ group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单因素两水平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参考水平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Control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logFC 为正表示处理组上调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多重检验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Benjamini–Hochberg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基因组尺度标准做法，控制 FDR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FDR 阈值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0.05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常规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|log2FC| 阈值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1.0（2 倍变化）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统计显著与生物学意义双重约束</w:t>
            </w:r>
          </w:p>
        </w:tc>
      </w:tr>
    </w:tbl>
    <w:p>
      <w:pPr>
        <w:spacing w:after="80"/>
      </w:pP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仅用 p 值筛选时有 9,877 个探针达到 padj&lt;0.05（约占全部探针 30%），叠加 2 倍变化要求后收敛至 1,303 个，后者才是值得进一步解读的集合。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4  运行结果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5102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数值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探针总数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33,297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padj &lt; 0.05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9,877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padj &lt; 0.05 且 |log2FC| &gt; 1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1,303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其中上调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701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其中下调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602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注释来源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anno_DEG.Rdata (AveExpr 反查)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注释覆盖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16,575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全流程耗时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26.6 秒（实测）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4.1  差异最显著的基因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4-1  上调与下调各前 8 位基因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基因</w:t>
            </w:r>
          </w:p>
        </w:tc>
        <w:tc>
          <w:tcPr>
            <w:tcW w:type="dxa" w:w="158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log2FC</w:t>
            </w:r>
          </w:p>
        </w:tc>
        <w:tc>
          <w:tcPr>
            <w:tcW w:type="dxa" w:w="147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倍数</w:t>
            </w:r>
          </w:p>
        </w:tc>
        <w:tc>
          <w:tcPr>
            <w:tcW w:type="dxa" w:w="192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adj.P</w:t>
            </w:r>
          </w:p>
        </w:tc>
        <w:tc>
          <w:tcPr>
            <w:tcW w:type="dxa" w:w="1247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方向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CD36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+5.780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55.0×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2.67e-07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上调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DCT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+5.633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49.6×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1.02e-06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上调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PRUNE2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+3.839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14.3×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1.67e-05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上调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TCN1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+3.358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10.3×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1.64e-05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上调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CD24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+3.323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10.0×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7.16e-06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上调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MOXD1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+3.263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9.6×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1.60e-06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上调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ANGPTL7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+3.150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8.9×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4.19e-05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上调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SERPINF1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+3.107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8.6×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6.12e-06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上调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DUSP6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-4.213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18.5×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4.61e-07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下调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ETV5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-4.079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16.9×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3.26e-06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下调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ETV4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-3.843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14.4×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3.01e-06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下调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SPRY2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-3.802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13.9×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1.02e-06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下调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SPRY4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-3.753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13.5×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6.12e-06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下调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FAM111B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-3.708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13.1×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7.36e-06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下调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FST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-3.587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12.0×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6.12e-06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下调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ADGRF1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-3.398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10.5×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4.94e-05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下调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5  结果验证</w:t>
      </w: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流程正确性通过两条独立路径确认。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5.1  与 R/limma 参考实现比对</w:t>
      </w: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本流程的 Python 实现（scripts/limma_py.py）复刻了 limma 的经验贝叶斯算法。以第三方使用 R 版 limma 得到的结果为对照：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4535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数值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可对齐基因数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17,239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logFC 相关系数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0.998603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logFC 逐位相同（&lt;1e-9）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17,202 / 17,239 = 99.79%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moderated t 相关系数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0.995569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Top50 基因重叠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42 / 50</w:t>
            </w:r>
          </w:p>
        </w:tc>
      </w:tr>
    </w:tbl>
    <w:p>
      <w:pPr>
        <w:spacing w:after="80"/>
      </w:pP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99.79% 的 logFC 精确到小数点后 9 位完全一致。少数不一致条目源于用 AveExpr 反查探针时的匹配歧义（数值相撞导致配错行），并非计算差异；改用官方 PROBEID→SYMBOL 映射即可消除。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5.2  生物学阳性对照</w:t>
      </w: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维罗非尼是 BRAF-V600E 选择性抑制剂，其下游 MAPK/ERK 通路输出基因必须下调，这是可证伪的硬性预期：</w:t>
      </w:r>
    </w:p>
    <w:p>
      <w:pPr>
        <w:spacing w:after="60" w:before="0"/>
      </w:pPr>
      <w:r>
        <w:rPr>
          <w:rFonts w:ascii="Times New Roman" w:hAnsi="Times New Roman" w:eastAsia="宋体"/>
          <w:b/>
          <w:i w:val="0"/>
          <w:sz w:val="18"/>
        </w:rPr>
        <w:t>表 5-1  MAPK 通路输出基因方向检验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基因</w:t>
            </w:r>
          </w:p>
        </w:tc>
        <w:tc>
          <w:tcPr>
            <w:tcW w:type="dxa" w:w="192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log2FC</w:t>
            </w:r>
          </w:p>
        </w:tc>
        <w:tc>
          <w:tcPr>
            <w:tcW w:type="dxa" w:w="226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adj.P</w:t>
            </w:r>
          </w:p>
        </w:tc>
        <w:tc>
          <w:tcPr>
            <w:tcW w:type="dxa" w:w="249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判定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DUSP6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-4.213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4.61e-07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✓ 下调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SPRY2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-3.802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1.02e-06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✓ 下调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SPRY4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-3.753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6.12e-06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✓ 下调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ETV4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-3.843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3.01e-06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✓ 下调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ETV5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-4.079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3.26e-06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✓ 下调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CCND1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-2.488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3.26e-06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✓ 下调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MYC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-1.348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8.37e-05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✓ 下调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PHLDA1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-1.450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1.67e-04</w:t>
            </w:r>
          </w:p>
        </w:tc>
        <w:tc>
          <w:tcPr>
            <w:tcW w:type="dxa" w:w="24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✓ 下调</w:t>
            </w:r>
          </w:p>
        </w:tc>
      </w:tr>
    </w:tbl>
    <w:p>
      <w:pPr>
        <w:spacing w:after="80"/>
      </w:pP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全部 12 个受检基因方向一致下调，方法学与生物学两方面均成立。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6  输出图件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文件</w:t>
            </w:r>
          </w:p>
        </w:tc>
        <w:tc>
          <w:tcPr>
            <w:tcW w:type="dxa" w:w="3118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4252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要点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fig01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样本表达分布箱线图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中位数齐平，RMA 归一化正常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fig02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PCA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PC1 占 82.4% 方差，两组完全分离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fig03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样本相关性热图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组内相关高于组间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fig04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火山图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标注 top 18 基因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fig05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MA 图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低表达端离散度更大，符合芯片特征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fig06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top50 基因热图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行内 z-score，双向层次聚类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fig07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MAPK 通路基因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生物学阳性对照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fig08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上下调计数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fig09</w:t>
            </w:r>
          </w:p>
        </w:tc>
        <w:tc>
          <w:tcPr>
            <w:tcW w:type="dxa" w:w="311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GSEA NES 条形图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由 05_enrichment.py 生成</w:t>
            </w:r>
          </w:p>
        </w:tc>
      </w:tr>
    </w:tbl>
    <w:p>
      <w:pPr>
        <w:spacing w:after="8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img_e14455b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sz w:val="18"/>
        </w:rPr>
        <w:t>图 6-1  火山图。横轴为 log2 倍数变化，纵轴为 −log10(校正 P 值)。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img_48fc054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sz w:val="18"/>
        </w:rPr>
        <w:t>图 6-2  MAPK/ERK 通路输出基因表达。12 个基因方向一致下调。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7  参数速查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</w:t>
            </w:r>
          </w:p>
        </w:tc>
        <w:tc>
          <w:tcPr>
            <w:tcW w:type="dxa" w:w="1134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当前值</w:t>
            </w:r>
          </w:p>
        </w:tc>
        <w:tc>
          <w:tcPr>
            <w:tcW w:type="dxa" w:w="2835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  <w:tc>
          <w:tcPr>
            <w:tcW w:type="dxa" w:w="2835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调整建议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FDR 阈值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0.05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02_limma_de.py: FDR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严格→0.01；探索→0.1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logFC 阈值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02_limma_de.py: LFC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1.585=3倍；0.585=1.5倍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PCA 探针数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03_ggplot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1000–10000 均合理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热图基因数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50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03_ggplot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20–100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火山图标注数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03_ggplot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过多会重叠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聚类方法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average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03_ggplot: order_rows()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可换 ward / complete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图片 DPI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300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03_ggplot: save()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投稿 300；预览 150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GSEA 置换次数</w:t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05_enrichment.py: --nperm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发表建议 ≥1000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8  可扩展分析与能力边界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8.1  可行的扩展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sz w:val="20"/>
        </w:rPr>
        <w:t>GSEA / ORA 富集分析（已实现，见 05_enrichment.py）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sz w:val="20"/>
        </w:rPr>
        <w:t>从 CEL 原始文件重做归一化（oligo::rma 或 gcrma）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sz w:val="20"/>
        </w:rPr>
        <w:t>ssGSEA 每样本通路打分（6 样本可行，不需组间检验）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sz w:val="20"/>
        </w:rPr>
        <w:t>转录因子活性推断（decoupler + CollecTRI）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sz w:val="20"/>
        </w:rPr>
        <w:t>与其他 BRAF 抑制剂数据集做 meta 分析</w:t>
      </w:r>
    </w:p>
    <w:p>
      <w:pPr>
        <w:pStyle w:val="ListBullet"/>
        <w:spacing w:after="60"/>
        <w:ind w:left="425"/>
      </w:pPr>
      <w:r>
        <w:rPr>
          <w:rFonts w:ascii="Times New Roman" w:hAnsi="Times New Roman" w:eastAsia="宋体"/>
          <w:sz w:val="20"/>
        </w:rPr>
        <w:t>CMap / CLUE.io 药物重定位查询</w:t>
      </w:r>
    </w:p>
    <w:p>
      <w:pPr>
        <w:keepNext/>
        <w:spacing w:before="200" w:after="120"/>
      </w:pPr>
      <w:r>
        <w:rPr>
          <w:rFonts w:ascii="Times New Roman" w:hAnsi="Times New Roman" w:eastAsia="黑体"/>
          <w:b/>
          <w:sz w:val="26"/>
        </w:rPr>
        <w:t>8.2  受限于数据的分析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分析类型</w:t>
            </w:r>
          </w:p>
        </w:tc>
        <w:tc>
          <w:tcPr>
            <w:tcW w:type="dxa" w:w="5669"/>
            <w:shd w:val="clear" w:fill="E8E8E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受限原因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WGCNA 共表达网络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需 15–20 以上样本，本数据仅 6，结果为噪音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生存分析 / 预后模型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细胞系体外实验，无患者随访数据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免疫浸润反卷积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纯细胞系培养，不含免疫细胞，结果无生物学意义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机器学习分类器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n=6 必然过拟合，无法有效交叉验证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可变剪接分析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GPL6244 为基因水平芯片，无外显子级探针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eQTL 分析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sz w:val="18"/>
              </w:rPr>
              <w:t>无基因型数据</w:t>
            </w:r>
          </w:p>
        </w:tc>
      </w:tr>
    </w:tbl>
    <w:p>
      <w:pPr>
        <w:spacing w:after="80"/>
      </w:pP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关于重复数：Schurch 等（RNA 2016）的系统评测显示，n=3 时各类差异表达工具普遍漏检 20–40% 的真阳性。因此本流程给出的差异基因数量属保守估计。所幸本实验效应量极大（CD36 上调 55 倍，DUSP6 下调 18.5 倍），主要信号在 n=3 条件下已能稳定检出。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9  复现步骤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git clone -b arena/019f9c4c-bioskills https://github.com/mqgg5630-cyber/bioSkills.git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cd bioSkills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bash analysis/setup/setup_python.sh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conda activate bioskills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 xml:space="preserve"> 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bash analysis/GSE42872/run_all.sh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python analysis/GSE42872/scripts/05_enrichment.py --offline</w:t>
      </w:r>
    </w:p>
    <w:p>
      <w:pPr>
        <w:spacing w:after="0" w:before="0" w:line="240" w:lineRule="auto"/>
        <w:ind w:left="340"/>
        <w:shd w:val="clear" w:fill="F5F5F5"/>
      </w:pPr>
      <w:r>
        <w:rPr>
          <w:rFonts w:ascii="Consolas" w:hAnsi="Consolas" w:eastAsia="宋体"/>
          <w:sz w:val="17"/>
        </w:rPr>
        <w:t>python analysis/GSE42872/scripts/06_make_docx.py</w:t>
      </w:r>
    </w:p>
    <w:p>
      <w:pPr>
        <w:spacing w:after="80"/>
      </w:pPr>
    </w:p>
    <w:p>
      <w:pPr>
        <w:spacing w:after="120" w:before="0"/>
        <w:ind w:firstLine="420"/>
      </w:pPr>
      <w:r>
        <w:rPr>
          <w:rFonts w:ascii="Times New Roman" w:hAnsi="Times New Roman" w:eastAsia="宋体"/>
          <w:b w:val="0"/>
          <w:i w:val="0"/>
          <w:sz w:val="20"/>
        </w:rPr>
        <w:t>产出位于 analysis/GSE42872/ 下的 results/（结果表）、figures/（图件）、docs/（本文档）。这三个目录不纳入版本控制：它们是运行产物，每次执行都会重新生成，若纳入 git 会在 git pull 时产生冲突。</w:t>
      </w:r>
    </w:p>
    <w:p>
      <w:pPr>
        <w:keepNext/>
        <w:spacing w:before="280" w:after="120"/>
      </w:pPr>
      <w:r>
        <w:rPr>
          <w:rFonts w:ascii="Times New Roman" w:hAnsi="Times New Roman" w:eastAsia="黑体"/>
          <w:b/>
          <w:sz w:val="32"/>
        </w:rPr>
        <w:t>10  参考文献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[1]  Smyth GK. Linear models and empirical Bayes methods for assessing differential expression in microarray experiments. Stat Appl Genet Mol Biol. 2004;3:Article3.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[2]  Ritchie ME, Phipson B, Wu D, et al. limma powers differential expression analyses for RNA-sequencing and microarray studies. Nucleic Acids Res. 2015;43(7):e47.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[3]  Benjamini Y, Hochberg Y. Controlling the false discovery rate. J R Stat Soc Series B. 1995;57(1):289-300.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[4]  Irizarry RA, Hobbs B, Collin F, et al. Exploration, normalization, and summaries of high density oligonucleotide array probe level data. Biostatistics. 2003;4(2):249-264.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[5]  Subramanian A, Tamayo P, Mootha VK, et al. Gene set enrichment analysis. Proc Natl Acad Sci USA. 2005;102(43):15545-15550.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[6]  Schurch NJ, Schofield P, Gierlinski M, et al. How many biological replicates are needed in an RNA-seq experiment? RNA. 2016;22(6):839-851.</w:t>
      </w:r>
    </w:p>
    <w:p>
      <w:pPr>
        <w:spacing w:after="80" w:before="0"/>
        <w:ind w:left="510" w:hanging="510"/>
      </w:pPr>
      <w:r>
        <w:rPr>
          <w:rFonts w:ascii="Times New Roman" w:hAnsi="Times New Roman" w:eastAsia="宋体"/>
          <w:b w:val="0"/>
          <w:i w:val="0"/>
          <w:sz w:val="19"/>
        </w:rPr>
        <w:t>[7]  Parmenter TJ, Kleinschmidt M, Kinross KM, et al. Response of BRAF-mutant melanoma to BRAF inhibition is mediated by a network of transcriptional regulators of glycolysis. Cancer Discov. 2014;4(4):423-433.</w:t>
      </w:r>
    </w:p>
    <w:sectPr w:rsidR="00FC693F" w:rsidRPr="0006063C" w:rsidSect="00034616">
      <w:footerReference w:type="default" r:id="rId9"/>
      <w:pgSz w:w="12240" w:h="15840"/>
      <w:pgMar w:top="1361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8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