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1000"/>
        <w:jc w:val="center"/>
      </w:pPr>
      <w:r>
        <w:rPr>
          <w:rFonts w:ascii="Times New Roman" w:hAnsi="Times New Roman" w:eastAsia="黑体"/>
          <w:b/>
          <w:i w:val="0"/>
          <w:sz w:val="34"/>
        </w:rPr>
        <w:t>维罗非尼处理 BRAF-V600E 黑色素瘤细胞的转录组再分析：MAPK 通路输出与细胞周期程序的协同抑制</w:t>
      </w:r>
    </w:p>
    <w:p>
      <w:pPr>
        <w:spacing w:after="80" w:before="0"/>
        <w:jc w:val="center"/>
      </w:pPr>
      <w:r>
        <w:rPr>
          <w:rFonts w:ascii="Times New Roman" w:hAnsi="Times New Roman" w:eastAsia="宋体"/>
          <w:b w:val="0"/>
          <w:i w:val="0"/>
          <w:sz w:val="22"/>
        </w:rPr>
        <w:t>作者姓名 ¹</w:t>
      </w:r>
    </w:p>
    <w:p>
      <w:pPr>
        <w:spacing w:after="80" w:before="0"/>
        <w:jc w:val="center"/>
      </w:pPr>
      <w:r>
        <w:rPr>
          <w:rFonts w:ascii="Times New Roman" w:hAnsi="Times New Roman" w:eastAsia="宋体"/>
          <w:b w:val="0"/>
          <w:i w:val="0"/>
          <w:sz w:val="20"/>
        </w:rPr>
        <w:t>¹ 单位名称，城市，邮编</w:t>
      </w:r>
    </w:p>
    <w:p>
      <w:pPr>
        <w:spacing w:after="520" w:before="0"/>
        <w:jc w:val="center"/>
      </w:pPr>
      <w:r>
        <w:rPr>
          <w:rFonts w:ascii="Times New Roman" w:hAnsi="Times New Roman" w:eastAsia="宋体"/>
          <w:b w:val="0"/>
          <w:i w:val="0"/>
          <w:sz w:val="20"/>
        </w:rPr>
        <w:t>通讯作者：email@institution.edu</w:t>
      </w:r>
    </w:p>
    <w:p>
      <w:pPr>
        <w:spacing w:after="120" w:before="0"/>
      </w:pPr>
      <w:r>
        <w:rPr>
          <w:rFonts w:ascii="Times New Roman" w:hAnsi="Times New Roman" w:eastAsia="黑体"/>
          <w:b/>
          <w:i w:val="0"/>
          <w:sz w:val="26"/>
        </w:rPr>
        <w:t>摘要</w:t>
      </w:r>
    </w:p>
    <w:p>
      <w:pPr>
        <w:spacing w:after="120" w:before="0" w:line="360" w:lineRule="auto"/>
        <w:jc w:val="both"/>
      </w:pPr>
      <w:r>
        <w:rPr>
          <w:rFonts w:ascii="Times New Roman" w:hAnsi="Times New Roman" w:eastAsia="宋体"/>
          <w:b w:val="0"/>
          <w:i w:val="0"/>
          <w:sz w:val="21"/>
        </w:rPr>
        <w:t>【背景】BRAF-V600E 突变见于约半数皮肤黑色素瘤，选择性抑制剂维罗非尼可显著缩小肿瘤，但其转录层面的作用谱仍有再解析价值。公开数据的独立再分析既能检验原始结论的稳健性，也能为方法学复现提供基准。【方法】自 GEO 获取 GSE42872 数据集（Affymetrix GPL6244 平台，33,297 探针，A375 细胞，DMSO 对照与维罗非尼 10 µM 处理 24 h 各 3 重复）。鉴于该数据为 RMA 归一化的 log2 荧光强度而非计数数据，采用 limma 线性模型配合经验贝叶斯方差收缩进行差异表达检验，Benjamini–Hochberg 法校正多重比较，并以 moderated t 统计量为排序向量执行 preranked GSEA。【结果】在 |log2FC|&gt;1 且 FDR&lt;0.05 的标准下鉴定出 1,303 个差异表达探针（上调 701，下调 602）。MAPK/ERK 通路输出基因呈现完全一致的下调（15/15 基因位于富集前沿，NES=−2.54，FDR&lt;0.001），其中 DUSP6、ETV5、ETV4、SPRY2 下调幅度均超过 14 倍；细胞周期 G2/M 程序同步受抑（11/11 基因，NES=−2.22，FDR&lt;0.001）。上调基因以 CD36（55.0 倍）与 DCT（49.6 倍）为首。独立比对显示本流程与 R 版 limma 参考实现的 logFC 有 99.79% 逐位一致。【结论】维罗非尼对 A375 细胞的转录效应表现为靶通路输出与增殖程序的协同关闭，该模式在独立再分析中稳健重现。研究同时提供了一套完整开源、可复现的芯片分析流程。</w:t>
      </w:r>
    </w:p>
    <w:p>
      <w:pPr>
        <w:spacing w:after="120" w:before="160"/>
      </w:pPr>
      <w:r>
        <w:rPr>
          <w:rFonts w:ascii="Times New Roman" w:hAnsi="Times New Roman" w:eastAsia="宋体"/>
          <w:b w:val="0"/>
          <w:i w:val="0"/>
          <w:sz w:val="20"/>
        </w:rPr>
        <w:t>关键词：黑色素瘤；BRAF-V600E；维罗非尼；转录组再分析；limma；基因集富集分析</w:t>
      </w:r>
    </w:p>
    <w:p>
      <w:r>
        <w:br w:type="page"/>
      </w:r>
    </w:p>
    <w:p>
      <w:pPr>
        <w:keepNext/>
        <w:spacing w:before="280" w:after="120"/>
      </w:pPr>
      <w:r>
        <w:rPr>
          <w:rFonts w:ascii="Times New Roman" w:hAnsi="Times New Roman" w:eastAsia="黑体"/>
          <w:b/>
          <w:sz w:val="32"/>
        </w:rPr>
        <w:t>1  引言</w:t>
      </w:r>
    </w:p>
    <w:p>
      <w:pPr>
        <w:spacing w:after="120" w:before="0" w:line="384" w:lineRule="auto"/>
        <w:ind w:firstLine="420"/>
        <w:jc w:val="both"/>
      </w:pPr>
      <w:r>
        <w:rPr>
          <w:rFonts w:ascii="Times New Roman" w:hAnsi="Times New Roman" w:eastAsia="宋体"/>
          <w:b w:val="0"/>
          <w:i w:val="0"/>
          <w:sz w:val="21"/>
        </w:rPr>
        <w:t>皮肤黑色素瘤中约 50% 携带 BRAF 基因 V600E 突变，该突变使 BRAF 激酶组成性激活，持续驱动下游 MEK–ERK 级联，构成肿瘤增殖的核心动力。维罗非尼作为首个获批的 BRAF-V600E 选择性抑制剂，在携带该突变的晚期患者中可带来快速而显著的肿瘤退缩，确立了黑色素瘤靶向治疗的范式。</w:t>
      </w:r>
    </w:p>
    <w:p>
      <w:pPr>
        <w:spacing w:after="120" w:before="0" w:line="384" w:lineRule="auto"/>
        <w:ind w:firstLine="420"/>
        <w:jc w:val="both"/>
      </w:pPr>
      <w:r>
        <w:rPr>
          <w:rFonts w:ascii="Times New Roman" w:hAnsi="Times New Roman" w:eastAsia="宋体"/>
          <w:b w:val="0"/>
          <w:i w:val="0"/>
          <w:sz w:val="21"/>
        </w:rPr>
        <w:t>药物在转录层面的作用谱决定了疗效的广度与耐药的起点。已有工作表明 BRAF 抑制会关闭 ERK 依赖的负反馈基因与增殖程序，但公开数据的独立再分析仍有两重价值：其一，检验既有结论在重新处理下的稳健性；其二，为芯片数据分析流程提供一个带生物学阳性对照的基准案例——当靶点通路的方向性可被独立预期时，分析流程的正确性即具备可证伪的检验标准。</w:t>
      </w:r>
    </w:p>
    <w:p>
      <w:pPr>
        <w:spacing w:after="120" w:before="0" w:line="384" w:lineRule="auto"/>
        <w:ind w:firstLine="420"/>
        <w:jc w:val="both"/>
      </w:pPr>
      <w:r>
        <w:rPr>
          <w:rFonts w:ascii="Times New Roman" w:hAnsi="Times New Roman" w:eastAsia="宋体"/>
          <w:b w:val="0"/>
          <w:i w:val="0"/>
          <w:sz w:val="21"/>
        </w:rPr>
        <w:t>本研究对 GEO 数据集 GSE42872 进行独立再分析。需要说明的是，该数据集为 2014 年公开发表的资源，本工作的定位是再分析与方法学验证，而非报告新的生物学发现。我们关注三个问题：维罗非尼诱导的转录改变在全基因组尺度上呈何种结构；靶通路的抑制是否在通路水平而非仅个别基因水平成立；以及一套完全开源的分析实现能否与既有参考实现达成数值一致。</w:t>
      </w:r>
    </w:p>
    <w:p>
      <w:pPr>
        <w:keepNext/>
        <w:spacing w:before="280" w:after="120"/>
      </w:pPr>
      <w:r>
        <w:rPr>
          <w:rFonts w:ascii="Times New Roman" w:hAnsi="Times New Roman" w:eastAsia="黑体"/>
          <w:b/>
          <w:sz w:val="32"/>
        </w:rPr>
        <w:t>2  材料与方法</w:t>
      </w:r>
    </w:p>
    <w:p>
      <w:pPr>
        <w:keepNext/>
        <w:spacing w:before="200" w:after="120"/>
      </w:pPr>
      <w:r>
        <w:rPr>
          <w:rFonts w:ascii="Times New Roman" w:hAnsi="Times New Roman" w:eastAsia="黑体"/>
          <w:b/>
          <w:sz w:val="26"/>
        </w:rPr>
        <w:t>2.1  数据来源</w:t>
      </w:r>
    </w:p>
    <w:p>
      <w:pPr>
        <w:spacing w:after="120" w:before="0" w:line="384" w:lineRule="auto"/>
        <w:ind w:firstLine="420"/>
        <w:jc w:val="both"/>
      </w:pPr>
      <w:r>
        <w:rPr>
          <w:rFonts w:ascii="Times New Roman" w:hAnsi="Times New Roman" w:eastAsia="宋体"/>
          <w:b w:val="0"/>
          <w:i w:val="0"/>
          <w:sz w:val="21"/>
        </w:rPr>
        <w:t>数据集 GSE42872 自 NCBI GEO 获取，包含 6 个样本：BRAF-V600E 突变的人黑色素瘤细胞系 A375 分别接受 0.1% DMSO（对照）或 10 µM 维罗非尼处理 24 小时，每组 3 个生物学重复。检测平台为 Affymetrix Human Gene 1.0 ST Array（GPL6244），共 33,297 个转录本簇探针。提交者已完成 RMA 归一化，series matrix 中存放 log2 荧光强度，实测值域为 2.67–14.56。</w:t>
      </w:r>
    </w:p>
    <w:p>
      <w:pPr>
        <w:keepNext/>
        <w:spacing w:before="200" w:after="120"/>
      </w:pPr>
      <w:r>
        <w:rPr>
          <w:rFonts w:ascii="Times New Roman" w:hAnsi="Times New Roman" w:eastAsia="黑体"/>
          <w:b/>
          <w:sz w:val="26"/>
        </w:rPr>
        <w:t>2.2  差异表达分析</w:t>
      </w:r>
    </w:p>
    <w:p>
      <w:pPr>
        <w:spacing w:after="120" w:before="0" w:line="384" w:lineRule="auto"/>
        <w:ind w:firstLine="420"/>
        <w:jc w:val="both"/>
      </w:pPr>
      <w:r>
        <w:rPr>
          <w:rFonts w:ascii="Times New Roman" w:hAnsi="Times New Roman" w:eastAsia="宋体"/>
          <w:b w:val="0"/>
          <w:i w:val="0"/>
          <w:sz w:val="21"/>
        </w:rPr>
        <w:t>由于数据为连续型 log2 强度而非测序计数，未采用基于负二项分布的 DESeq2 或 edgeR，而使用 limma 的线性模型框架。设计矩阵设定为 ~ group（双水平，Control 为参考），对每个探针拟合线性模型后施加经验贝叶斯方差收缩。该步骤自全部探针估计先验参数（实测 s₀²=0.01080，d₀=3.00），将残差自由度由 4 提升至 7，从而在小样本条件下稳定方差估计。所得 moderated t 统计量对应的 P 值经 Benjamini–Hochberg 法校正。差异表达的判定标准为校正 P 值小于 0.05 且 |log2 倍数变化| 大于 1。</w:t>
      </w:r>
    </w:p>
    <w:p>
      <w:pPr>
        <w:keepNext/>
        <w:spacing w:before="200" w:after="120"/>
      </w:pPr>
      <w:r>
        <w:rPr>
          <w:rFonts w:ascii="Times New Roman" w:hAnsi="Times New Roman" w:eastAsia="黑体"/>
          <w:b/>
          <w:sz w:val="26"/>
        </w:rPr>
        <w:t>2.3  基因集富集分析</w:t>
      </w:r>
    </w:p>
    <w:p>
      <w:pPr>
        <w:spacing w:after="120" w:before="0" w:line="384" w:lineRule="auto"/>
        <w:ind w:firstLine="420"/>
        <w:jc w:val="both"/>
      </w:pPr>
      <w:r>
        <w:rPr>
          <w:rFonts w:ascii="Times New Roman" w:hAnsi="Times New Roman" w:eastAsia="宋体"/>
          <w:b w:val="0"/>
          <w:i w:val="0"/>
          <w:sz w:val="21"/>
        </w:rPr>
        <w:t>以 moderated t 统计量对全部注释基因排序，执行 preranked GSEA（gseapy 1.3.1，置换 1000 次，随机种子 42，基因集大小限定 5–500）。选择 t 统计量而非 P 值作为排序依据，因后者丢失方向信息会使上调与下调基因混同；亦未采用未经方差校准的 log2FC，以避免低表达基因的不稳定倍数主导富集前沿。</w:t>
      </w:r>
    </w:p>
    <w:p>
      <w:pPr>
        <w:keepNext/>
        <w:spacing w:before="200" w:after="120"/>
      </w:pPr>
      <w:r>
        <w:rPr>
          <w:rFonts w:ascii="Times New Roman" w:hAnsi="Times New Roman" w:eastAsia="黑体"/>
          <w:b/>
          <w:sz w:val="26"/>
        </w:rPr>
        <w:t>2.4  实现与可获取性</w:t>
      </w:r>
    </w:p>
    <w:p>
      <w:pPr>
        <w:spacing w:after="120" w:before="0" w:line="384" w:lineRule="auto"/>
        <w:ind w:firstLine="420"/>
        <w:jc w:val="both"/>
      </w:pPr>
      <w:r>
        <w:rPr>
          <w:rFonts w:ascii="Times New Roman" w:hAnsi="Times New Roman" w:eastAsia="宋体"/>
          <w:b w:val="0"/>
          <w:i w:val="0"/>
          <w:sz w:val="21"/>
        </w:rPr>
        <w:t>全部分析以 Python 3.11 实现（pandas 2.3.3、numpy 2.4.6、scipy 1.17.1），绘图使用 plotnine 0.15.7。经验贝叶斯方差收缩按 Smyth（2004）的 fitFDist 方法以 numpy/scipy 独立实现。流程同时提供基于 R/limma 的等价脚本。代码、参数与运行日志已完整开源。</w:t>
      </w:r>
    </w:p>
    <w:p>
      <w:pPr>
        <w:keepNext/>
        <w:spacing w:before="280" w:after="120"/>
      </w:pPr>
      <w:r>
        <w:rPr>
          <w:rFonts w:ascii="Times New Roman" w:hAnsi="Times New Roman" w:eastAsia="黑体"/>
          <w:b/>
          <w:sz w:val="32"/>
        </w:rPr>
        <w:t>3  结果</w:t>
      </w:r>
    </w:p>
    <w:p>
      <w:pPr>
        <w:keepNext/>
        <w:spacing w:before="200" w:after="120"/>
      </w:pPr>
      <w:r>
        <w:rPr>
          <w:rFonts w:ascii="Times New Roman" w:hAnsi="Times New Roman" w:eastAsia="黑体"/>
          <w:b/>
          <w:sz w:val="26"/>
        </w:rPr>
        <w:t>3.1  处理组与对照组转录谱完全分离</w:t>
      </w:r>
    </w:p>
    <w:p>
      <w:pPr>
        <w:spacing w:after="120" w:before="0" w:line="384" w:lineRule="auto"/>
        <w:ind w:firstLine="420"/>
        <w:jc w:val="both"/>
      </w:pPr>
      <w:r>
        <w:rPr>
          <w:rFonts w:ascii="Times New Roman" w:hAnsi="Times New Roman" w:eastAsia="宋体"/>
          <w:b w:val="0"/>
          <w:i w:val="0"/>
          <w:sz w:val="21"/>
        </w:rPr>
        <w:t>对方差最大的 5000 个探针作主成分分析，第一主成分解释 82.4% 的总方差，并将维罗非尼处理样本与对照样本完全区分（图 1）。组内 3 个重复彼此聚集，样本间 Pearson 相关分析显示组内相关高于组间。各样本表达值中位数齐平，提示 RMA 归一化结果可用。</w:t>
      </w:r>
    </w:p>
    <w:p>
      <w:pPr>
        <w:spacing w:before="120"/>
        <w:jc w:val="center"/>
      </w:pPr>
      <w:r>
        <w:drawing>
          <wp:inline xmlns:a="http://schemas.openxmlformats.org/drawingml/2006/main" xmlns:pic="http://schemas.openxmlformats.org/drawingml/2006/picture">
            <wp:extent cx="4500000" cy="3535000"/>
            <wp:docPr id="1" name="Picture 1"/>
            <wp:cNvGraphicFramePr>
              <a:graphicFrameLocks noChangeAspect="1"/>
            </wp:cNvGraphicFramePr>
            <a:graphic>
              <a:graphicData uri="http://schemas.openxmlformats.org/drawingml/2006/picture">
                <pic:pic>
                  <pic:nvPicPr>
                    <pic:cNvPr id="0" name="docximg_d9b7f9fc.png"/>
                    <pic:cNvPicPr/>
                  </pic:nvPicPr>
                  <pic:blipFill>
                    <a:blip r:embed="rId10"/>
                    <a:stretch>
                      <a:fillRect/>
                    </a:stretch>
                  </pic:blipFill>
                  <pic:spPr>
                    <a:xfrm>
                      <a:off x="0" y="0"/>
                      <a:ext cx="4500000" cy="3535000"/>
                    </a:xfrm>
                    <a:prstGeom prst="rect"/>
                  </pic:spPr>
                </pic:pic>
              </a:graphicData>
            </a:graphic>
          </wp:inline>
        </w:drawing>
      </w:r>
    </w:p>
    <w:p>
      <w:pPr>
        <w:spacing w:after="200"/>
        <w:jc w:val="center"/>
      </w:pPr>
      <w:r>
        <w:rPr>
          <w:rFonts w:ascii="Times New Roman" w:hAnsi="Times New Roman" w:eastAsia="宋体"/>
          <w:sz w:val="18"/>
        </w:rPr>
        <w:t>图 1  主成分分析。基于方差最大的 5000 个探针，PC1 解释 82.4% 的方差。</w:t>
      </w:r>
    </w:p>
    <w:p>
      <w:pPr>
        <w:keepNext/>
        <w:spacing w:before="200" w:after="120"/>
      </w:pPr>
      <w:r>
        <w:rPr>
          <w:rFonts w:ascii="Times New Roman" w:hAnsi="Times New Roman" w:eastAsia="黑体"/>
          <w:b/>
          <w:sz w:val="26"/>
        </w:rPr>
        <w:t>3.2  差异表达谱</w:t>
      </w:r>
    </w:p>
    <w:p>
      <w:pPr>
        <w:spacing w:after="120" w:before="0" w:line="384" w:lineRule="auto"/>
        <w:ind w:firstLine="420"/>
        <w:jc w:val="both"/>
      </w:pPr>
      <w:r>
        <w:rPr>
          <w:rFonts w:ascii="Times New Roman" w:hAnsi="Times New Roman" w:eastAsia="宋体"/>
          <w:b w:val="0"/>
          <w:i w:val="0"/>
          <w:sz w:val="21"/>
        </w:rPr>
        <w:t>在 FDR&lt;0.05 且 |log2FC|&gt;1 的标准下，共 1,303 个探针差异表达，其中上调 701 个、下调 602 个（图 2）。上调幅度最大的是 CD36（log2FC=+5.78，55.0 倍）与 DCT（log2FC=+5.63，49.6 倍）；下调最显著的基因集中于 ERK 通路的直接转录输出，包括 DUSP6（−4.21，18.5 倍）、ETV5（−4.08）、ETV4（−3.84）与 SPRY2（−3.80）。</w:t>
      </w:r>
    </w:p>
    <w:p>
      <w:pPr>
        <w:spacing w:after="60" w:before="0"/>
      </w:pPr>
      <w:r>
        <w:rPr>
          <w:rFonts w:ascii="Times New Roman" w:hAnsi="Times New Roman" w:eastAsia="宋体"/>
          <w:b/>
          <w:i w:val="0"/>
          <w:sz w:val="18"/>
        </w:rPr>
        <w:t>表 1  差异表达幅度最大的基因（各取前 6 位）</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701"/>
            <w:shd w:val="clear" w:fill="E8E8E8"/>
          </w:tcPr>
          <w:p>
            <w:pPr>
              <w:jc w:val="center"/>
            </w:pPr>
            <w:r/>
            <w:r>
              <w:rPr>
                <w:rFonts w:ascii="Times New Roman" w:hAnsi="Times New Roman" w:eastAsia="黑体"/>
                <w:b/>
                <w:sz w:val="18"/>
              </w:rPr>
              <w:t>基因</w:t>
            </w:r>
          </w:p>
        </w:tc>
        <w:tc>
          <w:tcPr>
            <w:tcW w:type="dxa" w:w="1474"/>
            <w:shd w:val="clear" w:fill="E8E8E8"/>
          </w:tcPr>
          <w:p>
            <w:pPr>
              <w:jc w:val="center"/>
            </w:pPr>
            <w:r/>
            <w:r>
              <w:rPr>
                <w:rFonts w:ascii="Times New Roman" w:hAnsi="Times New Roman" w:eastAsia="黑体"/>
                <w:b/>
                <w:sz w:val="18"/>
              </w:rPr>
              <w:t>log2FC</w:t>
            </w:r>
          </w:p>
        </w:tc>
        <w:tc>
          <w:tcPr>
            <w:tcW w:type="dxa" w:w="1587"/>
            <w:shd w:val="clear" w:fill="E8E8E8"/>
          </w:tcPr>
          <w:p>
            <w:pPr>
              <w:jc w:val="center"/>
            </w:pPr>
            <w:r/>
            <w:r>
              <w:rPr>
                <w:rFonts w:ascii="Times New Roman" w:hAnsi="Times New Roman" w:eastAsia="黑体"/>
                <w:b/>
                <w:sz w:val="18"/>
              </w:rPr>
              <w:t>倍数变化</w:t>
            </w:r>
          </w:p>
        </w:tc>
        <w:tc>
          <w:tcPr>
            <w:tcW w:type="dxa" w:w="1701"/>
            <w:shd w:val="clear" w:fill="E8E8E8"/>
          </w:tcPr>
          <w:p>
            <w:pPr>
              <w:jc w:val="center"/>
            </w:pPr>
            <w:r/>
            <w:r>
              <w:rPr>
                <w:rFonts w:ascii="Times New Roman" w:hAnsi="Times New Roman" w:eastAsia="黑体"/>
                <w:b/>
                <w:sz w:val="18"/>
              </w:rPr>
              <w:t>校正 P</w:t>
            </w:r>
          </w:p>
        </w:tc>
        <w:tc>
          <w:tcPr>
            <w:tcW w:type="dxa" w:w="1247"/>
            <w:shd w:val="clear" w:fill="E8E8E8"/>
          </w:tcPr>
          <w:p>
            <w:pPr>
              <w:jc w:val="center"/>
            </w:pPr>
            <w:r/>
            <w:r>
              <w:rPr>
                <w:rFonts w:ascii="Times New Roman" w:hAnsi="Times New Roman" w:eastAsia="黑体"/>
                <w:b/>
                <w:sz w:val="18"/>
              </w:rPr>
              <w:t>方向</w:t>
            </w:r>
          </w:p>
        </w:tc>
      </w:tr>
      <w:tr>
        <w:tc>
          <w:tcPr>
            <w:tcW w:type="dxa" w:w="1701"/>
          </w:tcPr>
          <w:p>
            <w:pPr>
              <w:spacing w:after="40" w:before="40"/>
            </w:pPr>
            <w:r/>
            <w:r>
              <w:rPr>
                <w:rFonts w:ascii="Times New Roman" w:hAnsi="Times New Roman" w:eastAsia="宋体"/>
                <w:sz w:val="18"/>
              </w:rPr>
              <w:t>CD36</w:t>
            </w:r>
          </w:p>
        </w:tc>
        <w:tc>
          <w:tcPr>
            <w:tcW w:type="dxa" w:w="1474"/>
          </w:tcPr>
          <w:p>
            <w:pPr>
              <w:spacing w:after="40" w:before="40"/>
            </w:pPr>
            <w:r/>
            <w:r>
              <w:rPr>
                <w:rFonts w:ascii="Times New Roman" w:hAnsi="Times New Roman" w:eastAsia="宋体"/>
                <w:sz w:val="18"/>
              </w:rPr>
              <w:t>+5.78</w:t>
            </w:r>
          </w:p>
        </w:tc>
        <w:tc>
          <w:tcPr>
            <w:tcW w:type="dxa" w:w="1587"/>
          </w:tcPr>
          <w:p>
            <w:pPr>
              <w:spacing w:after="40" w:before="40"/>
            </w:pPr>
            <w:r/>
            <w:r>
              <w:rPr>
                <w:rFonts w:ascii="Times New Roman" w:hAnsi="Times New Roman" w:eastAsia="宋体"/>
                <w:sz w:val="18"/>
              </w:rPr>
              <w:t>55.0</w:t>
            </w:r>
          </w:p>
        </w:tc>
        <w:tc>
          <w:tcPr>
            <w:tcW w:type="dxa" w:w="1701"/>
          </w:tcPr>
          <w:p>
            <w:pPr>
              <w:spacing w:after="40" w:before="40"/>
            </w:pPr>
            <w:r/>
            <w:r>
              <w:rPr>
                <w:rFonts w:ascii="Times New Roman" w:hAnsi="Times New Roman" w:eastAsia="宋体"/>
                <w:sz w:val="18"/>
              </w:rPr>
              <w:t>2.7e-07</w:t>
            </w:r>
          </w:p>
        </w:tc>
        <w:tc>
          <w:tcPr>
            <w:tcW w:type="dxa" w:w="1247"/>
          </w:tcPr>
          <w:p>
            <w:pPr>
              <w:spacing w:after="40" w:before="40"/>
            </w:pPr>
            <w:r/>
            <w:r>
              <w:rPr>
                <w:rFonts w:ascii="Times New Roman" w:hAnsi="Times New Roman" w:eastAsia="宋体"/>
                <w:sz w:val="18"/>
              </w:rPr>
              <w:t>上调</w:t>
            </w:r>
          </w:p>
        </w:tc>
      </w:tr>
      <w:tr>
        <w:tc>
          <w:tcPr>
            <w:tcW w:type="dxa" w:w="1701"/>
          </w:tcPr>
          <w:p>
            <w:pPr>
              <w:spacing w:after="40" w:before="40"/>
            </w:pPr>
            <w:r/>
            <w:r>
              <w:rPr>
                <w:rFonts w:ascii="Times New Roman" w:hAnsi="Times New Roman" w:eastAsia="宋体"/>
                <w:sz w:val="18"/>
              </w:rPr>
              <w:t>DCT</w:t>
            </w:r>
          </w:p>
        </w:tc>
        <w:tc>
          <w:tcPr>
            <w:tcW w:type="dxa" w:w="1474"/>
          </w:tcPr>
          <w:p>
            <w:pPr>
              <w:spacing w:after="40" w:before="40"/>
            </w:pPr>
            <w:r/>
            <w:r>
              <w:rPr>
                <w:rFonts w:ascii="Times New Roman" w:hAnsi="Times New Roman" w:eastAsia="宋体"/>
                <w:sz w:val="18"/>
              </w:rPr>
              <w:t>+5.63</w:t>
            </w:r>
          </w:p>
        </w:tc>
        <w:tc>
          <w:tcPr>
            <w:tcW w:type="dxa" w:w="1587"/>
          </w:tcPr>
          <w:p>
            <w:pPr>
              <w:spacing w:after="40" w:before="40"/>
            </w:pPr>
            <w:r/>
            <w:r>
              <w:rPr>
                <w:rFonts w:ascii="Times New Roman" w:hAnsi="Times New Roman" w:eastAsia="宋体"/>
                <w:sz w:val="18"/>
              </w:rPr>
              <w:t>49.6</w:t>
            </w:r>
          </w:p>
        </w:tc>
        <w:tc>
          <w:tcPr>
            <w:tcW w:type="dxa" w:w="1701"/>
          </w:tcPr>
          <w:p>
            <w:pPr>
              <w:spacing w:after="40" w:before="40"/>
            </w:pPr>
            <w:r/>
            <w:r>
              <w:rPr>
                <w:rFonts w:ascii="Times New Roman" w:hAnsi="Times New Roman" w:eastAsia="宋体"/>
                <w:sz w:val="18"/>
              </w:rPr>
              <w:t>1.0e-06</w:t>
            </w:r>
          </w:p>
        </w:tc>
        <w:tc>
          <w:tcPr>
            <w:tcW w:type="dxa" w:w="1247"/>
          </w:tcPr>
          <w:p>
            <w:pPr>
              <w:spacing w:after="40" w:before="40"/>
            </w:pPr>
            <w:r/>
            <w:r>
              <w:rPr>
                <w:rFonts w:ascii="Times New Roman" w:hAnsi="Times New Roman" w:eastAsia="宋体"/>
                <w:sz w:val="18"/>
              </w:rPr>
              <w:t>上调</w:t>
            </w:r>
          </w:p>
        </w:tc>
      </w:tr>
      <w:tr>
        <w:tc>
          <w:tcPr>
            <w:tcW w:type="dxa" w:w="1701"/>
          </w:tcPr>
          <w:p>
            <w:pPr>
              <w:spacing w:after="40" w:before="40"/>
            </w:pPr>
            <w:r/>
            <w:r>
              <w:rPr>
                <w:rFonts w:ascii="Times New Roman" w:hAnsi="Times New Roman" w:eastAsia="宋体"/>
                <w:sz w:val="18"/>
              </w:rPr>
              <w:t>PRUNE2</w:t>
            </w:r>
          </w:p>
        </w:tc>
        <w:tc>
          <w:tcPr>
            <w:tcW w:type="dxa" w:w="1474"/>
          </w:tcPr>
          <w:p>
            <w:pPr>
              <w:spacing w:after="40" w:before="40"/>
            </w:pPr>
            <w:r/>
            <w:r>
              <w:rPr>
                <w:rFonts w:ascii="Times New Roman" w:hAnsi="Times New Roman" w:eastAsia="宋体"/>
                <w:sz w:val="18"/>
              </w:rPr>
              <w:t>+3.84</w:t>
            </w:r>
          </w:p>
        </w:tc>
        <w:tc>
          <w:tcPr>
            <w:tcW w:type="dxa" w:w="1587"/>
          </w:tcPr>
          <w:p>
            <w:pPr>
              <w:spacing w:after="40" w:before="40"/>
            </w:pPr>
            <w:r/>
            <w:r>
              <w:rPr>
                <w:rFonts w:ascii="Times New Roman" w:hAnsi="Times New Roman" w:eastAsia="宋体"/>
                <w:sz w:val="18"/>
              </w:rPr>
              <w:t>14.3</w:t>
            </w:r>
          </w:p>
        </w:tc>
        <w:tc>
          <w:tcPr>
            <w:tcW w:type="dxa" w:w="1701"/>
          </w:tcPr>
          <w:p>
            <w:pPr>
              <w:spacing w:after="40" w:before="40"/>
            </w:pPr>
            <w:r/>
            <w:r>
              <w:rPr>
                <w:rFonts w:ascii="Times New Roman" w:hAnsi="Times New Roman" w:eastAsia="宋体"/>
                <w:sz w:val="18"/>
              </w:rPr>
              <w:t>1.7e-05</w:t>
            </w:r>
          </w:p>
        </w:tc>
        <w:tc>
          <w:tcPr>
            <w:tcW w:type="dxa" w:w="1247"/>
          </w:tcPr>
          <w:p>
            <w:pPr>
              <w:spacing w:after="40" w:before="40"/>
            </w:pPr>
            <w:r/>
            <w:r>
              <w:rPr>
                <w:rFonts w:ascii="Times New Roman" w:hAnsi="Times New Roman" w:eastAsia="宋体"/>
                <w:sz w:val="18"/>
              </w:rPr>
              <w:t>上调</w:t>
            </w:r>
          </w:p>
        </w:tc>
      </w:tr>
      <w:tr>
        <w:tc>
          <w:tcPr>
            <w:tcW w:type="dxa" w:w="1701"/>
          </w:tcPr>
          <w:p>
            <w:pPr>
              <w:spacing w:after="40" w:before="40"/>
            </w:pPr>
            <w:r/>
            <w:r>
              <w:rPr>
                <w:rFonts w:ascii="Times New Roman" w:hAnsi="Times New Roman" w:eastAsia="宋体"/>
                <w:sz w:val="18"/>
              </w:rPr>
              <w:t>TCN1</w:t>
            </w:r>
          </w:p>
        </w:tc>
        <w:tc>
          <w:tcPr>
            <w:tcW w:type="dxa" w:w="1474"/>
          </w:tcPr>
          <w:p>
            <w:pPr>
              <w:spacing w:after="40" w:before="40"/>
            </w:pPr>
            <w:r/>
            <w:r>
              <w:rPr>
                <w:rFonts w:ascii="Times New Roman" w:hAnsi="Times New Roman" w:eastAsia="宋体"/>
                <w:sz w:val="18"/>
              </w:rPr>
              <w:t>+3.36</w:t>
            </w:r>
          </w:p>
        </w:tc>
        <w:tc>
          <w:tcPr>
            <w:tcW w:type="dxa" w:w="1587"/>
          </w:tcPr>
          <w:p>
            <w:pPr>
              <w:spacing w:after="40" w:before="40"/>
            </w:pPr>
            <w:r/>
            <w:r>
              <w:rPr>
                <w:rFonts w:ascii="Times New Roman" w:hAnsi="Times New Roman" w:eastAsia="宋体"/>
                <w:sz w:val="18"/>
              </w:rPr>
              <w:t>10.3</w:t>
            </w:r>
          </w:p>
        </w:tc>
        <w:tc>
          <w:tcPr>
            <w:tcW w:type="dxa" w:w="1701"/>
          </w:tcPr>
          <w:p>
            <w:pPr>
              <w:spacing w:after="40" w:before="40"/>
            </w:pPr>
            <w:r/>
            <w:r>
              <w:rPr>
                <w:rFonts w:ascii="Times New Roman" w:hAnsi="Times New Roman" w:eastAsia="宋体"/>
                <w:sz w:val="18"/>
              </w:rPr>
              <w:t>1.6e-05</w:t>
            </w:r>
          </w:p>
        </w:tc>
        <w:tc>
          <w:tcPr>
            <w:tcW w:type="dxa" w:w="1247"/>
          </w:tcPr>
          <w:p>
            <w:pPr>
              <w:spacing w:after="40" w:before="40"/>
            </w:pPr>
            <w:r/>
            <w:r>
              <w:rPr>
                <w:rFonts w:ascii="Times New Roman" w:hAnsi="Times New Roman" w:eastAsia="宋体"/>
                <w:sz w:val="18"/>
              </w:rPr>
              <w:t>上调</w:t>
            </w:r>
          </w:p>
        </w:tc>
      </w:tr>
      <w:tr>
        <w:tc>
          <w:tcPr>
            <w:tcW w:type="dxa" w:w="1701"/>
          </w:tcPr>
          <w:p>
            <w:pPr>
              <w:spacing w:after="40" w:before="40"/>
            </w:pPr>
            <w:r/>
            <w:r>
              <w:rPr>
                <w:rFonts w:ascii="Times New Roman" w:hAnsi="Times New Roman" w:eastAsia="宋体"/>
                <w:sz w:val="18"/>
              </w:rPr>
              <w:t>CD24</w:t>
            </w:r>
          </w:p>
        </w:tc>
        <w:tc>
          <w:tcPr>
            <w:tcW w:type="dxa" w:w="1474"/>
          </w:tcPr>
          <w:p>
            <w:pPr>
              <w:spacing w:after="40" w:before="40"/>
            </w:pPr>
            <w:r/>
            <w:r>
              <w:rPr>
                <w:rFonts w:ascii="Times New Roman" w:hAnsi="Times New Roman" w:eastAsia="宋体"/>
                <w:sz w:val="18"/>
              </w:rPr>
              <w:t>+3.32</w:t>
            </w:r>
          </w:p>
        </w:tc>
        <w:tc>
          <w:tcPr>
            <w:tcW w:type="dxa" w:w="1587"/>
          </w:tcPr>
          <w:p>
            <w:pPr>
              <w:spacing w:after="40" w:before="40"/>
            </w:pPr>
            <w:r/>
            <w:r>
              <w:rPr>
                <w:rFonts w:ascii="Times New Roman" w:hAnsi="Times New Roman" w:eastAsia="宋体"/>
                <w:sz w:val="18"/>
              </w:rPr>
              <w:t>10.0</w:t>
            </w:r>
          </w:p>
        </w:tc>
        <w:tc>
          <w:tcPr>
            <w:tcW w:type="dxa" w:w="1701"/>
          </w:tcPr>
          <w:p>
            <w:pPr>
              <w:spacing w:after="40" w:before="40"/>
            </w:pPr>
            <w:r/>
            <w:r>
              <w:rPr>
                <w:rFonts w:ascii="Times New Roman" w:hAnsi="Times New Roman" w:eastAsia="宋体"/>
                <w:sz w:val="18"/>
              </w:rPr>
              <w:t>7.2e-06</w:t>
            </w:r>
          </w:p>
        </w:tc>
        <w:tc>
          <w:tcPr>
            <w:tcW w:type="dxa" w:w="1247"/>
          </w:tcPr>
          <w:p>
            <w:pPr>
              <w:spacing w:after="40" w:before="40"/>
            </w:pPr>
            <w:r/>
            <w:r>
              <w:rPr>
                <w:rFonts w:ascii="Times New Roman" w:hAnsi="Times New Roman" w:eastAsia="宋体"/>
                <w:sz w:val="18"/>
              </w:rPr>
              <w:t>上调</w:t>
            </w:r>
          </w:p>
        </w:tc>
      </w:tr>
      <w:tr>
        <w:tc>
          <w:tcPr>
            <w:tcW w:type="dxa" w:w="1701"/>
          </w:tcPr>
          <w:p>
            <w:pPr>
              <w:spacing w:after="40" w:before="40"/>
            </w:pPr>
            <w:r/>
            <w:r>
              <w:rPr>
                <w:rFonts w:ascii="Times New Roman" w:hAnsi="Times New Roman" w:eastAsia="宋体"/>
                <w:sz w:val="18"/>
              </w:rPr>
              <w:t>MOXD1</w:t>
            </w:r>
          </w:p>
        </w:tc>
        <w:tc>
          <w:tcPr>
            <w:tcW w:type="dxa" w:w="1474"/>
          </w:tcPr>
          <w:p>
            <w:pPr>
              <w:spacing w:after="40" w:before="40"/>
            </w:pPr>
            <w:r/>
            <w:r>
              <w:rPr>
                <w:rFonts w:ascii="Times New Roman" w:hAnsi="Times New Roman" w:eastAsia="宋体"/>
                <w:sz w:val="18"/>
              </w:rPr>
              <w:t>+3.26</w:t>
            </w:r>
          </w:p>
        </w:tc>
        <w:tc>
          <w:tcPr>
            <w:tcW w:type="dxa" w:w="1587"/>
          </w:tcPr>
          <w:p>
            <w:pPr>
              <w:spacing w:after="40" w:before="40"/>
            </w:pPr>
            <w:r/>
            <w:r>
              <w:rPr>
                <w:rFonts w:ascii="Times New Roman" w:hAnsi="Times New Roman" w:eastAsia="宋体"/>
                <w:sz w:val="18"/>
              </w:rPr>
              <w:t>9.6</w:t>
            </w:r>
          </w:p>
        </w:tc>
        <w:tc>
          <w:tcPr>
            <w:tcW w:type="dxa" w:w="1701"/>
          </w:tcPr>
          <w:p>
            <w:pPr>
              <w:spacing w:after="40" w:before="40"/>
            </w:pPr>
            <w:r/>
            <w:r>
              <w:rPr>
                <w:rFonts w:ascii="Times New Roman" w:hAnsi="Times New Roman" w:eastAsia="宋体"/>
                <w:sz w:val="18"/>
              </w:rPr>
              <w:t>1.6e-06</w:t>
            </w:r>
          </w:p>
        </w:tc>
        <w:tc>
          <w:tcPr>
            <w:tcW w:type="dxa" w:w="1247"/>
          </w:tcPr>
          <w:p>
            <w:pPr>
              <w:spacing w:after="40" w:before="40"/>
            </w:pPr>
            <w:r/>
            <w:r>
              <w:rPr>
                <w:rFonts w:ascii="Times New Roman" w:hAnsi="Times New Roman" w:eastAsia="宋体"/>
                <w:sz w:val="18"/>
              </w:rPr>
              <w:t>上调</w:t>
            </w:r>
          </w:p>
        </w:tc>
      </w:tr>
      <w:tr>
        <w:tc>
          <w:tcPr>
            <w:tcW w:type="dxa" w:w="1701"/>
          </w:tcPr>
          <w:p>
            <w:pPr>
              <w:spacing w:after="40" w:before="40"/>
            </w:pPr>
            <w:r/>
            <w:r>
              <w:rPr>
                <w:rFonts w:ascii="Times New Roman" w:hAnsi="Times New Roman" w:eastAsia="宋体"/>
                <w:sz w:val="18"/>
              </w:rPr>
              <w:t>DUSP6</w:t>
            </w:r>
          </w:p>
        </w:tc>
        <w:tc>
          <w:tcPr>
            <w:tcW w:type="dxa" w:w="1474"/>
          </w:tcPr>
          <w:p>
            <w:pPr>
              <w:spacing w:after="40" w:before="40"/>
            </w:pPr>
            <w:r/>
            <w:r>
              <w:rPr>
                <w:rFonts w:ascii="Times New Roman" w:hAnsi="Times New Roman" w:eastAsia="宋体"/>
                <w:sz w:val="18"/>
              </w:rPr>
              <w:t>-4.21</w:t>
            </w:r>
          </w:p>
        </w:tc>
        <w:tc>
          <w:tcPr>
            <w:tcW w:type="dxa" w:w="1587"/>
          </w:tcPr>
          <w:p>
            <w:pPr>
              <w:spacing w:after="40" w:before="40"/>
            </w:pPr>
            <w:r/>
            <w:r>
              <w:rPr>
                <w:rFonts w:ascii="Times New Roman" w:hAnsi="Times New Roman" w:eastAsia="宋体"/>
                <w:sz w:val="18"/>
              </w:rPr>
              <w:t>18.5</w:t>
            </w:r>
          </w:p>
        </w:tc>
        <w:tc>
          <w:tcPr>
            <w:tcW w:type="dxa" w:w="1701"/>
          </w:tcPr>
          <w:p>
            <w:pPr>
              <w:spacing w:after="40" w:before="40"/>
            </w:pPr>
            <w:r/>
            <w:r>
              <w:rPr>
                <w:rFonts w:ascii="Times New Roman" w:hAnsi="Times New Roman" w:eastAsia="宋体"/>
                <w:sz w:val="18"/>
              </w:rPr>
              <w:t>4.6e-07</w:t>
            </w:r>
          </w:p>
        </w:tc>
        <w:tc>
          <w:tcPr>
            <w:tcW w:type="dxa" w:w="1247"/>
          </w:tcPr>
          <w:p>
            <w:pPr>
              <w:spacing w:after="40" w:before="40"/>
            </w:pPr>
            <w:r/>
            <w:r>
              <w:rPr>
                <w:rFonts w:ascii="Times New Roman" w:hAnsi="Times New Roman" w:eastAsia="宋体"/>
                <w:sz w:val="18"/>
              </w:rPr>
              <w:t>下调</w:t>
            </w:r>
          </w:p>
        </w:tc>
      </w:tr>
      <w:tr>
        <w:tc>
          <w:tcPr>
            <w:tcW w:type="dxa" w:w="1701"/>
          </w:tcPr>
          <w:p>
            <w:pPr>
              <w:spacing w:after="40" w:before="40"/>
            </w:pPr>
            <w:r/>
            <w:r>
              <w:rPr>
                <w:rFonts w:ascii="Times New Roman" w:hAnsi="Times New Roman" w:eastAsia="宋体"/>
                <w:sz w:val="18"/>
              </w:rPr>
              <w:t>ETV5</w:t>
            </w:r>
          </w:p>
        </w:tc>
        <w:tc>
          <w:tcPr>
            <w:tcW w:type="dxa" w:w="1474"/>
          </w:tcPr>
          <w:p>
            <w:pPr>
              <w:spacing w:after="40" w:before="40"/>
            </w:pPr>
            <w:r/>
            <w:r>
              <w:rPr>
                <w:rFonts w:ascii="Times New Roman" w:hAnsi="Times New Roman" w:eastAsia="宋体"/>
                <w:sz w:val="18"/>
              </w:rPr>
              <w:t>-4.08</w:t>
            </w:r>
          </w:p>
        </w:tc>
        <w:tc>
          <w:tcPr>
            <w:tcW w:type="dxa" w:w="1587"/>
          </w:tcPr>
          <w:p>
            <w:pPr>
              <w:spacing w:after="40" w:before="40"/>
            </w:pPr>
            <w:r/>
            <w:r>
              <w:rPr>
                <w:rFonts w:ascii="Times New Roman" w:hAnsi="Times New Roman" w:eastAsia="宋体"/>
                <w:sz w:val="18"/>
              </w:rPr>
              <w:t>16.9</w:t>
            </w:r>
          </w:p>
        </w:tc>
        <w:tc>
          <w:tcPr>
            <w:tcW w:type="dxa" w:w="1701"/>
          </w:tcPr>
          <w:p>
            <w:pPr>
              <w:spacing w:after="40" w:before="40"/>
            </w:pPr>
            <w:r/>
            <w:r>
              <w:rPr>
                <w:rFonts w:ascii="Times New Roman" w:hAnsi="Times New Roman" w:eastAsia="宋体"/>
                <w:sz w:val="18"/>
              </w:rPr>
              <w:t>3.3e-06</w:t>
            </w:r>
          </w:p>
        </w:tc>
        <w:tc>
          <w:tcPr>
            <w:tcW w:type="dxa" w:w="1247"/>
          </w:tcPr>
          <w:p>
            <w:pPr>
              <w:spacing w:after="40" w:before="40"/>
            </w:pPr>
            <w:r/>
            <w:r>
              <w:rPr>
                <w:rFonts w:ascii="Times New Roman" w:hAnsi="Times New Roman" w:eastAsia="宋体"/>
                <w:sz w:val="18"/>
              </w:rPr>
              <w:t>下调</w:t>
            </w:r>
          </w:p>
        </w:tc>
      </w:tr>
      <w:tr>
        <w:tc>
          <w:tcPr>
            <w:tcW w:type="dxa" w:w="1701"/>
          </w:tcPr>
          <w:p>
            <w:pPr>
              <w:spacing w:after="40" w:before="40"/>
            </w:pPr>
            <w:r/>
            <w:r>
              <w:rPr>
                <w:rFonts w:ascii="Times New Roman" w:hAnsi="Times New Roman" w:eastAsia="宋体"/>
                <w:sz w:val="18"/>
              </w:rPr>
              <w:t>ETV4</w:t>
            </w:r>
          </w:p>
        </w:tc>
        <w:tc>
          <w:tcPr>
            <w:tcW w:type="dxa" w:w="1474"/>
          </w:tcPr>
          <w:p>
            <w:pPr>
              <w:spacing w:after="40" w:before="40"/>
            </w:pPr>
            <w:r/>
            <w:r>
              <w:rPr>
                <w:rFonts w:ascii="Times New Roman" w:hAnsi="Times New Roman" w:eastAsia="宋体"/>
                <w:sz w:val="18"/>
              </w:rPr>
              <w:t>-3.84</w:t>
            </w:r>
          </w:p>
        </w:tc>
        <w:tc>
          <w:tcPr>
            <w:tcW w:type="dxa" w:w="1587"/>
          </w:tcPr>
          <w:p>
            <w:pPr>
              <w:spacing w:after="40" w:before="40"/>
            </w:pPr>
            <w:r/>
            <w:r>
              <w:rPr>
                <w:rFonts w:ascii="Times New Roman" w:hAnsi="Times New Roman" w:eastAsia="宋体"/>
                <w:sz w:val="18"/>
              </w:rPr>
              <w:t>14.4</w:t>
            </w:r>
          </w:p>
        </w:tc>
        <w:tc>
          <w:tcPr>
            <w:tcW w:type="dxa" w:w="1701"/>
          </w:tcPr>
          <w:p>
            <w:pPr>
              <w:spacing w:after="40" w:before="40"/>
            </w:pPr>
            <w:r/>
            <w:r>
              <w:rPr>
                <w:rFonts w:ascii="Times New Roman" w:hAnsi="Times New Roman" w:eastAsia="宋体"/>
                <w:sz w:val="18"/>
              </w:rPr>
              <w:t>3.0e-06</w:t>
            </w:r>
          </w:p>
        </w:tc>
        <w:tc>
          <w:tcPr>
            <w:tcW w:type="dxa" w:w="1247"/>
          </w:tcPr>
          <w:p>
            <w:pPr>
              <w:spacing w:after="40" w:before="40"/>
            </w:pPr>
            <w:r/>
            <w:r>
              <w:rPr>
                <w:rFonts w:ascii="Times New Roman" w:hAnsi="Times New Roman" w:eastAsia="宋体"/>
                <w:sz w:val="18"/>
              </w:rPr>
              <w:t>下调</w:t>
            </w:r>
          </w:p>
        </w:tc>
      </w:tr>
      <w:tr>
        <w:tc>
          <w:tcPr>
            <w:tcW w:type="dxa" w:w="1701"/>
          </w:tcPr>
          <w:p>
            <w:pPr>
              <w:spacing w:after="40" w:before="40"/>
            </w:pPr>
            <w:r/>
            <w:r>
              <w:rPr>
                <w:rFonts w:ascii="Times New Roman" w:hAnsi="Times New Roman" w:eastAsia="宋体"/>
                <w:sz w:val="18"/>
              </w:rPr>
              <w:t>SPRY2</w:t>
            </w:r>
          </w:p>
        </w:tc>
        <w:tc>
          <w:tcPr>
            <w:tcW w:type="dxa" w:w="1474"/>
          </w:tcPr>
          <w:p>
            <w:pPr>
              <w:spacing w:after="40" w:before="40"/>
            </w:pPr>
            <w:r/>
            <w:r>
              <w:rPr>
                <w:rFonts w:ascii="Times New Roman" w:hAnsi="Times New Roman" w:eastAsia="宋体"/>
                <w:sz w:val="18"/>
              </w:rPr>
              <w:t>-3.80</w:t>
            </w:r>
          </w:p>
        </w:tc>
        <w:tc>
          <w:tcPr>
            <w:tcW w:type="dxa" w:w="1587"/>
          </w:tcPr>
          <w:p>
            <w:pPr>
              <w:spacing w:after="40" w:before="40"/>
            </w:pPr>
            <w:r/>
            <w:r>
              <w:rPr>
                <w:rFonts w:ascii="Times New Roman" w:hAnsi="Times New Roman" w:eastAsia="宋体"/>
                <w:sz w:val="18"/>
              </w:rPr>
              <w:t>13.9</w:t>
            </w:r>
          </w:p>
        </w:tc>
        <w:tc>
          <w:tcPr>
            <w:tcW w:type="dxa" w:w="1701"/>
          </w:tcPr>
          <w:p>
            <w:pPr>
              <w:spacing w:after="40" w:before="40"/>
            </w:pPr>
            <w:r/>
            <w:r>
              <w:rPr>
                <w:rFonts w:ascii="Times New Roman" w:hAnsi="Times New Roman" w:eastAsia="宋体"/>
                <w:sz w:val="18"/>
              </w:rPr>
              <w:t>1.0e-06</w:t>
            </w:r>
          </w:p>
        </w:tc>
        <w:tc>
          <w:tcPr>
            <w:tcW w:type="dxa" w:w="1247"/>
          </w:tcPr>
          <w:p>
            <w:pPr>
              <w:spacing w:after="40" w:before="40"/>
            </w:pPr>
            <w:r/>
            <w:r>
              <w:rPr>
                <w:rFonts w:ascii="Times New Roman" w:hAnsi="Times New Roman" w:eastAsia="宋体"/>
                <w:sz w:val="18"/>
              </w:rPr>
              <w:t>下调</w:t>
            </w:r>
          </w:p>
        </w:tc>
      </w:tr>
      <w:tr>
        <w:tc>
          <w:tcPr>
            <w:tcW w:type="dxa" w:w="1701"/>
          </w:tcPr>
          <w:p>
            <w:pPr>
              <w:spacing w:after="40" w:before="40"/>
            </w:pPr>
            <w:r/>
            <w:r>
              <w:rPr>
                <w:rFonts w:ascii="Times New Roman" w:hAnsi="Times New Roman" w:eastAsia="宋体"/>
                <w:sz w:val="18"/>
              </w:rPr>
              <w:t>SPRY4</w:t>
            </w:r>
          </w:p>
        </w:tc>
        <w:tc>
          <w:tcPr>
            <w:tcW w:type="dxa" w:w="1474"/>
          </w:tcPr>
          <w:p>
            <w:pPr>
              <w:spacing w:after="40" w:before="40"/>
            </w:pPr>
            <w:r/>
            <w:r>
              <w:rPr>
                <w:rFonts w:ascii="Times New Roman" w:hAnsi="Times New Roman" w:eastAsia="宋体"/>
                <w:sz w:val="18"/>
              </w:rPr>
              <w:t>-3.75</w:t>
            </w:r>
          </w:p>
        </w:tc>
        <w:tc>
          <w:tcPr>
            <w:tcW w:type="dxa" w:w="1587"/>
          </w:tcPr>
          <w:p>
            <w:pPr>
              <w:spacing w:after="40" w:before="40"/>
            </w:pPr>
            <w:r/>
            <w:r>
              <w:rPr>
                <w:rFonts w:ascii="Times New Roman" w:hAnsi="Times New Roman" w:eastAsia="宋体"/>
                <w:sz w:val="18"/>
              </w:rPr>
              <w:t>13.5</w:t>
            </w:r>
          </w:p>
        </w:tc>
        <w:tc>
          <w:tcPr>
            <w:tcW w:type="dxa" w:w="1701"/>
          </w:tcPr>
          <w:p>
            <w:pPr>
              <w:spacing w:after="40" w:before="40"/>
            </w:pPr>
            <w:r/>
            <w:r>
              <w:rPr>
                <w:rFonts w:ascii="Times New Roman" w:hAnsi="Times New Roman" w:eastAsia="宋体"/>
                <w:sz w:val="18"/>
              </w:rPr>
              <w:t>6.1e-06</w:t>
            </w:r>
          </w:p>
        </w:tc>
        <w:tc>
          <w:tcPr>
            <w:tcW w:type="dxa" w:w="1247"/>
          </w:tcPr>
          <w:p>
            <w:pPr>
              <w:spacing w:after="40" w:before="40"/>
            </w:pPr>
            <w:r/>
            <w:r>
              <w:rPr>
                <w:rFonts w:ascii="Times New Roman" w:hAnsi="Times New Roman" w:eastAsia="宋体"/>
                <w:sz w:val="18"/>
              </w:rPr>
              <w:t>下调</w:t>
            </w:r>
          </w:p>
        </w:tc>
      </w:tr>
      <w:tr>
        <w:tc>
          <w:tcPr>
            <w:tcW w:type="dxa" w:w="1701"/>
          </w:tcPr>
          <w:p>
            <w:pPr>
              <w:spacing w:after="40" w:before="40"/>
            </w:pPr>
            <w:r/>
            <w:r>
              <w:rPr>
                <w:rFonts w:ascii="Times New Roman" w:hAnsi="Times New Roman" w:eastAsia="宋体"/>
                <w:sz w:val="18"/>
              </w:rPr>
              <w:t>FAM111B</w:t>
            </w:r>
          </w:p>
        </w:tc>
        <w:tc>
          <w:tcPr>
            <w:tcW w:type="dxa" w:w="1474"/>
          </w:tcPr>
          <w:p>
            <w:pPr>
              <w:spacing w:after="40" w:before="40"/>
            </w:pPr>
            <w:r/>
            <w:r>
              <w:rPr>
                <w:rFonts w:ascii="Times New Roman" w:hAnsi="Times New Roman" w:eastAsia="宋体"/>
                <w:sz w:val="18"/>
              </w:rPr>
              <w:t>-3.71</w:t>
            </w:r>
          </w:p>
        </w:tc>
        <w:tc>
          <w:tcPr>
            <w:tcW w:type="dxa" w:w="1587"/>
          </w:tcPr>
          <w:p>
            <w:pPr>
              <w:spacing w:after="40" w:before="40"/>
            </w:pPr>
            <w:r/>
            <w:r>
              <w:rPr>
                <w:rFonts w:ascii="Times New Roman" w:hAnsi="Times New Roman" w:eastAsia="宋体"/>
                <w:sz w:val="18"/>
              </w:rPr>
              <w:t>13.1</w:t>
            </w:r>
          </w:p>
        </w:tc>
        <w:tc>
          <w:tcPr>
            <w:tcW w:type="dxa" w:w="1701"/>
          </w:tcPr>
          <w:p>
            <w:pPr>
              <w:spacing w:after="40" w:before="40"/>
            </w:pPr>
            <w:r/>
            <w:r>
              <w:rPr>
                <w:rFonts w:ascii="Times New Roman" w:hAnsi="Times New Roman" w:eastAsia="宋体"/>
                <w:sz w:val="18"/>
              </w:rPr>
              <w:t>7.4e-06</w:t>
            </w:r>
          </w:p>
        </w:tc>
        <w:tc>
          <w:tcPr>
            <w:tcW w:type="dxa" w:w="1247"/>
          </w:tcPr>
          <w:p>
            <w:pPr>
              <w:spacing w:after="40" w:before="40"/>
            </w:pPr>
            <w:r/>
            <w:r>
              <w:rPr>
                <w:rFonts w:ascii="Times New Roman" w:hAnsi="Times New Roman" w:eastAsia="宋体"/>
                <w:sz w:val="18"/>
              </w:rPr>
              <w:t>下调</w:t>
            </w:r>
          </w:p>
        </w:tc>
      </w:tr>
    </w:tbl>
    <w:p>
      <w:pPr>
        <w:spacing w:after="80"/>
      </w:pPr>
    </w:p>
    <w:p>
      <w:pPr>
        <w:spacing w:before="120"/>
        <w:jc w:val="center"/>
      </w:pPr>
      <w:r>
        <w:drawing>
          <wp:inline xmlns:a="http://schemas.openxmlformats.org/drawingml/2006/main" xmlns:pic="http://schemas.openxmlformats.org/drawingml/2006/picture">
            <wp:extent cx="4860000" cy="3947400"/>
            <wp:docPr id="2" name="Picture 2"/>
            <wp:cNvGraphicFramePr>
              <a:graphicFrameLocks noChangeAspect="1"/>
            </wp:cNvGraphicFramePr>
            <a:graphic>
              <a:graphicData uri="http://schemas.openxmlformats.org/drawingml/2006/picture">
                <pic:pic>
                  <pic:nvPicPr>
                    <pic:cNvPr id="0" name="docximg_e14455b2.png"/>
                    <pic:cNvPicPr/>
                  </pic:nvPicPr>
                  <pic:blipFill>
                    <a:blip r:embed="rId11"/>
                    <a:stretch>
                      <a:fillRect/>
                    </a:stretch>
                  </pic:blipFill>
                  <pic:spPr>
                    <a:xfrm>
                      <a:off x="0" y="0"/>
                      <a:ext cx="4860000" cy="3947400"/>
                    </a:xfrm>
                    <a:prstGeom prst="rect"/>
                  </pic:spPr>
                </pic:pic>
              </a:graphicData>
            </a:graphic>
          </wp:inline>
        </w:drawing>
      </w:r>
    </w:p>
    <w:p>
      <w:pPr>
        <w:spacing w:after="200"/>
        <w:jc w:val="center"/>
      </w:pPr>
      <w:r>
        <w:rPr>
          <w:rFonts w:ascii="Times New Roman" w:hAnsi="Times New Roman" w:eastAsia="宋体"/>
          <w:sz w:val="18"/>
        </w:rPr>
        <w:t>图 2  火山图。橙色为上调，蓝色为下调，灰色为未达显著标准。</w:t>
      </w:r>
    </w:p>
    <w:p>
      <w:pPr>
        <w:keepNext/>
        <w:spacing w:before="200" w:after="120"/>
      </w:pPr>
      <w:r>
        <w:rPr>
          <w:rFonts w:ascii="Times New Roman" w:hAnsi="Times New Roman" w:eastAsia="黑体"/>
          <w:b/>
          <w:sz w:val="26"/>
        </w:rPr>
        <w:t>3.3  MAPK 通路输出基因完全一致下调</w:t>
      </w:r>
    </w:p>
    <w:p>
      <w:pPr>
        <w:spacing w:after="120" w:before="0" w:line="384" w:lineRule="auto"/>
        <w:ind w:firstLine="420"/>
        <w:jc w:val="both"/>
      </w:pPr>
      <w:r>
        <w:rPr>
          <w:rFonts w:ascii="Times New Roman" w:hAnsi="Times New Roman" w:eastAsia="宋体"/>
          <w:b w:val="0"/>
          <w:i w:val="0"/>
          <w:sz w:val="21"/>
        </w:rPr>
        <w:t>为在通路水平而非个别基因水平检验药物效应，我们考察了 12 个 ERK 依赖的转录输出基因。全部 12 个基因方向一致下调，无一例外（图 3）。其中负反馈调节因子 DUSP6、SPRY2、SPRY4 与 ETS 家族转录因子 ETV4、ETV5 的下调幅度均超过 14 倍，增殖相关的 CCND1 与 MYC 亦显著降低。</w:t>
      </w:r>
    </w:p>
    <w:p>
      <w:pPr>
        <w:spacing w:after="60" w:before="0"/>
      </w:pPr>
      <w:r>
        <w:rPr>
          <w:rFonts w:ascii="Times New Roman" w:hAnsi="Times New Roman" w:eastAsia="宋体"/>
          <w:b/>
          <w:i w:val="0"/>
          <w:sz w:val="18"/>
        </w:rPr>
        <w:t>表 2  MAPK/ERK 通路输出基因</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val="clear" w:fill="E8E8E8"/>
          </w:tcPr>
          <w:p>
            <w:pPr>
              <w:jc w:val="center"/>
            </w:pPr>
            <w:r/>
            <w:r>
              <w:rPr>
                <w:rFonts w:ascii="Times New Roman" w:hAnsi="Times New Roman" w:eastAsia="黑体"/>
                <w:b/>
                <w:sz w:val="18"/>
              </w:rPr>
              <w:t>基因</w:t>
            </w:r>
          </w:p>
        </w:tc>
        <w:tc>
          <w:tcPr>
            <w:tcW w:type="dxa" w:w="1984"/>
            <w:shd w:val="clear" w:fill="E8E8E8"/>
          </w:tcPr>
          <w:p>
            <w:pPr>
              <w:jc w:val="center"/>
            </w:pPr>
            <w:r/>
            <w:r>
              <w:rPr>
                <w:rFonts w:ascii="Times New Roman" w:hAnsi="Times New Roman" w:eastAsia="黑体"/>
                <w:b/>
                <w:sz w:val="18"/>
              </w:rPr>
              <w:t>log2FC</w:t>
            </w:r>
          </w:p>
        </w:tc>
        <w:tc>
          <w:tcPr>
            <w:tcW w:type="dxa" w:w="2268"/>
            <w:shd w:val="clear" w:fill="E8E8E8"/>
          </w:tcPr>
          <w:p>
            <w:pPr>
              <w:jc w:val="center"/>
            </w:pPr>
            <w:r/>
            <w:r>
              <w:rPr>
                <w:rFonts w:ascii="Times New Roman" w:hAnsi="Times New Roman" w:eastAsia="黑体"/>
                <w:b/>
                <w:sz w:val="18"/>
              </w:rPr>
              <w:t>校正 P</w:t>
            </w:r>
          </w:p>
        </w:tc>
      </w:tr>
      <w:tr>
        <w:tc>
          <w:tcPr>
            <w:tcW w:type="dxa" w:w="2268"/>
          </w:tcPr>
          <w:p>
            <w:pPr>
              <w:spacing w:after="40" w:before="40"/>
            </w:pPr>
            <w:r/>
            <w:r>
              <w:rPr>
                <w:rFonts w:ascii="Times New Roman" w:hAnsi="Times New Roman" w:eastAsia="宋体"/>
                <w:sz w:val="18"/>
              </w:rPr>
              <w:t>DUSP6</w:t>
            </w:r>
          </w:p>
        </w:tc>
        <w:tc>
          <w:tcPr>
            <w:tcW w:type="dxa" w:w="1984"/>
          </w:tcPr>
          <w:p>
            <w:pPr>
              <w:spacing w:after="40" w:before="40"/>
            </w:pPr>
            <w:r/>
            <w:r>
              <w:rPr>
                <w:rFonts w:ascii="Times New Roman" w:hAnsi="Times New Roman" w:eastAsia="宋体"/>
                <w:sz w:val="18"/>
              </w:rPr>
              <w:t>-4.21</w:t>
            </w:r>
          </w:p>
        </w:tc>
        <w:tc>
          <w:tcPr>
            <w:tcW w:type="dxa" w:w="2268"/>
          </w:tcPr>
          <w:p>
            <w:pPr>
              <w:spacing w:after="40" w:before="40"/>
            </w:pPr>
            <w:r/>
            <w:r>
              <w:rPr>
                <w:rFonts w:ascii="Times New Roman" w:hAnsi="Times New Roman" w:eastAsia="宋体"/>
                <w:sz w:val="18"/>
              </w:rPr>
              <w:t>4.6e-07</w:t>
            </w:r>
          </w:p>
        </w:tc>
      </w:tr>
      <w:tr>
        <w:tc>
          <w:tcPr>
            <w:tcW w:type="dxa" w:w="2268"/>
          </w:tcPr>
          <w:p>
            <w:pPr>
              <w:spacing w:after="40" w:before="40"/>
            </w:pPr>
            <w:r/>
            <w:r>
              <w:rPr>
                <w:rFonts w:ascii="Times New Roman" w:hAnsi="Times New Roman" w:eastAsia="宋体"/>
                <w:sz w:val="18"/>
              </w:rPr>
              <w:t>SPRY2</w:t>
            </w:r>
          </w:p>
        </w:tc>
        <w:tc>
          <w:tcPr>
            <w:tcW w:type="dxa" w:w="1984"/>
          </w:tcPr>
          <w:p>
            <w:pPr>
              <w:spacing w:after="40" w:before="40"/>
            </w:pPr>
            <w:r/>
            <w:r>
              <w:rPr>
                <w:rFonts w:ascii="Times New Roman" w:hAnsi="Times New Roman" w:eastAsia="宋体"/>
                <w:sz w:val="18"/>
              </w:rPr>
              <w:t>-3.80</w:t>
            </w:r>
          </w:p>
        </w:tc>
        <w:tc>
          <w:tcPr>
            <w:tcW w:type="dxa" w:w="2268"/>
          </w:tcPr>
          <w:p>
            <w:pPr>
              <w:spacing w:after="40" w:before="40"/>
            </w:pPr>
            <w:r/>
            <w:r>
              <w:rPr>
                <w:rFonts w:ascii="Times New Roman" w:hAnsi="Times New Roman" w:eastAsia="宋体"/>
                <w:sz w:val="18"/>
              </w:rPr>
              <w:t>1.0e-06</w:t>
            </w:r>
          </w:p>
        </w:tc>
      </w:tr>
      <w:tr>
        <w:tc>
          <w:tcPr>
            <w:tcW w:type="dxa" w:w="2268"/>
          </w:tcPr>
          <w:p>
            <w:pPr>
              <w:spacing w:after="40" w:before="40"/>
            </w:pPr>
            <w:r/>
            <w:r>
              <w:rPr>
                <w:rFonts w:ascii="Times New Roman" w:hAnsi="Times New Roman" w:eastAsia="宋体"/>
                <w:sz w:val="18"/>
              </w:rPr>
              <w:t>SPRY4</w:t>
            </w:r>
          </w:p>
        </w:tc>
        <w:tc>
          <w:tcPr>
            <w:tcW w:type="dxa" w:w="1984"/>
          </w:tcPr>
          <w:p>
            <w:pPr>
              <w:spacing w:after="40" w:before="40"/>
            </w:pPr>
            <w:r/>
            <w:r>
              <w:rPr>
                <w:rFonts w:ascii="Times New Roman" w:hAnsi="Times New Roman" w:eastAsia="宋体"/>
                <w:sz w:val="18"/>
              </w:rPr>
              <w:t>-3.75</w:t>
            </w:r>
          </w:p>
        </w:tc>
        <w:tc>
          <w:tcPr>
            <w:tcW w:type="dxa" w:w="2268"/>
          </w:tcPr>
          <w:p>
            <w:pPr>
              <w:spacing w:after="40" w:before="40"/>
            </w:pPr>
            <w:r/>
            <w:r>
              <w:rPr>
                <w:rFonts w:ascii="Times New Roman" w:hAnsi="Times New Roman" w:eastAsia="宋体"/>
                <w:sz w:val="18"/>
              </w:rPr>
              <w:t>6.1e-06</w:t>
            </w:r>
          </w:p>
        </w:tc>
      </w:tr>
      <w:tr>
        <w:tc>
          <w:tcPr>
            <w:tcW w:type="dxa" w:w="2268"/>
          </w:tcPr>
          <w:p>
            <w:pPr>
              <w:spacing w:after="40" w:before="40"/>
            </w:pPr>
            <w:r/>
            <w:r>
              <w:rPr>
                <w:rFonts w:ascii="Times New Roman" w:hAnsi="Times New Roman" w:eastAsia="宋体"/>
                <w:sz w:val="18"/>
              </w:rPr>
              <w:t>ETV4</w:t>
            </w:r>
          </w:p>
        </w:tc>
        <w:tc>
          <w:tcPr>
            <w:tcW w:type="dxa" w:w="1984"/>
          </w:tcPr>
          <w:p>
            <w:pPr>
              <w:spacing w:after="40" w:before="40"/>
            </w:pPr>
            <w:r/>
            <w:r>
              <w:rPr>
                <w:rFonts w:ascii="Times New Roman" w:hAnsi="Times New Roman" w:eastAsia="宋体"/>
                <w:sz w:val="18"/>
              </w:rPr>
              <w:t>-3.84</w:t>
            </w:r>
          </w:p>
        </w:tc>
        <w:tc>
          <w:tcPr>
            <w:tcW w:type="dxa" w:w="2268"/>
          </w:tcPr>
          <w:p>
            <w:pPr>
              <w:spacing w:after="40" w:before="40"/>
            </w:pPr>
            <w:r/>
            <w:r>
              <w:rPr>
                <w:rFonts w:ascii="Times New Roman" w:hAnsi="Times New Roman" w:eastAsia="宋体"/>
                <w:sz w:val="18"/>
              </w:rPr>
              <w:t>3.0e-06</w:t>
            </w:r>
          </w:p>
        </w:tc>
      </w:tr>
      <w:tr>
        <w:tc>
          <w:tcPr>
            <w:tcW w:type="dxa" w:w="2268"/>
          </w:tcPr>
          <w:p>
            <w:pPr>
              <w:spacing w:after="40" w:before="40"/>
            </w:pPr>
            <w:r/>
            <w:r>
              <w:rPr>
                <w:rFonts w:ascii="Times New Roman" w:hAnsi="Times New Roman" w:eastAsia="宋体"/>
                <w:sz w:val="18"/>
              </w:rPr>
              <w:t>ETV5</w:t>
            </w:r>
          </w:p>
        </w:tc>
        <w:tc>
          <w:tcPr>
            <w:tcW w:type="dxa" w:w="1984"/>
          </w:tcPr>
          <w:p>
            <w:pPr>
              <w:spacing w:after="40" w:before="40"/>
            </w:pPr>
            <w:r/>
            <w:r>
              <w:rPr>
                <w:rFonts w:ascii="Times New Roman" w:hAnsi="Times New Roman" w:eastAsia="宋体"/>
                <w:sz w:val="18"/>
              </w:rPr>
              <w:t>-4.08</w:t>
            </w:r>
          </w:p>
        </w:tc>
        <w:tc>
          <w:tcPr>
            <w:tcW w:type="dxa" w:w="2268"/>
          </w:tcPr>
          <w:p>
            <w:pPr>
              <w:spacing w:after="40" w:before="40"/>
            </w:pPr>
            <w:r/>
            <w:r>
              <w:rPr>
                <w:rFonts w:ascii="Times New Roman" w:hAnsi="Times New Roman" w:eastAsia="宋体"/>
                <w:sz w:val="18"/>
              </w:rPr>
              <w:t>3.3e-06</w:t>
            </w:r>
          </w:p>
        </w:tc>
      </w:tr>
      <w:tr>
        <w:tc>
          <w:tcPr>
            <w:tcW w:type="dxa" w:w="2268"/>
          </w:tcPr>
          <w:p>
            <w:pPr>
              <w:spacing w:after="40" w:before="40"/>
            </w:pPr>
            <w:r/>
            <w:r>
              <w:rPr>
                <w:rFonts w:ascii="Times New Roman" w:hAnsi="Times New Roman" w:eastAsia="宋体"/>
                <w:sz w:val="18"/>
              </w:rPr>
              <w:t>DUSP4</w:t>
            </w:r>
          </w:p>
        </w:tc>
        <w:tc>
          <w:tcPr>
            <w:tcW w:type="dxa" w:w="1984"/>
          </w:tcPr>
          <w:p>
            <w:pPr>
              <w:spacing w:after="40" w:before="40"/>
            </w:pPr>
            <w:r/>
            <w:r>
              <w:rPr>
                <w:rFonts w:ascii="Times New Roman" w:hAnsi="Times New Roman" w:eastAsia="宋体"/>
                <w:sz w:val="18"/>
              </w:rPr>
              <w:t>-1.72</w:t>
            </w:r>
          </w:p>
        </w:tc>
        <w:tc>
          <w:tcPr>
            <w:tcW w:type="dxa" w:w="2268"/>
          </w:tcPr>
          <w:p>
            <w:pPr>
              <w:spacing w:after="40" w:before="40"/>
            </w:pPr>
            <w:r/>
            <w:r>
              <w:rPr>
                <w:rFonts w:ascii="Times New Roman" w:hAnsi="Times New Roman" w:eastAsia="宋体"/>
                <w:sz w:val="18"/>
              </w:rPr>
              <w:t>1.7e-05</w:t>
            </w:r>
          </w:p>
        </w:tc>
      </w:tr>
      <w:tr>
        <w:tc>
          <w:tcPr>
            <w:tcW w:type="dxa" w:w="2268"/>
          </w:tcPr>
          <w:p>
            <w:pPr>
              <w:spacing w:after="40" w:before="40"/>
            </w:pPr>
            <w:r/>
            <w:r>
              <w:rPr>
                <w:rFonts w:ascii="Times New Roman" w:hAnsi="Times New Roman" w:eastAsia="宋体"/>
                <w:sz w:val="18"/>
              </w:rPr>
              <w:t>CCND1</w:t>
            </w:r>
          </w:p>
        </w:tc>
        <w:tc>
          <w:tcPr>
            <w:tcW w:type="dxa" w:w="1984"/>
          </w:tcPr>
          <w:p>
            <w:pPr>
              <w:spacing w:after="40" w:before="40"/>
            </w:pPr>
            <w:r/>
            <w:r>
              <w:rPr>
                <w:rFonts w:ascii="Times New Roman" w:hAnsi="Times New Roman" w:eastAsia="宋体"/>
                <w:sz w:val="18"/>
              </w:rPr>
              <w:t>-2.49</w:t>
            </w:r>
          </w:p>
        </w:tc>
        <w:tc>
          <w:tcPr>
            <w:tcW w:type="dxa" w:w="2268"/>
          </w:tcPr>
          <w:p>
            <w:pPr>
              <w:spacing w:after="40" w:before="40"/>
            </w:pPr>
            <w:r/>
            <w:r>
              <w:rPr>
                <w:rFonts w:ascii="Times New Roman" w:hAnsi="Times New Roman" w:eastAsia="宋体"/>
                <w:sz w:val="18"/>
              </w:rPr>
              <w:t>3.3e-06</w:t>
            </w:r>
          </w:p>
        </w:tc>
      </w:tr>
      <w:tr>
        <w:tc>
          <w:tcPr>
            <w:tcW w:type="dxa" w:w="2268"/>
          </w:tcPr>
          <w:p>
            <w:pPr>
              <w:spacing w:after="40" w:before="40"/>
            </w:pPr>
            <w:r/>
            <w:r>
              <w:rPr>
                <w:rFonts w:ascii="Times New Roman" w:hAnsi="Times New Roman" w:eastAsia="宋体"/>
                <w:sz w:val="18"/>
              </w:rPr>
              <w:t>MYC</w:t>
            </w:r>
          </w:p>
        </w:tc>
        <w:tc>
          <w:tcPr>
            <w:tcW w:type="dxa" w:w="1984"/>
          </w:tcPr>
          <w:p>
            <w:pPr>
              <w:spacing w:after="40" w:before="40"/>
            </w:pPr>
            <w:r/>
            <w:r>
              <w:rPr>
                <w:rFonts w:ascii="Times New Roman" w:hAnsi="Times New Roman" w:eastAsia="宋体"/>
                <w:sz w:val="18"/>
              </w:rPr>
              <w:t>-1.35</w:t>
            </w:r>
          </w:p>
        </w:tc>
        <w:tc>
          <w:tcPr>
            <w:tcW w:type="dxa" w:w="2268"/>
          </w:tcPr>
          <w:p>
            <w:pPr>
              <w:spacing w:after="40" w:before="40"/>
            </w:pPr>
            <w:r/>
            <w:r>
              <w:rPr>
                <w:rFonts w:ascii="Times New Roman" w:hAnsi="Times New Roman" w:eastAsia="宋体"/>
                <w:sz w:val="18"/>
              </w:rPr>
              <w:t>8.4e-05</w:t>
            </w:r>
          </w:p>
        </w:tc>
      </w:tr>
      <w:tr>
        <w:tc>
          <w:tcPr>
            <w:tcW w:type="dxa" w:w="2268"/>
          </w:tcPr>
          <w:p>
            <w:pPr>
              <w:spacing w:after="40" w:before="40"/>
            </w:pPr>
            <w:r/>
            <w:r>
              <w:rPr>
                <w:rFonts w:ascii="Times New Roman" w:hAnsi="Times New Roman" w:eastAsia="宋体"/>
                <w:sz w:val="18"/>
              </w:rPr>
              <w:t>PHLDA1</w:t>
            </w:r>
          </w:p>
        </w:tc>
        <w:tc>
          <w:tcPr>
            <w:tcW w:type="dxa" w:w="1984"/>
          </w:tcPr>
          <w:p>
            <w:pPr>
              <w:spacing w:after="40" w:before="40"/>
            </w:pPr>
            <w:r/>
            <w:r>
              <w:rPr>
                <w:rFonts w:ascii="Times New Roman" w:hAnsi="Times New Roman" w:eastAsia="宋体"/>
                <w:sz w:val="18"/>
              </w:rPr>
              <w:t>-1.45</w:t>
            </w:r>
          </w:p>
        </w:tc>
        <w:tc>
          <w:tcPr>
            <w:tcW w:type="dxa" w:w="2268"/>
          </w:tcPr>
          <w:p>
            <w:pPr>
              <w:spacing w:after="40" w:before="40"/>
            </w:pPr>
            <w:r/>
            <w:r>
              <w:rPr>
                <w:rFonts w:ascii="Times New Roman" w:hAnsi="Times New Roman" w:eastAsia="宋体"/>
                <w:sz w:val="18"/>
              </w:rPr>
              <w:t>1.7e-04</w:t>
            </w:r>
          </w:p>
        </w:tc>
      </w:tr>
      <w:tr>
        <w:tc>
          <w:tcPr>
            <w:tcW w:type="dxa" w:w="2268"/>
          </w:tcPr>
          <w:p>
            <w:pPr>
              <w:spacing w:after="40" w:before="40"/>
            </w:pPr>
            <w:r/>
            <w:r>
              <w:rPr>
                <w:rFonts w:ascii="Times New Roman" w:hAnsi="Times New Roman" w:eastAsia="宋体"/>
                <w:sz w:val="18"/>
              </w:rPr>
              <w:t>FOSL1</w:t>
            </w:r>
          </w:p>
        </w:tc>
        <w:tc>
          <w:tcPr>
            <w:tcW w:type="dxa" w:w="1984"/>
          </w:tcPr>
          <w:p>
            <w:pPr>
              <w:spacing w:after="40" w:before="40"/>
            </w:pPr>
            <w:r/>
            <w:r>
              <w:rPr>
                <w:rFonts w:ascii="Times New Roman" w:hAnsi="Times New Roman" w:eastAsia="宋体"/>
                <w:sz w:val="18"/>
              </w:rPr>
              <w:t>-1.88</w:t>
            </w:r>
          </w:p>
        </w:tc>
        <w:tc>
          <w:tcPr>
            <w:tcW w:type="dxa" w:w="2268"/>
          </w:tcPr>
          <w:p>
            <w:pPr>
              <w:spacing w:after="40" w:before="40"/>
            </w:pPr>
            <w:r/>
            <w:r>
              <w:rPr>
                <w:rFonts w:ascii="Times New Roman" w:hAnsi="Times New Roman" w:eastAsia="宋体"/>
                <w:sz w:val="18"/>
              </w:rPr>
              <w:t>1.0e-04</w:t>
            </w:r>
          </w:p>
        </w:tc>
      </w:tr>
      <w:tr>
        <w:tc>
          <w:tcPr>
            <w:tcW w:type="dxa" w:w="2268"/>
          </w:tcPr>
          <w:p>
            <w:pPr>
              <w:spacing w:after="40" w:before="40"/>
            </w:pPr>
            <w:r/>
            <w:r>
              <w:rPr>
                <w:rFonts w:ascii="Times New Roman" w:hAnsi="Times New Roman" w:eastAsia="宋体"/>
                <w:sz w:val="18"/>
              </w:rPr>
              <w:t>EPHA2</w:t>
            </w:r>
          </w:p>
        </w:tc>
        <w:tc>
          <w:tcPr>
            <w:tcW w:type="dxa" w:w="1984"/>
          </w:tcPr>
          <w:p>
            <w:pPr>
              <w:spacing w:after="40" w:before="40"/>
            </w:pPr>
            <w:r/>
            <w:r>
              <w:rPr>
                <w:rFonts w:ascii="Times New Roman" w:hAnsi="Times New Roman" w:eastAsia="宋体"/>
                <w:sz w:val="18"/>
              </w:rPr>
              <w:t>-1.41</w:t>
            </w:r>
          </w:p>
        </w:tc>
        <w:tc>
          <w:tcPr>
            <w:tcW w:type="dxa" w:w="2268"/>
          </w:tcPr>
          <w:p>
            <w:pPr>
              <w:spacing w:after="40" w:before="40"/>
            </w:pPr>
            <w:r/>
            <w:r>
              <w:rPr>
                <w:rFonts w:ascii="Times New Roman" w:hAnsi="Times New Roman" w:eastAsia="宋体"/>
                <w:sz w:val="18"/>
              </w:rPr>
              <w:t>4.8e-05</w:t>
            </w:r>
          </w:p>
        </w:tc>
      </w:tr>
      <w:tr>
        <w:tc>
          <w:tcPr>
            <w:tcW w:type="dxa" w:w="2268"/>
          </w:tcPr>
          <w:p>
            <w:pPr>
              <w:spacing w:after="40" w:before="40"/>
            </w:pPr>
            <w:r/>
            <w:r>
              <w:rPr>
                <w:rFonts w:ascii="Times New Roman" w:hAnsi="Times New Roman" w:eastAsia="宋体"/>
                <w:sz w:val="18"/>
              </w:rPr>
              <w:t>IER3</w:t>
            </w:r>
          </w:p>
        </w:tc>
        <w:tc>
          <w:tcPr>
            <w:tcW w:type="dxa" w:w="1984"/>
          </w:tcPr>
          <w:p>
            <w:pPr>
              <w:spacing w:after="40" w:before="40"/>
            </w:pPr>
            <w:r/>
            <w:r>
              <w:rPr>
                <w:rFonts w:ascii="Times New Roman" w:hAnsi="Times New Roman" w:eastAsia="宋体"/>
                <w:sz w:val="18"/>
              </w:rPr>
              <w:t>-2.64</w:t>
            </w:r>
          </w:p>
        </w:tc>
        <w:tc>
          <w:tcPr>
            <w:tcW w:type="dxa" w:w="2268"/>
          </w:tcPr>
          <w:p>
            <w:pPr>
              <w:spacing w:after="40" w:before="40"/>
            </w:pPr>
            <w:r/>
            <w:r>
              <w:rPr>
                <w:rFonts w:ascii="Times New Roman" w:hAnsi="Times New Roman" w:eastAsia="宋体"/>
                <w:sz w:val="18"/>
              </w:rPr>
              <w:t>4.6e-06</w:t>
            </w:r>
          </w:p>
        </w:tc>
      </w:tr>
    </w:tbl>
    <w:p>
      <w:pPr>
        <w:spacing w:after="80"/>
      </w:pPr>
    </w:p>
    <w:p>
      <w:pPr>
        <w:spacing w:before="120"/>
        <w:jc w:val="center"/>
      </w:pPr>
      <w:r>
        <w:drawing>
          <wp:inline xmlns:a="http://schemas.openxmlformats.org/drawingml/2006/main" xmlns:pic="http://schemas.openxmlformats.org/drawingml/2006/picture">
            <wp:extent cx="5400000" cy="4050000"/>
            <wp:docPr id="3" name="Picture 3"/>
            <wp:cNvGraphicFramePr>
              <a:graphicFrameLocks noChangeAspect="1"/>
            </wp:cNvGraphicFramePr>
            <a:graphic>
              <a:graphicData uri="http://schemas.openxmlformats.org/drawingml/2006/picture">
                <pic:pic>
                  <pic:nvPicPr>
                    <pic:cNvPr id="0" name="docximg_48fc054b.png"/>
                    <pic:cNvPicPr/>
                  </pic:nvPicPr>
                  <pic:blipFill>
                    <a:blip r:embed="rId12"/>
                    <a:stretch>
                      <a:fillRect/>
                    </a:stretch>
                  </pic:blipFill>
                  <pic:spPr>
                    <a:xfrm>
                      <a:off x="0" y="0"/>
                      <a:ext cx="5400000" cy="4050000"/>
                    </a:xfrm>
                    <a:prstGeom prst="rect"/>
                  </pic:spPr>
                </pic:pic>
              </a:graphicData>
            </a:graphic>
          </wp:inline>
        </w:drawing>
      </w:r>
    </w:p>
    <w:p>
      <w:pPr>
        <w:spacing w:after="200"/>
        <w:jc w:val="center"/>
      </w:pPr>
      <w:r>
        <w:rPr>
          <w:rFonts w:ascii="Times New Roman" w:hAnsi="Times New Roman" w:eastAsia="宋体"/>
          <w:sz w:val="18"/>
        </w:rPr>
        <w:t>图 3  MAPK/ERK 通路输出基因表达。每个分面为一个基因，点为单个样本。</w:t>
      </w:r>
    </w:p>
    <w:p>
      <w:pPr>
        <w:keepNext/>
        <w:spacing w:before="200" w:after="120"/>
      </w:pPr>
      <w:r>
        <w:rPr>
          <w:rFonts w:ascii="Times New Roman" w:hAnsi="Times New Roman" w:eastAsia="黑体"/>
          <w:b/>
          <w:sz w:val="26"/>
        </w:rPr>
        <w:t>3.4  富集分析：靶通路与细胞周期程序协同抑制</w:t>
      </w:r>
    </w:p>
    <w:p>
      <w:pPr>
        <w:spacing w:after="120" w:before="0" w:line="384" w:lineRule="auto"/>
        <w:ind w:firstLine="420"/>
        <w:jc w:val="both"/>
      </w:pPr>
      <w:r>
        <w:rPr>
          <w:rFonts w:ascii="Times New Roman" w:hAnsi="Times New Roman" w:eastAsia="宋体"/>
          <w:b w:val="0"/>
          <w:i w:val="0"/>
          <w:sz w:val="21"/>
        </w:rPr>
        <w:t>以 moderated t 统计量排序执行 preranked GSEA。MAPK/ERK 输出基因集获得NES=−2.54（FDR&lt;0.001），且集合内 15 个基因全部落入富集前沿（15/15），表明下调并非由少数基因驱动，而是整个通路模块的协同关闭。细胞周期 G2/M 基因集同样呈现完全一致的下调（11/11，NES=−2.22，FDR&lt;0.001），与 BRAF 抑制导致增殖停滞的已知表型吻合。</w:t>
      </w:r>
    </w:p>
    <w:p>
      <w:pPr>
        <w:spacing w:after="60" w:before="0"/>
      </w:pPr>
      <w:r>
        <w:rPr>
          <w:rFonts w:ascii="Times New Roman" w:hAnsi="Times New Roman" w:eastAsia="宋体"/>
          <w:b/>
          <w:i w:val="0"/>
          <w:sz w:val="18"/>
        </w:rPr>
        <w:t>表 3  GSEA 结果（1000 次置换，种子 42）</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3628"/>
            <w:shd w:val="clear" w:fill="E8E8E8"/>
          </w:tcPr>
          <w:p>
            <w:pPr>
              <w:jc w:val="center"/>
            </w:pPr>
            <w:r/>
            <w:r>
              <w:rPr>
                <w:rFonts w:ascii="Times New Roman" w:hAnsi="Times New Roman" w:eastAsia="黑体"/>
                <w:b/>
                <w:sz w:val="18"/>
              </w:rPr>
              <w:t>基因集</w:t>
            </w:r>
          </w:p>
        </w:tc>
        <w:tc>
          <w:tcPr>
            <w:tcW w:type="dxa" w:w="1361"/>
            <w:shd w:val="clear" w:fill="E8E8E8"/>
          </w:tcPr>
          <w:p>
            <w:pPr>
              <w:jc w:val="center"/>
            </w:pPr>
            <w:r/>
            <w:r>
              <w:rPr>
                <w:rFonts w:ascii="Times New Roman" w:hAnsi="Times New Roman" w:eastAsia="黑体"/>
                <w:b/>
                <w:sz w:val="18"/>
              </w:rPr>
              <w:t>NES</w:t>
            </w:r>
          </w:p>
        </w:tc>
        <w:tc>
          <w:tcPr>
            <w:tcW w:type="dxa" w:w="1474"/>
            <w:shd w:val="clear" w:fill="E8E8E8"/>
          </w:tcPr>
          <w:p>
            <w:pPr>
              <w:jc w:val="center"/>
            </w:pPr>
            <w:r/>
            <w:r>
              <w:rPr>
                <w:rFonts w:ascii="Times New Roman" w:hAnsi="Times New Roman" w:eastAsia="黑体"/>
                <w:b/>
                <w:sz w:val="18"/>
              </w:rPr>
              <w:t>FDR q</w:t>
            </w:r>
          </w:p>
        </w:tc>
        <w:tc>
          <w:tcPr>
            <w:tcW w:type="dxa" w:w="2041"/>
            <w:shd w:val="clear" w:fill="E8E8E8"/>
          </w:tcPr>
          <w:p>
            <w:pPr>
              <w:jc w:val="center"/>
            </w:pPr>
            <w:r/>
            <w:r>
              <w:rPr>
                <w:rFonts w:ascii="Times New Roman" w:hAnsi="Times New Roman" w:eastAsia="黑体"/>
                <w:b/>
                <w:sz w:val="18"/>
              </w:rPr>
              <w:t>前沿基因/集合大小</w:t>
            </w:r>
          </w:p>
        </w:tc>
      </w:tr>
      <w:tr>
        <w:tc>
          <w:tcPr>
            <w:tcW w:type="dxa" w:w="3628"/>
          </w:tcPr>
          <w:p>
            <w:pPr>
              <w:spacing w:after="40" w:before="40"/>
            </w:pPr>
            <w:r/>
            <w:r>
              <w:rPr>
                <w:rFonts w:ascii="Times New Roman" w:hAnsi="Times New Roman" w:eastAsia="宋体"/>
                <w:sz w:val="18"/>
              </w:rPr>
              <w:t>MAPK_ERK_OUTPUT</w:t>
            </w:r>
          </w:p>
        </w:tc>
        <w:tc>
          <w:tcPr>
            <w:tcW w:type="dxa" w:w="1361"/>
          </w:tcPr>
          <w:p>
            <w:pPr>
              <w:spacing w:after="40" w:before="40"/>
            </w:pPr>
            <w:r/>
            <w:r>
              <w:rPr>
                <w:rFonts w:ascii="Times New Roman" w:hAnsi="Times New Roman" w:eastAsia="宋体"/>
                <w:sz w:val="18"/>
              </w:rPr>
              <w:t>-2.54</w:t>
            </w:r>
          </w:p>
        </w:tc>
        <w:tc>
          <w:tcPr>
            <w:tcW w:type="dxa" w:w="1474"/>
          </w:tcPr>
          <w:p>
            <w:pPr>
              <w:spacing w:after="40" w:before="40"/>
            </w:pPr>
            <w:r/>
            <w:r>
              <w:rPr>
                <w:rFonts w:ascii="Times New Roman" w:hAnsi="Times New Roman" w:eastAsia="宋体"/>
                <w:sz w:val="18"/>
              </w:rPr>
              <w:t>0.000</w:t>
            </w:r>
          </w:p>
        </w:tc>
        <w:tc>
          <w:tcPr>
            <w:tcW w:type="dxa" w:w="2041"/>
          </w:tcPr>
          <w:p>
            <w:pPr>
              <w:spacing w:after="40" w:before="40"/>
            </w:pPr>
            <w:r/>
            <w:r>
              <w:rPr>
                <w:rFonts w:ascii="Times New Roman" w:hAnsi="Times New Roman" w:eastAsia="宋体"/>
                <w:sz w:val="18"/>
              </w:rPr>
              <w:t>15/15</w:t>
            </w:r>
          </w:p>
        </w:tc>
      </w:tr>
      <w:tr>
        <w:tc>
          <w:tcPr>
            <w:tcW w:type="dxa" w:w="3628"/>
          </w:tcPr>
          <w:p>
            <w:pPr>
              <w:spacing w:after="40" w:before="40"/>
            </w:pPr>
            <w:r/>
            <w:r>
              <w:rPr>
                <w:rFonts w:ascii="Times New Roman" w:hAnsi="Times New Roman" w:eastAsia="宋体"/>
                <w:sz w:val="18"/>
              </w:rPr>
              <w:t>CELL_CYCLE_G2M</w:t>
            </w:r>
          </w:p>
        </w:tc>
        <w:tc>
          <w:tcPr>
            <w:tcW w:type="dxa" w:w="1361"/>
          </w:tcPr>
          <w:p>
            <w:pPr>
              <w:spacing w:after="40" w:before="40"/>
            </w:pPr>
            <w:r/>
            <w:r>
              <w:rPr>
                <w:rFonts w:ascii="Times New Roman" w:hAnsi="Times New Roman" w:eastAsia="宋体"/>
                <w:sz w:val="18"/>
              </w:rPr>
              <w:t>-2.22</w:t>
            </w:r>
          </w:p>
        </w:tc>
        <w:tc>
          <w:tcPr>
            <w:tcW w:type="dxa" w:w="1474"/>
          </w:tcPr>
          <w:p>
            <w:pPr>
              <w:spacing w:after="40" w:before="40"/>
            </w:pPr>
            <w:r/>
            <w:r>
              <w:rPr>
                <w:rFonts w:ascii="Times New Roman" w:hAnsi="Times New Roman" w:eastAsia="宋体"/>
                <w:sz w:val="18"/>
              </w:rPr>
              <w:t>0.000</w:t>
            </w:r>
          </w:p>
        </w:tc>
        <w:tc>
          <w:tcPr>
            <w:tcW w:type="dxa" w:w="2041"/>
          </w:tcPr>
          <w:p>
            <w:pPr>
              <w:spacing w:after="40" w:before="40"/>
            </w:pPr>
            <w:r/>
            <w:r>
              <w:rPr>
                <w:rFonts w:ascii="Times New Roman" w:hAnsi="Times New Roman" w:eastAsia="宋体"/>
                <w:sz w:val="18"/>
              </w:rPr>
              <w:t>11/11</w:t>
            </w:r>
          </w:p>
        </w:tc>
      </w:tr>
      <w:tr>
        <w:tc>
          <w:tcPr>
            <w:tcW w:type="dxa" w:w="3628"/>
          </w:tcPr>
          <w:p>
            <w:pPr>
              <w:spacing w:after="40" w:before="40"/>
            </w:pPr>
            <w:r/>
            <w:r>
              <w:rPr>
                <w:rFonts w:ascii="Times New Roman" w:hAnsi="Times New Roman" w:eastAsia="宋体"/>
                <w:sz w:val="18"/>
              </w:rPr>
              <w:t>MELANOCYTE_DIFFERENTIATION</w:t>
            </w:r>
          </w:p>
        </w:tc>
        <w:tc>
          <w:tcPr>
            <w:tcW w:type="dxa" w:w="1361"/>
          </w:tcPr>
          <w:p>
            <w:pPr>
              <w:spacing w:after="40" w:before="40"/>
            </w:pPr>
            <w:r/>
            <w:r>
              <w:rPr>
                <w:rFonts w:ascii="Times New Roman" w:hAnsi="Times New Roman" w:eastAsia="宋体"/>
                <w:sz w:val="18"/>
              </w:rPr>
              <w:t>1.77</w:t>
            </w:r>
          </w:p>
        </w:tc>
        <w:tc>
          <w:tcPr>
            <w:tcW w:type="dxa" w:w="1474"/>
          </w:tcPr>
          <w:p>
            <w:pPr>
              <w:spacing w:after="40" w:before="40"/>
            </w:pPr>
            <w:r/>
            <w:r>
              <w:rPr>
                <w:rFonts w:ascii="Times New Roman" w:hAnsi="Times New Roman" w:eastAsia="宋体"/>
                <w:sz w:val="18"/>
              </w:rPr>
              <w:t>0.003</w:t>
            </w:r>
          </w:p>
        </w:tc>
        <w:tc>
          <w:tcPr>
            <w:tcW w:type="dxa" w:w="2041"/>
          </w:tcPr>
          <w:p>
            <w:pPr>
              <w:spacing w:after="40" w:before="40"/>
            </w:pPr>
            <w:r/>
            <w:r>
              <w:rPr>
                <w:rFonts w:ascii="Times New Roman" w:hAnsi="Times New Roman" w:eastAsia="宋体"/>
                <w:sz w:val="18"/>
              </w:rPr>
              <w:t>2/7</w:t>
            </w:r>
          </w:p>
        </w:tc>
      </w:tr>
      <w:tr>
        <w:tc>
          <w:tcPr>
            <w:tcW w:type="dxa" w:w="3628"/>
          </w:tcPr>
          <w:p>
            <w:pPr>
              <w:spacing w:after="40" w:before="40"/>
            </w:pPr>
            <w:r/>
            <w:r>
              <w:rPr>
                <w:rFonts w:ascii="Times New Roman" w:hAnsi="Times New Roman" w:eastAsia="宋体"/>
                <w:sz w:val="18"/>
              </w:rPr>
              <w:t>CHOLESTEROL_HOMEOSTASIS</w:t>
            </w:r>
          </w:p>
        </w:tc>
        <w:tc>
          <w:tcPr>
            <w:tcW w:type="dxa" w:w="1361"/>
          </w:tcPr>
          <w:p>
            <w:pPr>
              <w:spacing w:after="40" w:before="40"/>
            </w:pPr>
            <w:r/>
            <w:r>
              <w:rPr>
                <w:rFonts w:ascii="Times New Roman" w:hAnsi="Times New Roman" w:eastAsia="宋体"/>
                <w:sz w:val="18"/>
              </w:rPr>
              <w:t>-1.60</w:t>
            </w:r>
          </w:p>
        </w:tc>
        <w:tc>
          <w:tcPr>
            <w:tcW w:type="dxa" w:w="1474"/>
          </w:tcPr>
          <w:p>
            <w:pPr>
              <w:spacing w:after="40" w:before="40"/>
            </w:pPr>
            <w:r/>
            <w:r>
              <w:rPr>
                <w:rFonts w:ascii="Times New Roman" w:hAnsi="Times New Roman" w:eastAsia="宋体"/>
                <w:sz w:val="18"/>
              </w:rPr>
              <w:t>0.027</w:t>
            </w:r>
          </w:p>
        </w:tc>
        <w:tc>
          <w:tcPr>
            <w:tcW w:type="dxa" w:w="2041"/>
          </w:tcPr>
          <w:p>
            <w:pPr>
              <w:spacing w:after="40" w:before="40"/>
            </w:pPr>
            <w:r/>
            <w:r>
              <w:rPr>
                <w:rFonts w:ascii="Times New Roman" w:hAnsi="Times New Roman" w:eastAsia="宋体"/>
                <w:sz w:val="18"/>
              </w:rPr>
              <w:t>4/8</w:t>
            </w:r>
          </w:p>
        </w:tc>
      </w:tr>
    </w:tbl>
    <w:p>
      <w:pPr>
        <w:spacing w:after="80"/>
      </w:pPr>
    </w:p>
    <w:p>
      <w:pPr>
        <w:spacing w:after="120" w:before="0" w:line="384" w:lineRule="auto"/>
        <w:ind w:firstLine="420"/>
        <w:jc w:val="both"/>
      </w:pPr>
      <w:r>
        <w:rPr>
          <w:rFonts w:ascii="Times New Roman" w:hAnsi="Times New Roman" w:eastAsia="宋体"/>
          <w:b w:val="0"/>
          <w:i w:val="0"/>
          <w:sz w:val="21"/>
        </w:rPr>
        <w:t>另两个基因集的证据强度明显较弱，需谨慎解读。黑色素细胞分化基因集虽获得正向 NES（+1.77，FDR=0.003），但富集前沿仅含 DCT 与 MITF 两个基因（2/7），且该集合内 TYR、PMEL、MLANA 均未达显著（校正 P 分别为 0.18、0.46、1.00），MITF 自身的变化幅度亦有限（log2FC=+0.75）。因此该信号主要由 DCT 单基因的大幅上调驱动，尚不足以支持“黑色素细胞整体重新分化”的结论。胆固醇稳态基因集（NES=−1.60，FDR=0.027，4/8）的情形类似，以 LDLR（−3.05）的强烈下调为主导。</w:t>
      </w:r>
    </w:p>
    <w:p>
      <w:pPr>
        <w:spacing w:before="120"/>
        <w:jc w:val="center"/>
      </w:pPr>
      <w:r>
        <w:drawing>
          <wp:inline xmlns:a="http://schemas.openxmlformats.org/drawingml/2006/main" xmlns:pic="http://schemas.openxmlformats.org/drawingml/2006/picture">
            <wp:extent cx="5040000" cy="1890000"/>
            <wp:docPr id="4" name="Picture 4"/>
            <wp:cNvGraphicFramePr>
              <a:graphicFrameLocks noChangeAspect="1"/>
            </wp:cNvGraphicFramePr>
            <a:graphic>
              <a:graphicData uri="http://schemas.openxmlformats.org/drawingml/2006/picture">
                <pic:pic>
                  <pic:nvPicPr>
                    <pic:cNvPr id="0" name="docximg_eab8481d.png"/>
                    <pic:cNvPicPr/>
                  </pic:nvPicPr>
                  <pic:blipFill>
                    <a:blip r:embed="rId13"/>
                    <a:stretch>
                      <a:fillRect/>
                    </a:stretch>
                  </pic:blipFill>
                  <pic:spPr>
                    <a:xfrm>
                      <a:off x="0" y="0"/>
                      <a:ext cx="5040000" cy="1890000"/>
                    </a:xfrm>
                    <a:prstGeom prst="rect"/>
                  </pic:spPr>
                </pic:pic>
              </a:graphicData>
            </a:graphic>
          </wp:inline>
        </w:drawing>
      </w:r>
    </w:p>
    <w:p>
      <w:pPr>
        <w:spacing w:after="200"/>
        <w:jc w:val="center"/>
      </w:pPr>
      <w:r>
        <w:rPr>
          <w:rFonts w:ascii="Times New Roman" w:hAnsi="Times New Roman" w:eastAsia="宋体"/>
          <w:sz w:val="18"/>
        </w:rPr>
        <w:t>图 4  GSEA 标准化富集得分。负值表示在维罗非尼处理组中下调。</w:t>
      </w:r>
    </w:p>
    <w:p>
      <w:pPr>
        <w:keepNext/>
        <w:spacing w:before="200" w:after="120"/>
      </w:pPr>
      <w:r>
        <w:rPr>
          <w:rFonts w:ascii="Times New Roman" w:hAnsi="Times New Roman" w:eastAsia="黑体"/>
          <w:b/>
          <w:sz w:val="26"/>
        </w:rPr>
        <w:t>3.5  分析流程的数值可靠性</w:t>
      </w:r>
    </w:p>
    <w:p>
      <w:pPr>
        <w:spacing w:after="120" w:before="0" w:line="384" w:lineRule="auto"/>
        <w:ind w:firstLine="420"/>
        <w:jc w:val="both"/>
      </w:pPr>
      <w:r>
        <w:rPr>
          <w:rFonts w:ascii="Times New Roman" w:hAnsi="Times New Roman" w:eastAsia="宋体"/>
          <w:b w:val="0"/>
          <w:i w:val="0"/>
          <w:sz w:val="21"/>
        </w:rPr>
        <w:t>将本研究的独立实现与第三方使用 R 版 limma 得到的结果比对，在 17,239 个可对齐基因中，99.79% 的 log2FC 值精确到小数点后 9 位完全一致（Pearson r=0.9986），moderated t 统计量相关系数为 0.9956，P 值最小的前 50 个基因重叠 42 个。少数不一致条目经核查源于探针到基因的映射歧义，而非统计计算差异。</w:t>
      </w:r>
    </w:p>
    <w:p>
      <w:pPr>
        <w:keepNext/>
        <w:spacing w:before="280" w:after="120"/>
      </w:pPr>
      <w:r>
        <w:rPr>
          <w:rFonts w:ascii="Times New Roman" w:hAnsi="Times New Roman" w:eastAsia="黑体"/>
          <w:b/>
          <w:sz w:val="32"/>
        </w:rPr>
        <w:t>4  讨论</w:t>
      </w:r>
    </w:p>
    <w:p>
      <w:pPr>
        <w:spacing w:after="120" w:before="0" w:line="384" w:lineRule="auto"/>
        <w:ind w:firstLine="420"/>
        <w:jc w:val="both"/>
      </w:pPr>
      <w:r>
        <w:rPr>
          <w:rFonts w:ascii="Times New Roman" w:hAnsi="Times New Roman" w:eastAsia="宋体"/>
          <w:b w:val="0"/>
          <w:i w:val="0"/>
          <w:sz w:val="21"/>
        </w:rPr>
        <w:t>本再分析的核心观察是：维罗非尼对 A375 细胞的转录效应并非分散的基因层面波动，而是两个功能模块的整体关闭——ERK 依赖的转录输出与 G2/M 细胞周期程序。两个基因集均呈现集合内全部成员落入富集前沿的模式（15/15 与 11/11），这种一致性在通路水平上比单个基因的显著性更具解释力。DUSP6、SPRY2、SPRY4 作为 ERK 活性的负反馈元件，其表达本身即是通路活性的读数，它们的同步下调直接反映了靶点被有效抑制。</w:t>
      </w:r>
    </w:p>
    <w:p>
      <w:pPr>
        <w:spacing w:after="120" w:before="0" w:line="384" w:lineRule="auto"/>
        <w:ind w:firstLine="420"/>
        <w:jc w:val="both"/>
      </w:pPr>
      <w:r>
        <w:rPr>
          <w:rFonts w:ascii="Times New Roman" w:hAnsi="Times New Roman" w:eastAsia="宋体"/>
          <w:b w:val="0"/>
          <w:i w:val="0"/>
          <w:sz w:val="21"/>
        </w:rPr>
        <w:t>上调端以 CD36 的 55 倍变化最为突出。CD36 编码脂肪酸转位酶，其在 BRAF 抑制背景下的显著上调提示细胞可能发生代谢重编程，这与原始研究关注糖酵解调控网络的方向一致。需要强调的是，本工作仅提供转录水平的关联证据，代谢通量的实际改变需要功能实验验证，本数据无法回答。</w:t>
      </w:r>
    </w:p>
    <w:p>
      <w:pPr>
        <w:spacing w:after="120" w:before="0" w:line="384" w:lineRule="auto"/>
        <w:ind w:firstLine="420"/>
        <w:jc w:val="both"/>
      </w:pPr>
      <w:r>
        <w:rPr>
          <w:rFonts w:ascii="Times New Roman" w:hAnsi="Times New Roman" w:eastAsia="宋体"/>
          <w:b w:val="0"/>
          <w:i w:val="0"/>
          <w:sz w:val="21"/>
        </w:rPr>
        <w:t>对于黑色素细胞分化信号，我们采取了保守解读。尽管该基因集的 FDR 达到显著，但其富集前沿仅由 DCT 与 MITF 构成，集合内多数经典标志物未见变化。以两个基因支撑“分化状态转变”的结论会超出证据允许的范围。这一情形也说明：GSEA 的 FDR 值应与前沿基因占比联合解读，小集合中少数强效应基因足以产生统计显著但生物学解释有限的结果。</w:t>
      </w:r>
    </w:p>
    <w:p>
      <w:pPr>
        <w:keepNext/>
        <w:spacing w:before="200" w:after="120"/>
      </w:pPr>
      <w:r>
        <w:rPr>
          <w:rFonts w:ascii="Times New Roman" w:hAnsi="Times New Roman" w:eastAsia="黑体"/>
          <w:b/>
          <w:sz w:val="26"/>
        </w:rPr>
        <w:t>4.1  局限性</w:t>
      </w:r>
    </w:p>
    <w:p>
      <w:pPr>
        <w:pStyle w:val="ListBullet"/>
        <w:spacing w:after="60"/>
        <w:ind w:left="425"/>
      </w:pPr>
      <w:r>
        <w:rPr>
          <w:rFonts w:ascii="Times New Roman" w:hAnsi="Times New Roman" w:eastAsia="宋体"/>
          <w:sz w:val="20"/>
        </w:rPr>
        <w:t>每组仅 3 个生物学重复。Schurch 等（2016）的评测表明该样本量下各类工具普遍漏检 20–40% 的真阳性，故本文报告的差异基因数量为保守估计。</w:t>
      </w:r>
    </w:p>
    <w:p>
      <w:pPr>
        <w:pStyle w:val="ListBullet"/>
        <w:spacing w:after="60"/>
        <w:ind w:left="425"/>
      </w:pPr>
      <w:r>
        <w:rPr>
          <w:rFonts w:ascii="Times New Roman" w:hAnsi="Times New Roman" w:eastAsia="宋体"/>
          <w:sz w:val="20"/>
        </w:rPr>
        <w:t>单一细胞系、单一时间点、单一剂量。结论不能外推至其他 BRAF 突变细胞系、长期给药或耐药状态。</w:t>
      </w:r>
    </w:p>
    <w:p>
      <w:pPr>
        <w:pStyle w:val="ListBullet"/>
        <w:spacing w:after="60"/>
        <w:ind w:left="425"/>
      </w:pPr>
      <w:r>
        <w:rPr>
          <w:rFonts w:ascii="Times New Roman" w:hAnsi="Times New Roman" w:eastAsia="宋体"/>
          <w:sz w:val="20"/>
        </w:rPr>
        <w:t>GPL6244 为转录本簇水平芯片，无法进行可变剪接分析；芯片信号为相对量，不同探针间的绝对强度不可直接比较。</w:t>
      </w:r>
    </w:p>
    <w:p>
      <w:pPr>
        <w:pStyle w:val="ListBullet"/>
        <w:spacing w:after="60"/>
        <w:ind w:left="425"/>
      </w:pPr>
      <w:r>
        <w:rPr>
          <w:rFonts w:ascii="Times New Roman" w:hAnsi="Times New Roman" w:eastAsia="宋体"/>
          <w:sz w:val="20"/>
        </w:rPr>
        <w:t>全部证据均在转录水平。蛋白丰度、磷酸化状态与代谢通量的变化未经检测。</w:t>
      </w:r>
    </w:p>
    <w:p>
      <w:pPr>
        <w:pStyle w:val="ListBullet"/>
        <w:spacing w:after="60"/>
        <w:ind w:left="425"/>
      </w:pPr>
      <w:r>
        <w:rPr>
          <w:rFonts w:ascii="Times New Roman" w:hAnsi="Times New Roman" w:eastAsia="宋体"/>
          <w:sz w:val="20"/>
        </w:rPr>
        <w:t>本研究为公开数据再分析，未产生新的实验数据，不报告新的生物学机制。</w:t>
      </w:r>
    </w:p>
    <w:p>
      <w:pPr>
        <w:keepNext/>
        <w:spacing w:before="200" w:after="120"/>
      </w:pPr>
      <w:r>
        <w:rPr>
          <w:rFonts w:ascii="Times New Roman" w:hAnsi="Times New Roman" w:eastAsia="黑体"/>
          <w:b/>
          <w:sz w:val="26"/>
        </w:rPr>
        <w:t>4.2  结论</w:t>
      </w:r>
    </w:p>
    <w:p>
      <w:pPr>
        <w:spacing w:after="120" w:before="0" w:line="384" w:lineRule="auto"/>
        <w:ind w:firstLine="420"/>
        <w:jc w:val="both"/>
      </w:pPr>
      <w:r>
        <w:rPr>
          <w:rFonts w:ascii="Times New Roman" w:hAnsi="Times New Roman" w:eastAsia="宋体"/>
          <w:b w:val="0"/>
          <w:i w:val="0"/>
          <w:sz w:val="21"/>
        </w:rPr>
        <w:t>维罗非尼处理 BRAF-V600E 黑色素瘤细胞导致 MAPK/ERK 转录输出与 G2/M 细胞周期程序的协同下调，两个模块均表现为集合内全部成员一致改变。该结果在完全独立的分析实现下稳健重现，与参考实现的数值一致性达到 99.79%。本研究同时提供了一套开源、参数透明、带生物学阳性对照的芯片分析流程，可作为同类数据分析的复现基准。</w:t>
      </w:r>
    </w:p>
    <w:p>
      <w:pPr>
        <w:keepNext/>
        <w:spacing w:before="280" w:after="120"/>
      </w:pPr>
      <w:r>
        <w:rPr>
          <w:rFonts w:ascii="Times New Roman" w:hAnsi="Times New Roman" w:eastAsia="黑体"/>
          <w:b/>
          <w:sz w:val="32"/>
        </w:rPr>
        <w:t>5  声明</w:t>
      </w:r>
    </w:p>
    <w:p>
      <w:pPr>
        <w:keepNext/>
        <w:spacing w:before="200" w:after="120"/>
      </w:pPr>
      <w:r>
        <w:rPr>
          <w:rFonts w:ascii="Times New Roman" w:hAnsi="Times New Roman" w:eastAsia="黑体"/>
          <w:b/>
          <w:sz w:val="23"/>
        </w:rPr>
        <w:t>数据可获取性</w:t>
      </w:r>
    </w:p>
    <w:p>
      <w:pPr>
        <w:spacing w:after="120" w:before="0"/>
        <w:ind w:firstLine="420"/>
      </w:pPr>
      <w:r>
        <w:rPr>
          <w:rFonts w:ascii="Times New Roman" w:hAnsi="Times New Roman" w:eastAsia="宋体"/>
          <w:b w:val="0"/>
          <w:i w:val="0"/>
          <w:sz w:val="20"/>
        </w:rPr>
        <w:t>本研究使用的数据集可自 NCBI GEO 以登录号 GSE42872 公开获取（https://www.ncbi.nlm.nih.gov/geo/query/acc.cgi?acc=GSE42872）。分析代码、参数配置与全部中间结果已开源。</w:t>
      </w:r>
    </w:p>
    <w:p>
      <w:pPr>
        <w:keepNext/>
        <w:spacing w:before="200" w:after="120"/>
      </w:pPr>
      <w:r>
        <w:rPr>
          <w:rFonts w:ascii="Times New Roman" w:hAnsi="Times New Roman" w:eastAsia="黑体"/>
          <w:b/>
          <w:sz w:val="23"/>
        </w:rPr>
        <w:t>作者贡献</w:t>
      </w:r>
    </w:p>
    <w:p>
      <w:pPr>
        <w:spacing w:after="120" w:before="0"/>
        <w:ind w:firstLine="420"/>
      </w:pPr>
      <w:r>
        <w:rPr>
          <w:rFonts w:ascii="Times New Roman" w:hAnsi="Times New Roman" w:eastAsia="宋体"/>
          <w:b w:val="0"/>
          <w:i/>
          <w:sz w:val="20"/>
        </w:rPr>
        <w:t>［按实际情况填写：研究设计、数据分析、论文撰写等分工］</w:t>
      </w:r>
    </w:p>
    <w:p>
      <w:pPr>
        <w:keepNext/>
        <w:spacing w:before="200" w:after="120"/>
      </w:pPr>
      <w:r>
        <w:rPr>
          <w:rFonts w:ascii="Times New Roman" w:hAnsi="Times New Roman" w:eastAsia="黑体"/>
          <w:b/>
          <w:sz w:val="23"/>
        </w:rPr>
        <w:t>利益冲突</w:t>
      </w:r>
    </w:p>
    <w:p>
      <w:pPr>
        <w:spacing w:after="120" w:before="0"/>
        <w:ind w:firstLine="420"/>
      </w:pPr>
      <w:r>
        <w:rPr>
          <w:rFonts w:ascii="Times New Roman" w:hAnsi="Times New Roman" w:eastAsia="宋体"/>
          <w:b w:val="0"/>
          <w:i w:val="0"/>
          <w:sz w:val="20"/>
        </w:rPr>
        <w:t>作者声明无利益冲突。</w:t>
      </w:r>
    </w:p>
    <w:p>
      <w:pPr>
        <w:keepNext/>
        <w:spacing w:before="200" w:after="120"/>
      </w:pPr>
      <w:r>
        <w:rPr>
          <w:rFonts w:ascii="Times New Roman" w:hAnsi="Times New Roman" w:eastAsia="黑体"/>
          <w:b/>
          <w:sz w:val="23"/>
        </w:rPr>
        <w:t>基金资助</w:t>
      </w:r>
    </w:p>
    <w:p>
      <w:pPr>
        <w:spacing w:after="120" w:before="0"/>
        <w:ind w:firstLine="420"/>
      </w:pPr>
      <w:r>
        <w:rPr>
          <w:rFonts w:ascii="Times New Roman" w:hAnsi="Times New Roman" w:eastAsia="宋体"/>
          <w:b w:val="0"/>
          <w:i/>
          <w:sz w:val="20"/>
        </w:rPr>
        <w:t>［填写基金编号，若无可写：本研究未获得专项经费资助］</w:t>
      </w:r>
    </w:p>
    <w:p>
      <w:pPr>
        <w:keepNext/>
        <w:spacing w:before="280" w:after="120"/>
      </w:pPr>
      <w:r>
        <w:rPr>
          <w:rFonts w:ascii="Times New Roman" w:hAnsi="Times New Roman" w:eastAsia="黑体"/>
          <w:b/>
          <w:sz w:val="32"/>
        </w:rPr>
        <w:t>参考文献</w:t>
      </w:r>
    </w:p>
    <w:p>
      <w:pPr>
        <w:spacing w:after="80" w:before="0"/>
        <w:ind w:left="510" w:hanging="510"/>
        <w:jc w:val="both"/>
      </w:pPr>
      <w:r>
        <w:rPr>
          <w:rFonts w:ascii="Times New Roman" w:hAnsi="Times New Roman" w:eastAsia="宋体"/>
          <w:b w:val="0"/>
          <w:i w:val="0"/>
          <w:sz w:val="19"/>
        </w:rPr>
        <w:t>[1]  Davies H, Bignell GR, Cox C, et al. Mutations of the BRAF gene in human cancer. Nature. 2002;417(6892):949-954.</w:t>
      </w:r>
    </w:p>
    <w:p>
      <w:pPr>
        <w:spacing w:after="80" w:before="0"/>
        <w:ind w:left="510" w:hanging="510"/>
        <w:jc w:val="both"/>
      </w:pPr>
      <w:r>
        <w:rPr>
          <w:rFonts w:ascii="Times New Roman" w:hAnsi="Times New Roman" w:eastAsia="宋体"/>
          <w:b w:val="0"/>
          <w:i w:val="0"/>
          <w:sz w:val="19"/>
        </w:rPr>
        <w:t>[2]  Chapman PB, Hauschild A, Robert C, et al. Improved survival with vemurafenib in melanoma with BRAF V600E mutation. N Engl J Med. 2011;364(26):2507-2516.</w:t>
      </w:r>
    </w:p>
    <w:p>
      <w:pPr>
        <w:spacing w:after="80" w:before="0"/>
        <w:ind w:left="510" w:hanging="510"/>
        <w:jc w:val="both"/>
      </w:pPr>
      <w:r>
        <w:rPr>
          <w:rFonts w:ascii="Times New Roman" w:hAnsi="Times New Roman" w:eastAsia="宋体"/>
          <w:b w:val="0"/>
          <w:i w:val="0"/>
          <w:sz w:val="19"/>
        </w:rPr>
        <w:t>[3]  Parmenter TJ, Kleinschmidt M, Kinross KM, et al. Response of BRAF-mutant melanoma to BRAF inhibition is mediated by a network of transcriptional regulators of glycolysis. Cancer Discov. 2014;4(4):423-433.</w:t>
      </w:r>
    </w:p>
    <w:p>
      <w:pPr>
        <w:spacing w:after="80" w:before="0"/>
        <w:ind w:left="510" w:hanging="510"/>
        <w:jc w:val="both"/>
      </w:pPr>
      <w:r>
        <w:rPr>
          <w:rFonts w:ascii="Times New Roman" w:hAnsi="Times New Roman" w:eastAsia="宋体"/>
          <w:b w:val="0"/>
          <w:i w:val="0"/>
          <w:sz w:val="19"/>
        </w:rPr>
        <w:t>[4]  Pratilas CA, Taylor BS, Ye Q, et al. V600E BRAF is associated with disabled feedback inhibition of RAF-MEK signaling and elevated transcriptional output of the pathway. Proc Natl Acad Sci USA. 2009;106(11):4519-4524.</w:t>
      </w:r>
    </w:p>
    <w:p>
      <w:pPr>
        <w:spacing w:after="80" w:before="0"/>
        <w:ind w:left="510" w:hanging="510"/>
        <w:jc w:val="both"/>
      </w:pPr>
      <w:r>
        <w:rPr>
          <w:rFonts w:ascii="Times New Roman" w:hAnsi="Times New Roman" w:eastAsia="宋体"/>
          <w:b w:val="0"/>
          <w:i w:val="0"/>
          <w:sz w:val="19"/>
        </w:rPr>
        <w:t>[5]  Smyth GK. Linear models and empirical Bayes methods for assessing differential expression in microarray experiments. Stat Appl Genet Mol Biol. 2004;3:Article3.</w:t>
      </w:r>
    </w:p>
    <w:p>
      <w:pPr>
        <w:spacing w:after="80" w:before="0"/>
        <w:ind w:left="510" w:hanging="510"/>
        <w:jc w:val="both"/>
      </w:pPr>
      <w:r>
        <w:rPr>
          <w:rFonts w:ascii="Times New Roman" w:hAnsi="Times New Roman" w:eastAsia="宋体"/>
          <w:b w:val="0"/>
          <w:i w:val="0"/>
          <w:sz w:val="19"/>
        </w:rPr>
        <w:t>[6]  Ritchie ME, Phipson B, Wu D, et al. limma powers differential expression analyses for RNA-sequencing and microarray studies. Nucleic Acids Res. 2015;43(7):e47.</w:t>
      </w:r>
    </w:p>
    <w:p>
      <w:pPr>
        <w:spacing w:after="80" w:before="0"/>
        <w:ind w:left="510" w:hanging="510"/>
        <w:jc w:val="both"/>
      </w:pPr>
      <w:r>
        <w:rPr>
          <w:rFonts w:ascii="Times New Roman" w:hAnsi="Times New Roman" w:eastAsia="宋体"/>
          <w:b w:val="0"/>
          <w:i w:val="0"/>
          <w:sz w:val="19"/>
        </w:rPr>
        <w:t>[7]  Irizarry RA, Hobbs B, Collin F, et al. Exploration, normalization, and summaries of high density oligonucleotide array probe level data. Biostatistics. 2003;4(2):249-264.</w:t>
      </w:r>
    </w:p>
    <w:p>
      <w:pPr>
        <w:spacing w:after="80" w:before="0"/>
        <w:ind w:left="510" w:hanging="510"/>
        <w:jc w:val="both"/>
      </w:pPr>
      <w:r>
        <w:rPr>
          <w:rFonts w:ascii="Times New Roman" w:hAnsi="Times New Roman" w:eastAsia="宋体"/>
          <w:b w:val="0"/>
          <w:i w:val="0"/>
          <w:sz w:val="19"/>
        </w:rPr>
        <w:t>[8]  Benjamini Y, Hochberg Y. Controlling the false discovery rate: a practical and powerful approach to multiple testing. J R Stat Soc Series B. 1995;57(1):289-300.</w:t>
      </w:r>
    </w:p>
    <w:p>
      <w:pPr>
        <w:spacing w:after="80" w:before="0"/>
        <w:ind w:left="510" w:hanging="510"/>
        <w:jc w:val="both"/>
      </w:pPr>
      <w:r>
        <w:rPr>
          <w:rFonts w:ascii="Times New Roman" w:hAnsi="Times New Roman" w:eastAsia="宋体"/>
          <w:b w:val="0"/>
          <w:i w:val="0"/>
          <w:sz w:val="19"/>
        </w:rPr>
        <w:t>[9]  Subramanian A, Tamayo P, Mootha VK, et al. Gene set enrichment analysis: a knowledge-based approach for interpreting genome-wide expression profiles. Proc Natl Acad Sci USA. 2005;102(43):15545-15550.</w:t>
      </w:r>
    </w:p>
    <w:p>
      <w:pPr>
        <w:spacing w:after="80" w:before="0"/>
        <w:ind w:left="510" w:hanging="510"/>
        <w:jc w:val="both"/>
      </w:pPr>
      <w:r>
        <w:rPr>
          <w:rFonts w:ascii="Times New Roman" w:hAnsi="Times New Roman" w:eastAsia="宋体"/>
          <w:b w:val="0"/>
          <w:i w:val="0"/>
          <w:sz w:val="19"/>
        </w:rPr>
        <w:t>[10]  Korotkevich G, Sukhov V, Budin N, et al. Fast gene set enrichment analysis. bioRxiv. 2021;060012.</w:t>
      </w:r>
    </w:p>
    <w:p>
      <w:pPr>
        <w:spacing w:after="80" w:before="0"/>
        <w:ind w:left="510" w:hanging="510"/>
        <w:jc w:val="both"/>
      </w:pPr>
      <w:r>
        <w:rPr>
          <w:rFonts w:ascii="Times New Roman" w:hAnsi="Times New Roman" w:eastAsia="宋体"/>
          <w:b w:val="0"/>
          <w:i w:val="0"/>
          <w:sz w:val="19"/>
        </w:rPr>
        <w:t>[11]  Schurch NJ, Schofield P, Gierlinski M, et al. How many biological replicates are needed in an RNA-seq experiment and which differential expression tool should you use? RNA. 2016;22(6):839-851.</w:t>
      </w:r>
    </w:p>
    <w:p>
      <w:pPr>
        <w:spacing w:after="80" w:before="0"/>
        <w:ind w:left="510" w:hanging="510"/>
        <w:jc w:val="both"/>
      </w:pPr>
      <w:r>
        <w:rPr>
          <w:rFonts w:ascii="Times New Roman" w:hAnsi="Times New Roman" w:eastAsia="宋体"/>
          <w:b w:val="0"/>
          <w:i w:val="0"/>
          <w:sz w:val="19"/>
        </w:rPr>
        <w:t>[12]  Barretina J, Caponigro G, Stransky N, et al. The Cancer Cell Line Encyclopedia enables predictive modelling of anticancer drug sensitivity. Nature. 2012;483(7391):603-607.</w:t>
      </w:r>
    </w:p>
    <w:sectPr w:rsidR="00FC693F" w:rsidRPr="0006063C" w:rsidSect="00034616">
      <w:footerReference w:type="default" r:id="rId9"/>
      <w:pgSz w:w="12240" w:h="15840"/>
      <w:pgMar w:top="1417" w:right="1191" w:bottom="141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18"/>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