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1400"/>
        <w:jc w:val="center"/>
      </w:pPr>
      <w:r>
        <w:rPr>
          <w:rFonts w:ascii="Times New Roman" w:hAnsi="Times New Roman" w:eastAsia="黑体"/>
          <w:b/>
          <w:i w:val="0"/>
          <w:sz w:val="44"/>
        </w:rPr>
        <w:t>单细胞 RNA-seq 聚类基准分析</w:t>
      </w:r>
    </w:p>
    <w:p>
      <w:pPr>
        <w:spacing w:after="520" w:before="0"/>
        <w:jc w:val="center"/>
      </w:pPr>
      <w:r>
        <w:rPr>
          <w:rFonts w:ascii="Times New Roman" w:hAnsi="Times New Roman" w:eastAsia="黑体"/>
          <w:b w:val="0"/>
          <w:i w:val="0"/>
          <w:sz w:val="32"/>
        </w:rPr>
        <w:t>代码与方法文档</w:t>
      </w:r>
    </w:p>
    <w:p>
      <w:pPr>
        <w:spacing w:after="880" w:before="0"/>
        <w:jc w:val="center"/>
      </w:pPr>
      <w:r>
        <w:rPr>
          <w:rFonts w:ascii="Times New Roman" w:hAnsi="Times New Roman" w:eastAsia="宋体"/>
          <w:b w:val="0"/>
          <w:i w:val="0"/>
          <w:sz w:val="22"/>
        </w:rPr>
        <w:t>GSE118767 / sc_mixology — 基于 demuxlet 金标准的doublet 检测与聚类分辨率客观评估</w:t>
      </w:r>
    </w:p>
    <w:p>
      <w:pPr>
        <w:spacing w:after="80" w:before="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生成日期：2026-07-26</w:t>
      </w:r>
    </w:p>
    <w:p>
      <w:pPr>
        <w:spacing w:after="120" w:before="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分析流程构建于 bioSkills</w:t>
      </w:r>
    </w:p>
    <w:p>
      <w:r>
        <w:br w:type="page"/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1  概述</w:t>
      </w: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本文档描述 10x Chromium 单细胞 RNA-seq 数据集 GSE118767 的完整分析流程。该数据集将五个人肺腺癌细胞系等比例混合后建库，每个细胞的真实归属由 demuxlet 依据 SNP 基因型独立判定。这一设计提供了**客观 ground truth**，使我们能够定量评估 doublet 检测与聚类分辨率选择这两个通常只能靠主观判断的环节。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1.1  数据集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2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项目</w:t>
            </w:r>
          </w:p>
        </w:tc>
        <w:tc>
          <w:tcPr>
            <w:tcW w:type="dxa" w:w="6576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GEO 编号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GSE118767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来源仓库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LuyiTian/sc_mixology (94★)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平台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10x Chromium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细胞系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A549, H838, H2228, HCC827, H1975（人肺腺癌）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原始规模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3,918 细胞 × 11,786 基因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数据形态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整数 UMI counts（scPipe 输出，最大值 2715）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Ground truth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demuxlet SNP 判定；含 96 个 doublet（2.45%）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内参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ERCC spike-in 8 个，线粒体基因 23 个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下载体积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约 14 MB（稀疏检出 2 个文件）</w:t>
            </w:r>
          </w:p>
        </w:tc>
      </w:tr>
    </w:tbl>
    <w:p>
      <w:pPr>
        <w:spacing w:after="80"/>
      </w:pP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1.2  为什么选这个数据集</w:t>
      </w: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常规单细胞分析中，聚类分辨率的选择缺乏客观依据——通常只能观察 UMAP 是否"看起来合理"，或依赖标记基因的事后解释。这一环节的主观性是单细胞分析可重复性问题的主要来源之一。本数据集的细胞身份来自 SNP 基因型，完全独立于表达量，因此可以用调整兰德指数（ARI）等外部指标直接量化"聚类结果与真实分组的一致程度"。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2  运行环境与依赖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conda create -n sc python=3.11 -y &amp;&amp; conda activate sc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pip install scanpy leidenalg igraph scikit-image scikit-learn python-docx</w:t>
      </w:r>
    </w:p>
    <w:p>
      <w:pPr>
        <w:spacing w:after="80"/>
      </w:pP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18"/>
        </w:rPr>
        <w:t>表 2-1  依赖清单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2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包</w:t>
            </w:r>
          </w:p>
        </w:tc>
        <w:tc>
          <w:tcPr>
            <w:tcW w:type="dxa" w:w="136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实测版本</w:t>
            </w:r>
          </w:p>
        </w:tc>
        <w:tc>
          <w:tcPr>
            <w:tcW w:type="dxa" w:w="3742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用途</w:t>
            </w:r>
          </w:p>
        </w:tc>
        <w:tc>
          <w:tcPr>
            <w:tcW w:type="dxa" w:w="907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必需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python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3.11</w:t>
            </w:r>
          </w:p>
        </w:tc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scanpy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1.11.5</w:t>
            </w:r>
          </w:p>
        </w:tc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单细胞分析主框架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anndata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0.12.19</w:t>
            </w:r>
          </w:p>
        </w:tc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数据容器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leidenalg / igraph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最新</w:t>
            </w:r>
          </w:p>
        </w:tc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Leiden 图聚类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scikit-learn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最新</w:t>
            </w:r>
          </w:p>
        </w:tc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ARI / NMI / AUROC / 轮廓系数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scikit-image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最新</w:t>
            </w:r>
          </w:p>
        </w:tc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Scrublet 自动阈值（大津法）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scipy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1.17.1</w:t>
            </w:r>
          </w:p>
        </w:tc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Mann-Whitney 检验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matplotlib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最新</w:t>
            </w:r>
          </w:p>
        </w:tc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绘图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pandas / numpy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2.3.3 / 2.4.6</w:t>
            </w:r>
          </w:p>
        </w:tc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数据处理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python-docx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1.2.0</w:t>
            </w:r>
          </w:p>
        </w:tc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生成本文档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可选</w:t>
            </w:r>
          </w:p>
        </w:tc>
      </w:tr>
    </w:tbl>
    <w:p>
      <w:pPr>
        <w:spacing w:after="80"/>
      </w:pPr>
    </w:p>
    <w:p>
      <w:pPr>
        <w:spacing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0"/>
        </w:rPr>
        <w:t>运行资源：峰值内存约 2 GB，全流程实测耗时约 2 分钟（不含下载）。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3  分析流程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01_fetch.sh              稀疏检出真实 counts（14MB，非整仓 377MB）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       ▼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02_qc_doublet.py         QC 指标 + Scrublet + 用 demuxlet 金标准评估性能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       ▼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03_cluster_benchmark.py  归一化 → HVG → PCA → 分辨率扫描（ARI/NMI）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                        → 亚群溯源 → 细胞周期回归对照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       ▼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04_markers.py            细胞系标记基因 + 亚群表征 + 深度诊断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       ▼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05_figures.py            8 张图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       ▼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06_make_docx.py          本文档 + 论文</w:t>
      </w:r>
    </w:p>
    <w:p>
      <w:pPr>
        <w:spacing w:after="80"/>
      </w:pPr>
    </w:p>
    <w:p>
      <w:pPr>
        <w:spacing w:after="60" w:before="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一键执行：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bash analysis/GSE118767/run_all.sh</w:t>
      </w:r>
    </w:p>
    <w:p>
      <w:pPr>
        <w:spacing w:after="80"/>
      </w:pP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3.1  质量控制</w:t>
      </w: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18"/>
        </w:rPr>
        <w:t>表 3-1  过滤前 QC 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指标</w:t>
            </w:r>
          </w:p>
        </w:tc>
        <w:tc>
          <w:tcPr>
            <w:tcW w:type="dxa" w:w="5102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数值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中位基因数/细胞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4437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中位 UMI/细胞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25171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中位线粒体比例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6.27%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中位 ERCC 比例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0.01%</w:t>
            </w:r>
          </w:p>
        </w:tc>
      </w:tr>
    </w:tbl>
    <w:p>
      <w:pPr>
        <w:spacing w:after="80"/>
      </w:pP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过滤标准：基因数 &gt; 500，线粒体比例 &lt; 20.0%，并移除 Scrublet 判定的 doublet；基因需在至少 3 个细胞中表达。ERCC spike-in 在下游分析中剔除，避免人工转录本影响高变基因选择。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3.2  Doublet 检测与基准评估</w:t>
      </w: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常规流程中 doublet 检测的效果无从检验。本数据集的 demuxlet 标签提供了金标准，使我们能给出定量性能：</w:t>
      </w: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18"/>
        </w:rPr>
        <w:t>表 3-2  Scrublet 性能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指标</w:t>
            </w:r>
          </w:p>
        </w:tc>
        <w:tc>
          <w:tcPr>
            <w:tcW w:type="dxa" w:w="192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数值</w:t>
            </w:r>
          </w:p>
        </w:tc>
        <w:tc>
          <w:tcPr>
            <w:tcW w:type="dxa" w:w="4762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AUROC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0.9143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整体判别能力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AUPRC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0.8198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随机基线仅 0.0245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默认阈值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0.170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Scrublet 大津法自动确定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预测阳性数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53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真实共 96 个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TP / FP / FN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53 / 0 / 43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精确率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1.000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预测为 doublet 的全部正确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召回率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0.552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但漏掉了近一半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F1 最优阈值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0.056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F1 可达 0.847</w:t>
            </w:r>
          </w:p>
        </w:tc>
      </w:tr>
    </w:tbl>
    <w:p>
      <w:pPr>
        <w:spacing w:after="80"/>
      </w:pP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0"/>
        </w:rPr>
        <w:t>结论：Scrublet 的排序能力很强（AUROC 0.914），但默认阈值明显偏保守——精确率 100% 的代价是召回率仅 55%。若研究目标是尽可能清除 doublet，应下调阈值；若目标是避免误删真实细胞，默认值是安全的。这一权衡在没有 ground truth 的常规数据中是看不见的。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3.3  降维与聚类</w:t>
      </w: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18"/>
        </w:rPr>
        <w:t>表 3-3  聚类参数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2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参数</w:t>
            </w:r>
          </w:p>
        </w:tc>
        <w:tc>
          <w:tcPr>
            <w:tcW w:type="dxa" w:w="260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取值</w:t>
            </w:r>
          </w:p>
        </w:tc>
        <w:tc>
          <w:tcPr>
            <w:tcW w:type="dxa" w:w="3969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依据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归一化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每细胞总量 1e4 + log1p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标准做法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高变基因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2000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常规范围 1000–3000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主成分数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30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累计解释 35.1% 方差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近邻数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15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scanpy 默认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聚类算法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Leiden (igraph flavor)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优于 Louvain，保证连通性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分辨率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0.03–1.0 共 10 档扫描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见基准结果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4  核心结果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4.1  分辨率基准</w:t>
      </w: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18"/>
        </w:rPr>
        <w:t>表 4-1  分辨率扫描（对照 demuxlet 真值）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分辨率</w:t>
            </w:r>
          </w:p>
        </w:tc>
        <w:tc>
          <w:tcPr>
            <w:tcW w:type="dxa" w:w="170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簇数</w:t>
            </w:r>
          </w:p>
        </w:tc>
        <w:tc>
          <w:tcPr>
            <w:tcW w:type="dxa" w:w="226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ARI</w:t>
            </w:r>
          </w:p>
        </w:tc>
        <w:tc>
          <w:tcPr>
            <w:tcW w:type="dxa" w:w="226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NMI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0.03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0.9995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0.9988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0.05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0.9995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0.9988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0.08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0.9995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0.9988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0.1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0.9995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0.9988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0.15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0.9262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0.9378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0.2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0.9262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0.9378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0.3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0.8268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0.8967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0.5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0.7591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0.8548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0.8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0.5868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0.7954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1.0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16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0.4670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0.7385</w:t>
            </w:r>
          </w:p>
        </w:tc>
      </w:tr>
    </w:tbl>
    <w:p>
      <w:pPr>
        <w:spacing w:after="80"/>
      </w:pP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最优分辨率 0.03 下得到 5 个簇，ARI = 0.9995，NMI = 0.9988，与五个细胞系近乎完美对应。ARI 随分辨率升高单调下降，印证了 bioSkills 聚类 skill 的判断：过聚类是默认失效模式，任何均质群体在更高分辨率下都会被继续切分。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234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esolution_swee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3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sz w:val="18"/>
        </w:rPr>
        <w:t>图 4-1  分辨率扫描。左：与真值的一致性；右：簇数变化。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4.2  细胞周期回归对照</w:t>
      </w: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S 期与 G2M 期打分做回归后重跑全流程，最优 ARI 为 0.9995，在 res=0.2 处 ΔARI = +0.0000。聚类结构几乎不受影响，说明本数据中细胞周期不是主要的结构驱动因素。这一步是必要的阴性对照：若不做，无法排除亚群只是细胞周期时相的反映。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4.3  亚群溯源：技术性还是生物学？</w:t>
      </w: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在略高的分辨率（0.2）下出现 7 个簇，其中 H838 与 H1975 各被拆为两个亚群。关键问题是：这是真实的转录异质性，还是技术伪影？我们比较了两个亚群的测序深度：</w:t>
      </w: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18"/>
        </w:rPr>
        <w:t>表 4-2  亚群深度诊断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134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细胞系</w:t>
            </w:r>
          </w:p>
        </w:tc>
        <w:tc>
          <w:tcPr>
            <w:tcW w:type="dxa" w:w="1474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亚群A 中位UMI</w:t>
            </w:r>
          </w:p>
        </w:tc>
        <w:tc>
          <w:tcPr>
            <w:tcW w:type="dxa" w:w="1474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亚群B 中位UMI</w:t>
            </w:r>
          </w:p>
        </w:tc>
        <w:tc>
          <w:tcPr>
            <w:tcW w:type="dxa" w:w="907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比值</w:t>
            </w:r>
          </w:p>
        </w:tc>
        <w:tc>
          <w:tcPr>
            <w:tcW w:type="dxa" w:w="136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Mann-Whitney p</w:t>
            </w:r>
          </w:p>
        </w:tc>
        <w:tc>
          <w:tcPr>
            <w:tcW w:type="dxa" w:w="2154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判定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H838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34777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13577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2.561×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0.0e+00</w:t>
            </w:r>
          </w:p>
        </w:tc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技术性：深度差异主导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H1975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29699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28308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1.049×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9.0e-02</w:t>
            </w:r>
          </w:p>
        </w:tc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生物学：深度相当，反映真实异质性</w:t>
            </w:r>
          </w:p>
        </w:tc>
      </w:tr>
    </w:tbl>
    <w:p>
      <w:pPr>
        <w:spacing w:after="80"/>
      </w:pP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0"/>
        </w:rPr>
        <w:t>两个亚群的性质完全不同：H838 的两个亚群测序深度相差 2.56 倍（p 值接近 0），该"亚群"实为文库深度造成的技术性分层；而 H1975 两个亚群深度仅差 1.05 倍（p = 0.09，不显著），属于真实的转录状态差异。若不做这一诊断，很容易把技术伪影误报为生物学发现。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908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subcluster_ori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90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sz w:val="18"/>
        </w:rPr>
        <w:t>图 4-2  亚群溯源。左侧为测序深度，右侧为细胞周期分数。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4.4  标记基因与生物学验证</w:t>
      </w: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细胞系标记基因的分组标签来自 demuxlet SNP 判定，独立于表达数据，因此不存在 double-dipping，p 值有效。已知特征基因核查如下：</w:t>
      </w: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18"/>
        </w:rPr>
        <w:t>表 4-3  已知标记基因平均表达（log-归一化）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36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基因</w:t>
            </w:r>
          </w:p>
        </w:tc>
        <w:tc>
          <w:tcPr>
            <w:tcW w:type="dxa" w:w="1417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A549</w:t>
            </w:r>
          </w:p>
        </w:tc>
        <w:tc>
          <w:tcPr>
            <w:tcW w:type="dxa" w:w="1417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H838</w:t>
            </w:r>
          </w:p>
        </w:tc>
        <w:tc>
          <w:tcPr>
            <w:tcW w:type="dxa" w:w="1417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H1975</w:t>
            </w:r>
          </w:p>
        </w:tc>
        <w:tc>
          <w:tcPr>
            <w:tcW w:type="dxa" w:w="1417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H2228</w:t>
            </w:r>
          </w:p>
        </w:tc>
        <w:tc>
          <w:tcPr>
            <w:tcW w:type="dxa" w:w="1417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HCC827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EGFR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0.20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0.11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0.35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0.40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1.81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KRT81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4.17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0.66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0.44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0.38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VIM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1.85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2.00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2.29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2.71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0.33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CDH1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0.06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0.01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0.26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0.10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0.51</w:t>
            </w:r>
          </w:p>
        </w:tc>
      </w:tr>
    </w:tbl>
    <w:p>
      <w:pPr>
        <w:spacing w:after="80"/>
      </w:pP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0"/>
        </w:rPr>
        <w:t>HCC827 的 EGFR 表达量显著高于其余四系，与该细胞系已知的 EGFR 基因扩增一致；A549 高表达 AKR1B10、ALDH1A1 与 KRT81；H838 特异表达 GAGE 家族癌睾抗原。这些均与文献记载的细胞系特征吻合，构成流程正确性的生物学佐证。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5  关于 double-dipping 的处理</w:t>
      </w: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bioSkills 的 single-cell/clustering skill 指出一个常被忽视的统计陷阱：聚类算法的优化目标就是最大化簇间差异，再对同一批数据上的这些簇做差异检验，等于用产生假设的数据检验该假设。所得 p 值不是偏高，而是**无效推断**。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分析</w:t>
            </w:r>
          </w:p>
        </w:tc>
        <w:tc>
          <w:tcPr>
            <w:tcW w:type="dxa" w:w="204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分组来源</w:t>
            </w:r>
          </w:p>
        </w:tc>
        <w:tc>
          <w:tcPr>
            <w:tcW w:type="dxa" w:w="170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p 值是否有效</w:t>
            </w:r>
          </w:p>
        </w:tc>
        <w:tc>
          <w:tcPr>
            <w:tcW w:type="dxa" w:w="272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本流程处理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细胞系标记基因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demuxlet SNP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有效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正常报告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亚群差异基因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聚类结果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无效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仅作描述，明确标注不可用于推断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6  输出文件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06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文件</w:t>
            </w:r>
          </w:p>
        </w:tc>
        <w:tc>
          <w:tcPr>
            <w:tcW w:type="dxa" w:w="5443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内容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qc_summary.json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QC 指标 + Scrublet 基准全部数值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cluster_summary.json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分辨率扫描、最优解、细胞周期对照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markers_summary.json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标记基因统计 + 亚群深度诊断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resolution_sweep_*.csv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分辨率扫描明细（标准 / 细胞周期回归）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confusion_*.csv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簇 × 真实细胞系列联表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markers_cell_line.csv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各细胞系标记基因（p 值有效）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markers_subcluster.csv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亚群差异基因（p 值仅描述）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adata_*.h5ad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各阶段 AnnData 对象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fig01–fig08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图件，PNG 300dpi + PDF 矢量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7  参数速查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参数</w:t>
            </w:r>
          </w:p>
        </w:tc>
        <w:tc>
          <w:tcPr>
            <w:tcW w:type="dxa" w:w="1247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当前值</w:t>
            </w:r>
          </w:p>
        </w:tc>
        <w:tc>
          <w:tcPr>
            <w:tcW w:type="dxa" w:w="260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位置</w:t>
            </w:r>
          </w:p>
        </w:tc>
        <w:tc>
          <w:tcPr>
            <w:tcW w:type="dxa" w:w="260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调整建议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min_genes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02_qc_doublet.py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低质量样本可降至 200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max_mt_pct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20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02_qc_doublet.py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组织样本常用 10–20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expected_doublet_rate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0.025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02_qc_doublet.py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按 10x 载入细胞数估算，约 0.8%/1000 细胞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n_top_genes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2000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03_cluster_benchmark.py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1000–3000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n_pcs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30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03_cluster_benchmark.py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看肘部图或方差累计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n_neighbors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15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03_cluster_benchmark.py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细胞数多可增至 30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resolutions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0.03–1.0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03_cluster_benchmark.py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有真值时扫描取最优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8  复现步骤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git clone -b arena/019f9c4c-bioskills https://github.com/mqgg5630-cyber/bioSkills.git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cd bioSkills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conda create -n sc python=3.11 -y &amp;&amp; conda activate sc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pip install scanpy leidenalg igraph scikit-image scikit-learn python-docx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bash analysis/GSE118767/run_all.sh</w:t>
      </w:r>
    </w:p>
    <w:p>
      <w:pPr>
        <w:spacing w:after="80"/>
      </w:pP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9  参考文献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[1]  Tian L, Dong X, Freytag S, et al. Benchmarking single cell RNA-sequencing analysis pipelines using mixture control experiments. Nat Methods. 2019;16(6):479-487.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[2]  Traag VA, Waltman L, van Eck NJ. From Louvain to Leiden: guaranteeing well-connected communities. Sci Rep. 2019;9:5233.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[3]  Wolf FA, Angerer P, Theis FJ. SCANPY: large-scale single-cell gene expression data analysis. Genome Biol. 2018;19:15.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[4]  Wolock SL, Lopez R, Klein AM. Scrublet: computational identification of cell doublets in single-cell transcriptomic data. Cell Syst. 2019;8(4):281-291.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[5]  Kang HM, Subramaniam M, Targ S, et al. Multiplexed droplet single-cell RNA-sequencing using natural genetic variation. Nat Biotechnol. 2018;36(1):89-94.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[6]  Tirosh I, Izar B, Prakadan SM, et al. Dissecting the multicellular ecosystem of metastatic melanoma by single-cell RNA-seq. Science. 2016;352(6282):189-196.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[7]  Chari T, Pachter L. The specious art of single-cell genomics. PLoS Comput Biol. 2023;19(8):e1011288.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[8]  Hubert L, Arabie P. Comparing partitions. J Classif. 1985;2:193-218.</w:t>
      </w:r>
    </w:p>
    <w:sectPr w:rsidR="00FC693F" w:rsidRPr="0006063C" w:rsidSect="00034616">
      <w:footerReference w:type="default" r:id="rId9"/>
      <w:pgSz w:w="12240" w:h="15840"/>
      <w:pgMar w:top="1361" w:right="1134" w:bottom="136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rPr>
          <w:sz w:val="18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