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920"/>
        <w:jc w:val="center"/>
      </w:pPr>
      <w:r>
        <w:rPr>
          <w:rFonts w:ascii="Times New Roman" w:hAnsi="Times New Roman" w:eastAsia="黑体"/>
          <w:b/>
          <w:i w:val="0"/>
          <w:sz w:val="34"/>
        </w:rPr>
        <w:t>利用基因型金标准评估单细胞转录组聚类流程：doublet 检测阈值与分辨率选择的定量基准</w:t>
      </w:r>
    </w:p>
    <w:p>
      <w:pPr>
        <w:spacing w:after="80" w:before="0"/>
        <w:jc w:val="center"/>
      </w:pPr>
      <w:r>
        <w:rPr>
          <w:rFonts w:ascii="Times New Roman" w:hAnsi="Times New Roman" w:eastAsia="宋体"/>
          <w:b w:val="0"/>
          <w:i w:val="0"/>
          <w:sz w:val="22"/>
        </w:rPr>
        <w:t>作者姓名 ¹</w:t>
      </w:r>
    </w:p>
    <w:p>
      <w:pPr>
        <w:spacing w:after="80" w:before="0"/>
        <w:jc w:val="center"/>
      </w:pPr>
      <w:r>
        <w:rPr>
          <w:rFonts w:ascii="Times New Roman" w:hAnsi="Times New Roman" w:eastAsia="宋体"/>
          <w:b w:val="0"/>
          <w:i w:val="0"/>
          <w:sz w:val="20"/>
        </w:rPr>
        <w:t>¹ 单位名称，城市，邮编</w:t>
      </w:r>
    </w:p>
    <w:p>
      <w:pPr>
        <w:spacing w:after="480" w:before="0"/>
        <w:jc w:val="center"/>
      </w:pPr>
      <w:r>
        <w:rPr>
          <w:rFonts w:ascii="Times New Roman" w:hAnsi="Times New Roman" w:eastAsia="宋体"/>
          <w:b w:val="0"/>
          <w:i w:val="0"/>
          <w:sz w:val="20"/>
        </w:rPr>
        <w:t>通讯作者：email@institution.edu</w:t>
      </w:r>
    </w:p>
    <w:p>
      <w:pPr>
        <w:spacing w:after="120" w:before="0"/>
      </w:pPr>
      <w:r>
        <w:rPr>
          <w:rFonts w:ascii="Times New Roman" w:hAnsi="Times New Roman" w:eastAsia="黑体"/>
          <w:b/>
          <w:i w:val="0"/>
          <w:sz w:val="26"/>
        </w:rPr>
        <w:t>摘要</w:t>
      </w:r>
    </w:p>
    <w:p>
      <w:pPr>
        <w:spacing w:after="120" w:before="0" w:line="360" w:lineRule="auto"/>
        <w:jc w:val="both"/>
      </w:pPr>
      <w:r>
        <w:rPr>
          <w:rFonts w:ascii="Times New Roman" w:hAnsi="Times New Roman" w:eastAsia="宋体"/>
          <w:b w:val="0"/>
          <w:i w:val="0"/>
          <w:sz w:val="21"/>
        </w:rPr>
        <w:t>【背景】单细胞转录组分析中，doublet 过滤阈值与聚类分辨率的选择长期缺乏客观依据，通常依赖经验或对降维图的主观判断，这是该领域可重复性问题的重要来源。细胞系混合实验通过基因型解析提供了独立于表达量的细胞身份标签，为量化评估这些环节创造了条件。【方法】分析 GSE118767 数据集（10x Chromium，五个人肺腺癌细胞系等比例混合，3,918 个细胞），以 demuxlet 基于 SNP 的判定为金标准。评估 Scrublet 的 doublet 检出性能（AUROC/AUPRC/精确率/召回率），以调整兰德指数（ARI）扫描 Leiden 分辨率，并通过细胞周期回归与测序深度诊断追溯亚群成因。【结果】Scrublet 的排序能力良好（AUROC=0.914，AUPRC=0.820，随机基线 0.025），但默认阈值偏保守：53 个预测全部正确（精确率 1.00），召回率仅 0.55，漏检 43 个真实 doublet；将阈值降至 0.056 可使 F1 由默认的 0.71 提升至 0.847。聚类方面，分辨率 0.03 时 ARI 达 0.9995（5 簇，与五个细胞系一一对应），ARI 随分辨率升高单调下降。细胞周期回归后 ΔARI=+0.0000，可排除细胞周期为亚群主因。进一步诊断显示，H838 的两个亚群测序深度相差 2.56 倍（p&lt;1e-300），属技术性分层；而 H1975 两个亚群深度相当（1.05 倍，p=0.09），反映真实转录异质性。【结论】doublet 检测的默认阈值以召回率为代价换取精确率，使用者应依研究目的调整；聚类分辨率在有金标准时可客观确定，而识别出的亚群必须经测序深度诊断方能区分技术伪影与生物学信号。</w:t>
      </w:r>
    </w:p>
    <w:p>
      <w:pPr>
        <w:spacing w:after="120" w:before="160"/>
      </w:pPr>
      <w:r>
        <w:rPr>
          <w:rFonts w:ascii="Times New Roman" w:hAnsi="Times New Roman" w:eastAsia="宋体"/>
          <w:b w:val="0"/>
          <w:i w:val="0"/>
          <w:sz w:val="20"/>
        </w:rPr>
        <w:t>关键词：单细胞 RNA 测序；doublet 检测；聚类分辨率；调整兰德指数；基准评估；批次效应诊断</w:t>
      </w:r>
    </w:p>
    <w:p>
      <w:r>
        <w:br w:type="page"/>
      </w:r>
    </w:p>
    <w:p>
      <w:pPr>
        <w:keepNext/>
        <w:spacing w:before="280" w:after="120"/>
      </w:pPr>
      <w:r>
        <w:rPr>
          <w:rFonts w:ascii="Times New Roman" w:hAnsi="Times New Roman" w:eastAsia="黑体"/>
          <w:b/>
          <w:sz w:val="32"/>
        </w:rPr>
        <w:t>1  引言</w:t>
      </w:r>
    </w:p>
    <w:p>
      <w:pPr>
        <w:spacing w:after="120" w:before="0" w:line="384" w:lineRule="auto"/>
        <w:ind w:firstLine="420"/>
        <w:jc w:val="both"/>
      </w:pPr>
      <w:r>
        <w:rPr>
          <w:rFonts w:ascii="Times New Roman" w:hAnsi="Times New Roman" w:eastAsia="宋体"/>
          <w:b w:val="0"/>
          <w:i w:val="0"/>
          <w:sz w:val="21"/>
        </w:rPr>
        <w:t>单细胞 RNA 测序已成为解析细胞异质性的常规手段，但其分析流程中存在若干缺乏客观标准的决策点。其中两个尤为关键：一是 doublet（同一液滴包裹两个及以上细胞）的判定阈值，二是图聚类的分辨率参数。前者决定了多少细胞被移除，后者直接决定报告多少个"细胞类型"。</w:t>
      </w:r>
    </w:p>
    <w:p>
      <w:pPr>
        <w:spacing w:after="120" w:before="0" w:line="384" w:lineRule="auto"/>
        <w:ind w:firstLine="420"/>
        <w:jc w:val="both"/>
      </w:pPr>
      <w:r>
        <w:rPr>
          <w:rFonts w:ascii="Times New Roman" w:hAnsi="Times New Roman" w:eastAsia="宋体"/>
          <w:b w:val="0"/>
          <w:i w:val="0"/>
          <w:sz w:val="21"/>
        </w:rPr>
        <w:t>这两个决策通常依赖经验值或对 UMAP 图的目视判断。然而降维图的距离与簇间间隔是非线性嵌入的产物，不具备度量意义；而分辨率参数本质上选择的是描述尺度，并不存在"正确"的簇数。更为隐蔽的问题是，聚类算法以最大化簇间差异为目标，若再对同一数据上的这些簇做差异表达检验，所得 p 值属于无效推断。这些因素共同构成了单细胞分析可重复性的隐患。</w:t>
      </w:r>
    </w:p>
    <w:p>
      <w:pPr>
        <w:spacing w:after="120" w:before="0" w:line="384" w:lineRule="auto"/>
        <w:ind w:firstLine="420"/>
        <w:jc w:val="both"/>
      </w:pPr>
      <w:r>
        <w:rPr>
          <w:rFonts w:ascii="Times New Roman" w:hAnsi="Times New Roman" w:eastAsia="宋体"/>
          <w:b w:val="0"/>
          <w:i w:val="0"/>
          <w:sz w:val="21"/>
        </w:rPr>
        <w:t>细胞系混合实验为此提供了解法。将多个基因型不同的细胞系混合建库后，可依据 SNP 反推每个细胞的来源，得到完全独立于表达量的身份标签。本研究利用这一设计，对 doublet 检测与聚类分辨率两个环节给出定量基准，并进一步检验一个实践中常见但少被系统讨论的问题：当分辨率提高时出现的亚群，究竟是真实的生物学状态，还是技术因素造成的假象。</w:t>
      </w:r>
    </w:p>
    <w:p>
      <w:pPr>
        <w:spacing w:after="120" w:before="0" w:line="384" w:lineRule="auto"/>
        <w:ind w:firstLine="420"/>
        <w:jc w:val="both"/>
      </w:pPr>
      <w:r>
        <w:rPr>
          <w:rFonts w:ascii="Times New Roman" w:hAnsi="Times New Roman" w:eastAsia="宋体"/>
          <w:b w:val="0"/>
          <w:i w:val="0"/>
          <w:sz w:val="21"/>
        </w:rPr>
        <w:t>需说明的是，本工作定位为方法学基准与流程验证，使用的是已公开发表的基准数据集，不报告新的细胞生物学发现。</w:t>
      </w:r>
    </w:p>
    <w:p>
      <w:pPr>
        <w:keepNext/>
        <w:spacing w:before="280" w:after="120"/>
      </w:pPr>
      <w:r>
        <w:rPr>
          <w:rFonts w:ascii="Times New Roman" w:hAnsi="Times New Roman" w:eastAsia="黑体"/>
          <w:b/>
          <w:sz w:val="32"/>
        </w:rPr>
        <w:t>2  材料与方法</w:t>
      </w:r>
    </w:p>
    <w:p>
      <w:pPr>
        <w:keepNext/>
        <w:spacing w:before="200" w:after="120"/>
      </w:pPr>
      <w:r>
        <w:rPr>
          <w:rFonts w:ascii="Times New Roman" w:hAnsi="Times New Roman" w:eastAsia="黑体"/>
          <w:b/>
          <w:sz w:val="26"/>
        </w:rPr>
        <w:t>2.1  数据集</w:t>
      </w:r>
    </w:p>
    <w:p>
      <w:pPr>
        <w:spacing w:after="120" w:before="0" w:line="384" w:lineRule="auto"/>
        <w:ind w:firstLine="420"/>
        <w:jc w:val="both"/>
      </w:pPr>
      <w:r>
        <w:rPr>
          <w:rFonts w:ascii="Times New Roman" w:hAnsi="Times New Roman" w:eastAsia="宋体"/>
          <w:b w:val="0"/>
          <w:i w:val="0"/>
          <w:sz w:val="21"/>
        </w:rPr>
        <w:t>数据取自 GEO 登录号 GSE118767。五个人肺腺癌细胞系（A549、H838、H2228、HCC827、H1975）分别培养后等比例混合，经 10x Chromium 平台建库测序，由 scPipe 生成 UMI 计数矩阵，共 3,918 个细胞、11,786 个基因，并含 8 个 ERCC spike-in 转录本。每个细胞的真实归属由 demuxlet 依据 SNP 基因型判定，其中 96 个（2.45%）被标记为 doublet。</w:t>
      </w:r>
    </w:p>
    <w:p>
      <w:pPr>
        <w:keepNext/>
        <w:spacing w:before="200" w:after="120"/>
      </w:pPr>
      <w:r>
        <w:rPr>
          <w:rFonts w:ascii="Times New Roman" w:hAnsi="Times New Roman" w:eastAsia="黑体"/>
          <w:b/>
          <w:sz w:val="26"/>
        </w:rPr>
        <w:t>2.2  质控与 doublet 检测</w:t>
      </w:r>
    </w:p>
    <w:p>
      <w:pPr>
        <w:spacing w:after="120" w:before="0" w:line="384" w:lineRule="auto"/>
        <w:ind w:firstLine="420"/>
        <w:jc w:val="both"/>
      </w:pPr>
      <w:r>
        <w:rPr>
          <w:rFonts w:ascii="Times New Roman" w:hAnsi="Times New Roman" w:eastAsia="宋体"/>
          <w:b w:val="0"/>
          <w:i w:val="0"/>
          <w:sz w:val="21"/>
        </w:rPr>
        <w:t>计算每细胞的检出基因数、UMI 总量、线粒体基因比例与 ERCC 比例。使用 Scrublet（预期 doublet 率设为 0.025，随机种子 0）计算 doublet 分数。以 demuxlet 标签为真值，计算 ROC 曲线下面积（AUROC）、精确率-召回率曲线下面积（AUPRC）及默认阈值下的混淆矩阵，并通过扫描阈值确定 F1 最优点。随后按基因数 &gt; 500、线粒体比例 &lt; 20% 并排除预测 doublet 进行过滤，保留 3,865 个细胞、11,778 个基因。</w:t>
      </w:r>
    </w:p>
    <w:p>
      <w:pPr>
        <w:keepNext/>
        <w:spacing w:before="200" w:after="120"/>
      </w:pPr>
      <w:r>
        <w:rPr>
          <w:rFonts w:ascii="Times New Roman" w:hAnsi="Times New Roman" w:eastAsia="黑体"/>
          <w:b/>
          <w:sz w:val="26"/>
        </w:rPr>
        <w:t>2.3  降维、聚类与基准</w:t>
      </w:r>
    </w:p>
    <w:p>
      <w:pPr>
        <w:spacing w:after="120" w:before="0" w:line="384" w:lineRule="auto"/>
        <w:ind w:firstLine="420"/>
        <w:jc w:val="both"/>
      </w:pPr>
      <w:r>
        <w:rPr>
          <w:rFonts w:ascii="Times New Roman" w:hAnsi="Times New Roman" w:eastAsia="宋体"/>
          <w:b w:val="0"/>
          <w:i w:val="0"/>
          <w:sz w:val="21"/>
        </w:rPr>
        <w:t>表达量按每细胞总计数 1×10⁴ 归一化后取 log1p，选取 2000 个高变基因，标准化后作主成分分析，取前 30 个主成分（累计解释 35.1% 方差）构建 15 近邻图。使用 Leiden 算法（igraph 实现）在 0.03 至 1.0 共 10 档分辨率下聚类，以调整兰德指数与标准化互信息衡量与真值的一致性。细胞周期依 Tirosh 等的基因集打分；为检验其影响，对 S 与 G2M 分数做回归后重复上述全部步骤作为对照。</w:t>
      </w:r>
    </w:p>
    <w:p>
      <w:pPr>
        <w:keepNext/>
        <w:spacing w:before="200" w:after="120"/>
      </w:pPr>
      <w:r>
        <w:rPr>
          <w:rFonts w:ascii="Times New Roman" w:hAnsi="Times New Roman" w:eastAsia="黑体"/>
          <w:b/>
          <w:sz w:val="26"/>
        </w:rPr>
        <w:t>2.4  差异表达与统计</w:t>
      </w:r>
    </w:p>
    <w:p>
      <w:pPr>
        <w:spacing w:after="120" w:before="0" w:line="384" w:lineRule="auto"/>
        <w:ind w:firstLine="420"/>
        <w:jc w:val="both"/>
      </w:pPr>
      <w:r>
        <w:rPr>
          <w:rFonts w:ascii="Times New Roman" w:hAnsi="Times New Roman" w:eastAsia="宋体"/>
          <w:b w:val="0"/>
          <w:i w:val="0"/>
          <w:sz w:val="21"/>
        </w:rPr>
        <w:t>细胞系间的标记基因以 Wilcoxon 秩和检验计算，分组标签来自 demuxlet，独立于表达数据，因此 p 值有效。亚群间的差异基因分组来自聚类结果本身，存在数据重复使用问题，其 p 值仅用于描述与生成假设，不作为推断依据，文中已明确标注。亚群间测序深度差异以 Mann-Whitney U 检验评估。分析使用 scanpy 1.11.5（Python 3.11），代码与参数已开源。</w:t>
      </w:r>
    </w:p>
    <w:p>
      <w:pPr>
        <w:keepNext/>
        <w:spacing w:before="280" w:after="120"/>
      </w:pPr>
      <w:r>
        <w:rPr>
          <w:rFonts w:ascii="Times New Roman" w:hAnsi="Times New Roman" w:eastAsia="黑体"/>
          <w:b/>
          <w:sz w:val="32"/>
        </w:rPr>
        <w:t>3  结果</w:t>
      </w:r>
    </w:p>
    <w:p>
      <w:pPr>
        <w:keepNext/>
        <w:spacing w:before="200" w:after="120"/>
      </w:pPr>
      <w:r>
        <w:rPr>
          <w:rFonts w:ascii="Times New Roman" w:hAnsi="Times New Roman" w:eastAsia="黑体"/>
          <w:b/>
          <w:sz w:val="26"/>
        </w:rPr>
        <w:t>3.1  数据质量</w:t>
      </w:r>
    </w:p>
    <w:p>
      <w:pPr>
        <w:spacing w:after="120" w:before="0" w:line="384" w:lineRule="auto"/>
        <w:ind w:firstLine="420"/>
        <w:jc w:val="both"/>
      </w:pPr>
      <w:r>
        <w:rPr>
          <w:rFonts w:ascii="Times New Roman" w:hAnsi="Times New Roman" w:eastAsia="宋体"/>
          <w:b w:val="0"/>
          <w:i w:val="0"/>
          <w:sz w:val="21"/>
        </w:rPr>
        <w:t>过滤前中位检出基因数为 4437，中位 UMI 为 25171，中位线粒体比例 6.27%，ERCC 比例中位数仅 0.01%（图 1）。整体数据质量良好，未见明显的低质量细胞群。</w:t>
      </w:r>
    </w:p>
    <w:p>
      <w:pPr>
        <w:spacing w:before="120"/>
        <w:jc w:val="center"/>
      </w:pPr>
      <w:r>
        <w:drawing>
          <wp:inline xmlns:a="http://schemas.openxmlformats.org/drawingml/2006/main" xmlns:pic="http://schemas.openxmlformats.org/drawingml/2006/picture">
            <wp:extent cx="5580000" cy="1736715"/>
            <wp:docPr id="1" name="Picture 1"/>
            <wp:cNvGraphicFramePr>
              <a:graphicFrameLocks noChangeAspect="1"/>
            </wp:cNvGraphicFramePr>
            <a:graphic>
              <a:graphicData uri="http://schemas.openxmlformats.org/drawingml/2006/picture">
                <pic:pic>
                  <pic:nvPicPr>
                    <pic:cNvPr id="0" name="fig01_qc.png"/>
                    <pic:cNvPicPr/>
                  </pic:nvPicPr>
                  <pic:blipFill>
                    <a:blip r:embed="rId10"/>
                    <a:stretch>
                      <a:fillRect/>
                    </a:stretch>
                  </pic:blipFill>
                  <pic:spPr>
                    <a:xfrm>
                      <a:off x="0" y="0"/>
                      <a:ext cx="5580000" cy="1736715"/>
                    </a:xfrm>
                    <a:prstGeom prst="rect"/>
                  </pic:spPr>
                </pic:pic>
              </a:graphicData>
            </a:graphic>
          </wp:inline>
        </w:drawing>
      </w:r>
    </w:p>
    <w:p>
      <w:pPr>
        <w:spacing w:after="200"/>
        <w:jc w:val="center"/>
      </w:pPr>
      <w:r>
        <w:rPr>
          <w:rFonts w:ascii="Times New Roman" w:hAnsi="Times New Roman" w:eastAsia="宋体"/>
          <w:sz w:val="18"/>
        </w:rPr>
        <w:t>图 1  质控指标分布。右侧散点中橙色为 demuxlet 判定的 doublet。</w:t>
      </w:r>
    </w:p>
    <w:p>
      <w:pPr>
        <w:keepNext/>
        <w:spacing w:before="200" w:after="120"/>
      </w:pPr>
      <w:r>
        <w:rPr>
          <w:rFonts w:ascii="Times New Roman" w:hAnsi="Times New Roman" w:eastAsia="黑体"/>
          <w:b/>
          <w:sz w:val="26"/>
        </w:rPr>
        <w:t>3.2  Doublet 检测的精确率—召回率权衡</w:t>
      </w:r>
    </w:p>
    <w:p>
      <w:pPr>
        <w:spacing w:after="120" w:before="0" w:line="384" w:lineRule="auto"/>
        <w:ind w:firstLine="420"/>
        <w:jc w:val="both"/>
      </w:pPr>
      <w:r>
        <w:rPr>
          <w:rFonts w:ascii="Times New Roman" w:hAnsi="Times New Roman" w:eastAsia="宋体"/>
          <w:b w:val="0"/>
          <w:i w:val="0"/>
          <w:sz w:val="21"/>
        </w:rPr>
        <w:t>以 demuxlet 标签为真值，Scrublet 的 doublet 分数具有良好的判别能力（AUROC = 0.9143；AUPRC = 0.8198，而随机基线仅 0.0245）。然而在默认阈值 0.170 下，共预测 53 个 doublet，全部命中真值（精确率 1.000，假阳性 0 个），但漏检 43 个，召回率仅 0.552（图 2）。</w:t>
      </w:r>
    </w:p>
    <w:p>
      <w:pPr>
        <w:spacing w:after="120" w:before="0" w:line="384" w:lineRule="auto"/>
        <w:ind w:firstLine="420"/>
        <w:jc w:val="both"/>
      </w:pPr>
      <w:r>
        <w:rPr>
          <w:rFonts w:ascii="Times New Roman" w:hAnsi="Times New Roman" w:eastAsia="宋体"/>
          <w:b w:val="0"/>
          <w:i w:val="0"/>
          <w:sz w:val="21"/>
        </w:rPr>
        <w:t>阈值扫描显示，将判定阈值由默认的 0.170 降至 0.056 时 F1 达到最高的 0.847，此时召回率提升至 0.75 而精确率仍保持在 0.97。这表明默认阈值的设定偏向保守，其代价是相当比例的 doublet 残留于下游分析。在没有金标准的常规实验中，这一权衡是不可见的。</w:t>
      </w:r>
    </w:p>
    <w:p>
      <w:pPr>
        <w:spacing w:after="60" w:before="0"/>
      </w:pPr>
      <w:r>
        <w:rPr>
          <w:rFonts w:ascii="Times New Roman" w:hAnsi="Times New Roman" w:eastAsia="宋体"/>
          <w:b/>
          <w:i w:val="0"/>
          <w:sz w:val="18"/>
        </w:rPr>
        <w:t>表 1  两种阈值下的 doublet 检出性能</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fill="E8E8E8"/>
          </w:tcPr>
          <w:p>
            <w:pPr>
              <w:jc w:val="center"/>
            </w:pPr>
            <w:r/>
            <w:r>
              <w:rPr>
                <w:rFonts w:ascii="Times New Roman" w:hAnsi="Times New Roman" w:eastAsia="黑体"/>
                <w:b/>
                <w:sz w:val="18"/>
              </w:rPr>
              <w:t>指标</w:t>
            </w:r>
          </w:p>
        </w:tc>
        <w:tc>
          <w:tcPr>
            <w:tcW w:type="dxa" w:w="2835"/>
            <w:shd w:val="clear" w:fill="E8E8E8"/>
          </w:tcPr>
          <w:p>
            <w:pPr>
              <w:jc w:val="center"/>
            </w:pPr>
            <w:r/>
            <w:r>
              <w:rPr>
                <w:rFonts w:ascii="Times New Roman" w:hAnsi="Times New Roman" w:eastAsia="黑体"/>
                <w:b/>
                <w:sz w:val="18"/>
              </w:rPr>
              <w:t>默认阈值</w:t>
            </w:r>
          </w:p>
        </w:tc>
        <w:tc>
          <w:tcPr>
            <w:tcW w:type="dxa" w:w="2835"/>
            <w:shd w:val="clear" w:fill="E8E8E8"/>
          </w:tcPr>
          <w:p>
            <w:pPr>
              <w:jc w:val="center"/>
            </w:pPr>
            <w:r/>
            <w:r>
              <w:rPr>
                <w:rFonts w:ascii="Times New Roman" w:hAnsi="Times New Roman" w:eastAsia="黑体"/>
                <w:b/>
                <w:sz w:val="18"/>
              </w:rPr>
              <w:t>F1 最优阈值</w:t>
            </w:r>
          </w:p>
        </w:tc>
      </w:tr>
      <w:tr>
        <w:tc>
          <w:tcPr>
            <w:tcW w:type="dxa" w:w="2268"/>
          </w:tcPr>
          <w:p>
            <w:pPr>
              <w:spacing w:after="40" w:before="40"/>
            </w:pPr>
            <w:r/>
            <w:r>
              <w:rPr>
                <w:rFonts w:ascii="Times New Roman" w:hAnsi="Times New Roman" w:eastAsia="宋体"/>
                <w:sz w:val="18"/>
              </w:rPr>
              <w:t>阈值</w:t>
            </w:r>
          </w:p>
        </w:tc>
        <w:tc>
          <w:tcPr>
            <w:tcW w:type="dxa" w:w="2835"/>
          </w:tcPr>
          <w:p>
            <w:pPr>
              <w:spacing w:after="40" w:before="40"/>
            </w:pPr>
            <w:r/>
            <w:r>
              <w:rPr>
                <w:rFonts w:ascii="Times New Roman" w:hAnsi="Times New Roman" w:eastAsia="宋体"/>
                <w:sz w:val="18"/>
              </w:rPr>
              <w:t>0.170</w:t>
            </w:r>
          </w:p>
        </w:tc>
        <w:tc>
          <w:tcPr>
            <w:tcW w:type="dxa" w:w="2835"/>
          </w:tcPr>
          <w:p>
            <w:pPr>
              <w:spacing w:after="40" w:before="40"/>
            </w:pPr>
            <w:r/>
            <w:r>
              <w:rPr>
                <w:rFonts w:ascii="Times New Roman" w:hAnsi="Times New Roman" w:eastAsia="宋体"/>
                <w:sz w:val="18"/>
              </w:rPr>
              <w:t>0.056</w:t>
            </w:r>
          </w:p>
        </w:tc>
      </w:tr>
      <w:tr>
        <w:tc>
          <w:tcPr>
            <w:tcW w:type="dxa" w:w="2268"/>
          </w:tcPr>
          <w:p>
            <w:pPr>
              <w:spacing w:after="40" w:before="40"/>
            </w:pPr>
            <w:r/>
            <w:r>
              <w:rPr>
                <w:rFonts w:ascii="Times New Roman" w:hAnsi="Times New Roman" w:eastAsia="宋体"/>
                <w:sz w:val="18"/>
              </w:rPr>
              <w:t>精确率</w:t>
            </w:r>
          </w:p>
        </w:tc>
        <w:tc>
          <w:tcPr>
            <w:tcW w:type="dxa" w:w="2835"/>
          </w:tcPr>
          <w:p>
            <w:pPr>
              <w:spacing w:after="40" w:before="40"/>
            </w:pPr>
            <w:r/>
            <w:r>
              <w:rPr>
                <w:rFonts w:ascii="Times New Roman" w:hAnsi="Times New Roman" w:eastAsia="宋体"/>
                <w:sz w:val="18"/>
              </w:rPr>
              <w:t>1.000</w:t>
            </w:r>
          </w:p>
        </w:tc>
        <w:tc>
          <w:tcPr>
            <w:tcW w:type="dxa" w:w="2835"/>
          </w:tcPr>
          <w:p>
            <w:pPr>
              <w:spacing w:after="40" w:before="40"/>
            </w:pPr>
            <w:r/>
            <w:r>
              <w:rPr>
                <w:rFonts w:ascii="Times New Roman" w:hAnsi="Times New Roman" w:eastAsia="宋体"/>
                <w:sz w:val="18"/>
              </w:rPr>
              <w:t>0.973</w:t>
            </w:r>
          </w:p>
        </w:tc>
      </w:tr>
      <w:tr>
        <w:tc>
          <w:tcPr>
            <w:tcW w:type="dxa" w:w="2268"/>
          </w:tcPr>
          <w:p>
            <w:pPr>
              <w:spacing w:after="40" w:before="40"/>
            </w:pPr>
            <w:r/>
            <w:r>
              <w:rPr>
                <w:rFonts w:ascii="Times New Roman" w:hAnsi="Times New Roman" w:eastAsia="宋体"/>
                <w:sz w:val="18"/>
              </w:rPr>
              <w:t>召回率</w:t>
            </w:r>
          </w:p>
        </w:tc>
        <w:tc>
          <w:tcPr>
            <w:tcW w:type="dxa" w:w="2835"/>
          </w:tcPr>
          <w:p>
            <w:pPr>
              <w:spacing w:after="40" w:before="40"/>
            </w:pPr>
            <w:r/>
            <w:r>
              <w:rPr>
                <w:rFonts w:ascii="Times New Roman" w:hAnsi="Times New Roman" w:eastAsia="宋体"/>
                <w:sz w:val="18"/>
              </w:rPr>
              <w:t>0.552</w:t>
            </w:r>
          </w:p>
        </w:tc>
        <w:tc>
          <w:tcPr>
            <w:tcW w:type="dxa" w:w="2835"/>
          </w:tcPr>
          <w:p>
            <w:pPr>
              <w:spacing w:after="40" w:before="40"/>
            </w:pPr>
            <w:r/>
            <w:r>
              <w:rPr>
                <w:rFonts w:ascii="Times New Roman" w:hAnsi="Times New Roman" w:eastAsia="宋体"/>
                <w:sz w:val="18"/>
              </w:rPr>
              <w:t>0.750</w:t>
            </w:r>
          </w:p>
        </w:tc>
      </w:tr>
      <w:tr>
        <w:tc>
          <w:tcPr>
            <w:tcW w:type="dxa" w:w="2268"/>
          </w:tcPr>
          <w:p>
            <w:pPr>
              <w:spacing w:after="40" w:before="40"/>
            </w:pPr>
            <w:r/>
            <w:r>
              <w:rPr>
                <w:rFonts w:ascii="Times New Roman" w:hAnsi="Times New Roman" w:eastAsia="宋体"/>
                <w:sz w:val="18"/>
              </w:rPr>
              <w:t>F1</w:t>
            </w:r>
          </w:p>
        </w:tc>
        <w:tc>
          <w:tcPr>
            <w:tcW w:type="dxa" w:w="2835"/>
          </w:tcPr>
          <w:p>
            <w:pPr>
              <w:spacing w:after="40" w:before="40"/>
            </w:pPr>
            <w:r/>
            <w:r>
              <w:rPr>
                <w:rFonts w:ascii="Times New Roman" w:hAnsi="Times New Roman" w:eastAsia="宋体"/>
                <w:sz w:val="18"/>
              </w:rPr>
              <w:t>0.711</w:t>
            </w:r>
          </w:p>
        </w:tc>
        <w:tc>
          <w:tcPr>
            <w:tcW w:type="dxa" w:w="2835"/>
          </w:tcPr>
          <w:p>
            <w:pPr>
              <w:spacing w:after="40" w:before="40"/>
            </w:pPr>
            <w:r/>
            <w:r>
              <w:rPr>
                <w:rFonts w:ascii="Times New Roman" w:hAnsi="Times New Roman" w:eastAsia="宋体"/>
                <w:sz w:val="18"/>
              </w:rPr>
              <w:t>0.847</w:t>
            </w:r>
          </w:p>
        </w:tc>
      </w:tr>
    </w:tbl>
    <w:p>
      <w:pPr>
        <w:spacing w:after="80"/>
      </w:pPr>
    </w:p>
    <w:p>
      <w:pPr>
        <w:spacing w:before="120"/>
        <w:jc w:val="center"/>
      </w:pPr>
      <w:r>
        <w:drawing>
          <wp:inline xmlns:a="http://schemas.openxmlformats.org/drawingml/2006/main" xmlns:pic="http://schemas.openxmlformats.org/drawingml/2006/picture">
            <wp:extent cx="5580000" cy="2106716"/>
            <wp:docPr id="2" name="Picture 2"/>
            <wp:cNvGraphicFramePr>
              <a:graphicFrameLocks noChangeAspect="1"/>
            </wp:cNvGraphicFramePr>
            <a:graphic>
              <a:graphicData uri="http://schemas.openxmlformats.org/drawingml/2006/picture">
                <pic:pic>
                  <pic:nvPicPr>
                    <pic:cNvPr id="0" name="fig02_doublet_benchmark.png"/>
                    <pic:cNvPicPr/>
                  </pic:nvPicPr>
                  <pic:blipFill>
                    <a:blip r:embed="rId11"/>
                    <a:stretch>
                      <a:fillRect/>
                    </a:stretch>
                  </pic:blipFill>
                  <pic:spPr>
                    <a:xfrm>
                      <a:off x="0" y="0"/>
                      <a:ext cx="5580000" cy="2106716"/>
                    </a:xfrm>
                    <a:prstGeom prst="rect"/>
                  </pic:spPr>
                </pic:pic>
              </a:graphicData>
            </a:graphic>
          </wp:inline>
        </w:drawing>
      </w:r>
    </w:p>
    <w:p>
      <w:pPr>
        <w:spacing w:after="200"/>
        <w:jc w:val="center"/>
      </w:pPr>
      <w:r>
        <w:rPr>
          <w:rFonts w:ascii="Times New Roman" w:hAnsi="Times New Roman" w:eastAsia="宋体"/>
          <w:sz w:val="18"/>
        </w:rPr>
        <w:t>图 2  Scrublet 性能基准。左：PR 曲线；中：F1 随阈值变化；右：混淆矩阵计数。</w:t>
      </w:r>
    </w:p>
    <w:p>
      <w:pPr>
        <w:keepNext/>
        <w:spacing w:before="200" w:after="120"/>
      </w:pPr>
      <w:r>
        <w:rPr>
          <w:rFonts w:ascii="Times New Roman" w:hAnsi="Times New Roman" w:eastAsia="黑体"/>
          <w:b/>
          <w:sz w:val="26"/>
        </w:rPr>
        <w:t>3.3  聚类分辨率的客观最优点</w:t>
      </w:r>
    </w:p>
    <w:p>
      <w:pPr>
        <w:spacing w:after="120" w:before="0" w:line="384" w:lineRule="auto"/>
        <w:ind w:firstLine="420"/>
        <w:jc w:val="both"/>
      </w:pPr>
      <w:r>
        <w:rPr>
          <w:rFonts w:ascii="Times New Roman" w:hAnsi="Times New Roman" w:eastAsia="宋体"/>
          <w:b w:val="0"/>
          <w:i w:val="0"/>
          <w:sz w:val="21"/>
        </w:rPr>
        <w:t>在 3,865 个过滤后细胞上扫描 Leiden 分辨率，ARI 在 0.03 至 0.10 区间维持在 0.9995 的高位，对应 5 个簇，与五个细胞系一一对应（图 3、图 4）。分辨率继续升高后 ARI 单调下降：res=0.2 时降至 0.926（7 簇），res=1.0 时降至 0.467（16 簇）。这一单调关系直观展示了过聚类的代价——在没有真值参照的情况下，更高分辨率产生的额外簇很容易被误认为新发现的细胞亚型。</w:t>
      </w:r>
    </w:p>
    <w:p>
      <w:pPr>
        <w:spacing w:after="60" w:before="0"/>
      </w:pPr>
      <w:r>
        <w:rPr>
          <w:rFonts w:ascii="Times New Roman" w:hAnsi="Times New Roman" w:eastAsia="宋体"/>
          <w:b/>
          <w:i w:val="0"/>
          <w:sz w:val="18"/>
        </w:rPr>
        <w:t>表 2  分辨率扫描结果</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814"/>
            <w:shd w:val="clear" w:fill="E8E8E8"/>
          </w:tcPr>
          <w:p>
            <w:pPr>
              <w:jc w:val="center"/>
            </w:pPr>
            <w:r/>
            <w:r>
              <w:rPr>
                <w:rFonts w:ascii="Times New Roman" w:hAnsi="Times New Roman" w:eastAsia="黑体"/>
                <w:b/>
                <w:sz w:val="18"/>
              </w:rPr>
              <w:t>分辨率</w:t>
            </w:r>
          </w:p>
        </w:tc>
        <w:tc>
          <w:tcPr>
            <w:tcW w:type="dxa" w:w="1814"/>
            <w:shd w:val="clear" w:fill="E8E8E8"/>
          </w:tcPr>
          <w:p>
            <w:pPr>
              <w:jc w:val="center"/>
            </w:pPr>
            <w:r/>
            <w:r>
              <w:rPr>
                <w:rFonts w:ascii="Times New Roman" w:hAnsi="Times New Roman" w:eastAsia="黑体"/>
                <w:b/>
                <w:sz w:val="18"/>
              </w:rPr>
              <w:t>簇数</w:t>
            </w:r>
          </w:p>
        </w:tc>
        <w:tc>
          <w:tcPr>
            <w:tcW w:type="dxa" w:w="2154"/>
            <w:shd w:val="clear" w:fill="E8E8E8"/>
          </w:tcPr>
          <w:p>
            <w:pPr>
              <w:jc w:val="center"/>
            </w:pPr>
            <w:r/>
            <w:r>
              <w:rPr>
                <w:rFonts w:ascii="Times New Roman" w:hAnsi="Times New Roman" w:eastAsia="黑体"/>
                <w:b/>
                <w:sz w:val="18"/>
              </w:rPr>
              <w:t>ARI</w:t>
            </w:r>
          </w:p>
        </w:tc>
        <w:tc>
          <w:tcPr>
            <w:tcW w:type="dxa" w:w="2154"/>
            <w:shd w:val="clear" w:fill="E8E8E8"/>
          </w:tcPr>
          <w:p>
            <w:pPr>
              <w:jc w:val="center"/>
            </w:pPr>
            <w:r/>
            <w:r>
              <w:rPr>
                <w:rFonts w:ascii="Times New Roman" w:hAnsi="Times New Roman" w:eastAsia="黑体"/>
                <w:b/>
                <w:sz w:val="18"/>
              </w:rPr>
              <w:t>NMI</w:t>
            </w:r>
          </w:p>
        </w:tc>
      </w:tr>
      <w:tr>
        <w:tc>
          <w:tcPr>
            <w:tcW w:type="dxa" w:w="1814"/>
          </w:tcPr>
          <w:p>
            <w:pPr>
              <w:spacing w:after="40" w:before="40"/>
            </w:pPr>
            <w:r/>
            <w:r>
              <w:rPr>
                <w:rFonts w:ascii="Times New Roman" w:hAnsi="Times New Roman" w:eastAsia="宋体"/>
                <w:sz w:val="18"/>
              </w:rPr>
              <w:t>0.03</w:t>
            </w:r>
          </w:p>
        </w:tc>
        <w:tc>
          <w:tcPr>
            <w:tcW w:type="dxa" w:w="1814"/>
          </w:tcPr>
          <w:p>
            <w:pPr>
              <w:spacing w:after="40" w:before="40"/>
            </w:pPr>
            <w:r/>
            <w:r>
              <w:rPr>
                <w:rFonts w:ascii="Times New Roman" w:hAnsi="Times New Roman" w:eastAsia="宋体"/>
                <w:sz w:val="18"/>
              </w:rPr>
              <w:t>5</w:t>
            </w:r>
          </w:p>
        </w:tc>
        <w:tc>
          <w:tcPr>
            <w:tcW w:type="dxa" w:w="2154"/>
          </w:tcPr>
          <w:p>
            <w:pPr>
              <w:spacing w:after="40" w:before="40"/>
            </w:pPr>
            <w:r/>
            <w:r>
              <w:rPr>
                <w:rFonts w:ascii="Times New Roman" w:hAnsi="Times New Roman" w:eastAsia="宋体"/>
                <w:sz w:val="18"/>
              </w:rPr>
              <w:t>0.9995</w:t>
            </w:r>
          </w:p>
        </w:tc>
        <w:tc>
          <w:tcPr>
            <w:tcW w:type="dxa" w:w="2154"/>
          </w:tcPr>
          <w:p>
            <w:pPr>
              <w:spacing w:after="40" w:before="40"/>
            </w:pPr>
            <w:r/>
            <w:r>
              <w:rPr>
                <w:rFonts w:ascii="Times New Roman" w:hAnsi="Times New Roman" w:eastAsia="宋体"/>
                <w:sz w:val="18"/>
              </w:rPr>
              <w:t>0.9988</w:t>
            </w:r>
          </w:p>
        </w:tc>
      </w:tr>
      <w:tr>
        <w:tc>
          <w:tcPr>
            <w:tcW w:type="dxa" w:w="1814"/>
          </w:tcPr>
          <w:p>
            <w:pPr>
              <w:spacing w:after="40" w:before="40"/>
            </w:pPr>
            <w:r/>
            <w:r>
              <w:rPr>
                <w:rFonts w:ascii="Times New Roman" w:hAnsi="Times New Roman" w:eastAsia="宋体"/>
                <w:sz w:val="18"/>
              </w:rPr>
              <w:t>0.05</w:t>
            </w:r>
          </w:p>
        </w:tc>
        <w:tc>
          <w:tcPr>
            <w:tcW w:type="dxa" w:w="1814"/>
          </w:tcPr>
          <w:p>
            <w:pPr>
              <w:spacing w:after="40" w:before="40"/>
            </w:pPr>
            <w:r/>
            <w:r>
              <w:rPr>
                <w:rFonts w:ascii="Times New Roman" w:hAnsi="Times New Roman" w:eastAsia="宋体"/>
                <w:sz w:val="18"/>
              </w:rPr>
              <w:t>5</w:t>
            </w:r>
          </w:p>
        </w:tc>
        <w:tc>
          <w:tcPr>
            <w:tcW w:type="dxa" w:w="2154"/>
          </w:tcPr>
          <w:p>
            <w:pPr>
              <w:spacing w:after="40" w:before="40"/>
            </w:pPr>
            <w:r/>
            <w:r>
              <w:rPr>
                <w:rFonts w:ascii="Times New Roman" w:hAnsi="Times New Roman" w:eastAsia="宋体"/>
                <w:sz w:val="18"/>
              </w:rPr>
              <w:t>0.9995</w:t>
            </w:r>
          </w:p>
        </w:tc>
        <w:tc>
          <w:tcPr>
            <w:tcW w:type="dxa" w:w="2154"/>
          </w:tcPr>
          <w:p>
            <w:pPr>
              <w:spacing w:after="40" w:before="40"/>
            </w:pPr>
            <w:r/>
            <w:r>
              <w:rPr>
                <w:rFonts w:ascii="Times New Roman" w:hAnsi="Times New Roman" w:eastAsia="宋体"/>
                <w:sz w:val="18"/>
              </w:rPr>
              <w:t>0.9988</w:t>
            </w:r>
          </w:p>
        </w:tc>
      </w:tr>
      <w:tr>
        <w:tc>
          <w:tcPr>
            <w:tcW w:type="dxa" w:w="1814"/>
          </w:tcPr>
          <w:p>
            <w:pPr>
              <w:spacing w:after="40" w:before="40"/>
            </w:pPr>
            <w:r/>
            <w:r>
              <w:rPr>
                <w:rFonts w:ascii="Times New Roman" w:hAnsi="Times New Roman" w:eastAsia="宋体"/>
                <w:sz w:val="18"/>
              </w:rPr>
              <w:t>0.08</w:t>
            </w:r>
          </w:p>
        </w:tc>
        <w:tc>
          <w:tcPr>
            <w:tcW w:type="dxa" w:w="1814"/>
          </w:tcPr>
          <w:p>
            <w:pPr>
              <w:spacing w:after="40" w:before="40"/>
            </w:pPr>
            <w:r/>
            <w:r>
              <w:rPr>
                <w:rFonts w:ascii="Times New Roman" w:hAnsi="Times New Roman" w:eastAsia="宋体"/>
                <w:sz w:val="18"/>
              </w:rPr>
              <w:t>5</w:t>
            </w:r>
          </w:p>
        </w:tc>
        <w:tc>
          <w:tcPr>
            <w:tcW w:type="dxa" w:w="2154"/>
          </w:tcPr>
          <w:p>
            <w:pPr>
              <w:spacing w:after="40" w:before="40"/>
            </w:pPr>
            <w:r/>
            <w:r>
              <w:rPr>
                <w:rFonts w:ascii="Times New Roman" w:hAnsi="Times New Roman" w:eastAsia="宋体"/>
                <w:sz w:val="18"/>
              </w:rPr>
              <w:t>0.9995</w:t>
            </w:r>
          </w:p>
        </w:tc>
        <w:tc>
          <w:tcPr>
            <w:tcW w:type="dxa" w:w="2154"/>
          </w:tcPr>
          <w:p>
            <w:pPr>
              <w:spacing w:after="40" w:before="40"/>
            </w:pPr>
            <w:r/>
            <w:r>
              <w:rPr>
                <w:rFonts w:ascii="Times New Roman" w:hAnsi="Times New Roman" w:eastAsia="宋体"/>
                <w:sz w:val="18"/>
              </w:rPr>
              <w:t>0.9988</w:t>
            </w:r>
          </w:p>
        </w:tc>
      </w:tr>
      <w:tr>
        <w:tc>
          <w:tcPr>
            <w:tcW w:type="dxa" w:w="1814"/>
          </w:tcPr>
          <w:p>
            <w:pPr>
              <w:spacing w:after="40" w:before="40"/>
            </w:pPr>
            <w:r/>
            <w:r>
              <w:rPr>
                <w:rFonts w:ascii="Times New Roman" w:hAnsi="Times New Roman" w:eastAsia="宋体"/>
                <w:sz w:val="18"/>
              </w:rPr>
              <w:t>0.1</w:t>
            </w:r>
          </w:p>
        </w:tc>
        <w:tc>
          <w:tcPr>
            <w:tcW w:type="dxa" w:w="1814"/>
          </w:tcPr>
          <w:p>
            <w:pPr>
              <w:spacing w:after="40" w:before="40"/>
            </w:pPr>
            <w:r/>
            <w:r>
              <w:rPr>
                <w:rFonts w:ascii="Times New Roman" w:hAnsi="Times New Roman" w:eastAsia="宋体"/>
                <w:sz w:val="18"/>
              </w:rPr>
              <w:t>5</w:t>
            </w:r>
          </w:p>
        </w:tc>
        <w:tc>
          <w:tcPr>
            <w:tcW w:type="dxa" w:w="2154"/>
          </w:tcPr>
          <w:p>
            <w:pPr>
              <w:spacing w:after="40" w:before="40"/>
            </w:pPr>
            <w:r/>
            <w:r>
              <w:rPr>
                <w:rFonts w:ascii="Times New Roman" w:hAnsi="Times New Roman" w:eastAsia="宋体"/>
                <w:sz w:val="18"/>
              </w:rPr>
              <w:t>0.9995</w:t>
            </w:r>
          </w:p>
        </w:tc>
        <w:tc>
          <w:tcPr>
            <w:tcW w:type="dxa" w:w="2154"/>
          </w:tcPr>
          <w:p>
            <w:pPr>
              <w:spacing w:after="40" w:before="40"/>
            </w:pPr>
            <w:r/>
            <w:r>
              <w:rPr>
                <w:rFonts w:ascii="Times New Roman" w:hAnsi="Times New Roman" w:eastAsia="宋体"/>
                <w:sz w:val="18"/>
              </w:rPr>
              <w:t>0.9988</w:t>
            </w:r>
          </w:p>
        </w:tc>
      </w:tr>
      <w:tr>
        <w:tc>
          <w:tcPr>
            <w:tcW w:type="dxa" w:w="1814"/>
          </w:tcPr>
          <w:p>
            <w:pPr>
              <w:spacing w:after="40" w:before="40"/>
            </w:pPr>
            <w:r/>
            <w:r>
              <w:rPr>
                <w:rFonts w:ascii="Times New Roman" w:hAnsi="Times New Roman" w:eastAsia="宋体"/>
                <w:sz w:val="18"/>
              </w:rPr>
              <w:t>0.15</w:t>
            </w:r>
          </w:p>
        </w:tc>
        <w:tc>
          <w:tcPr>
            <w:tcW w:type="dxa" w:w="1814"/>
          </w:tcPr>
          <w:p>
            <w:pPr>
              <w:spacing w:after="40" w:before="40"/>
            </w:pPr>
            <w:r/>
            <w:r>
              <w:rPr>
                <w:rFonts w:ascii="Times New Roman" w:hAnsi="Times New Roman" w:eastAsia="宋体"/>
                <w:sz w:val="18"/>
              </w:rPr>
              <w:t>7</w:t>
            </w:r>
          </w:p>
        </w:tc>
        <w:tc>
          <w:tcPr>
            <w:tcW w:type="dxa" w:w="2154"/>
          </w:tcPr>
          <w:p>
            <w:pPr>
              <w:spacing w:after="40" w:before="40"/>
            </w:pPr>
            <w:r/>
            <w:r>
              <w:rPr>
                <w:rFonts w:ascii="Times New Roman" w:hAnsi="Times New Roman" w:eastAsia="宋体"/>
                <w:sz w:val="18"/>
              </w:rPr>
              <w:t>0.9262</w:t>
            </w:r>
          </w:p>
        </w:tc>
        <w:tc>
          <w:tcPr>
            <w:tcW w:type="dxa" w:w="2154"/>
          </w:tcPr>
          <w:p>
            <w:pPr>
              <w:spacing w:after="40" w:before="40"/>
            </w:pPr>
            <w:r/>
            <w:r>
              <w:rPr>
                <w:rFonts w:ascii="Times New Roman" w:hAnsi="Times New Roman" w:eastAsia="宋体"/>
                <w:sz w:val="18"/>
              </w:rPr>
              <w:t>0.9378</w:t>
            </w:r>
          </w:p>
        </w:tc>
      </w:tr>
      <w:tr>
        <w:tc>
          <w:tcPr>
            <w:tcW w:type="dxa" w:w="1814"/>
          </w:tcPr>
          <w:p>
            <w:pPr>
              <w:spacing w:after="40" w:before="40"/>
            </w:pPr>
            <w:r/>
            <w:r>
              <w:rPr>
                <w:rFonts w:ascii="Times New Roman" w:hAnsi="Times New Roman" w:eastAsia="宋体"/>
                <w:sz w:val="18"/>
              </w:rPr>
              <w:t>0.2</w:t>
            </w:r>
          </w:p>
        </w:tc>
        <w:tc>
          <w:tcPr>
            <w:tcW w:type="dxa" w:w="1814"/>
          </w:tcPr>
          <w:p>
            <w:pPr>
              <w:spacing w:after="40" w:before="40"/>
            </w:pPr>
            <w:r/>
            <w:r>
              <w:rPr>
                <w:rFonts w:ascii="Times New Roman" w:hAnsi="Times New Roman" w:eastAsia="宋体"/>
                <w:sz w:val="18"/>
              </w:rPr>
              <w:t>7</w:t>
            </w:r>
          </w:p>
        </w:tc>
        <w:tc>
          <w:tcPr>
            <w:tcW w:type="dxa" w:w="2154"/>
          </w:tcPr>
          <w:p>
            <w:pPr>
              <w:spacing w:after="40" w:before="40"/>
            </w:pPr>
            <w:r/>
            <w:r>
              <w:rPr>
                <w:rFonts w:ascii="Times New Roman" w:hAnsi="Times New Roman" w:eastAsia="宋体"/>
                <w:sz w:val="18"/>
              </w:rPr>
              <w:t>0.9262</w:t>
            </w:r>
          </w:p>
        </w:tc>
        <w:tc>
          <w:tcPr>
            <w:tcW w:type="dxa" w:w="2154"/>
          </w:tcPr>
          <w:p>
            <w:pPr>
              <w:spacing w:after="40" w:before="40"/>
            </w:pPr>
            <w:r/>
            <w:r>
              <w:rPr>
                <w:rFonts w:ascii="Times New Roman" w:hAnsi="Times New Roman" w:eastAsia="宋体"/>
                <w:sz w:val="18"/>
              </w:rPr>
              <w:t>0.9378</w:t>
            </w:r>
          </w:p>
        </w:tc>
      </w:tr>
      <w:tr>
        <w:tc>
          <w:tcPr>
            <w:tcW w:type="dxa" w:w="1814"/>
          </w:tcPr>
          <w:p>
            <w:pPr>
              <w:spacing w:after="40" w:before="40"/>
            </w:pPr>
            <w:r/>
            <w:r>
              <w:rPr>
                <w:rFonts w:ascii="Times New Roman" w:hAnsi="Times New Roman" w:eastAsia="宋体"/>
                <w:sz w:val="18"/>
              </w:rPr>
              <w:t>0.3</w:t>
            </w:r>
          </w:p>
        </w:tc>
        <w:tc>
          <w:tcPr>
            <w:tcW w:type="dxa" w:w="1814"/>
          </w:tcPr>
          <w:p>
            <w:pPr>
              <w:spacing w:after="40" w:before="40"/>
            </w:pPr>
            <w:r/>
            <w:r>
              <w:rPr>
                <w:rFonts w:ascii="Times New Roman" w:hAnsi="Times New Roman" w:eastAsia="宋体"/>
                <w:sz w:val="18"/>
              </w:rPr>
              <w:t>8</w:t>
            </w:r>
          </w:p>
        </w:tc>
        <w:tc>
          <w:tcPr>
            <w:tcW w:type="dxa" w:w="2154"/>
          </w:tcPr>
          <w:p>
            <w:pPr>
              <w:spacing w:after="40" w:before="40"/>
            </w:pPr>
            <w:r/>
            <w:r>
              <w:rPr>
                <w:rFonts w:ascii="Times New Roman" w:hAnsi="Times New Roman" w:eastAsia="宋体"/>
                <w:sz w:val="18"/>
              </w:rPr>
              <w:t>0.8268</w:t>
            </w:r>
          </w:p>
        </w:tc>
        <w:tc>
          <w:tcPr>
            <w:tcW w:type="dxa" w:w="2154"/>
          </w:tcPr>
          <w:p>
            <w:pPr>
              <w:spacing w:after="40" w:before="40"/>
            </w:pPr>
            <w:r/>
            <w:r>
              <w:rPr>
                <w:rFonts w:ascii="Times New Roman" w:hAnsi="Times New Roman" w:eastAsia="宋体"/>
                <w:sz w:val="18"/>
              </w:rPr>
              <w:t>0.8967</w:t>
            </w:r>
          </w:p>
        </w:tc>
      </w:tr>
      <w:tr>
        <w:tc>
          <w:tcPr>
            <w:tcW w:type="dxa" w:w="1814"/>
          </w:tcPr>
          <w:p>
            <w:pPr>
              <w:spacing w:after="40" w:before="40"/>
            </w:pPr>
            <w:r/>
            <w:r>
              <w:rPr>
                <w:rFonts w:ascii="Times New Roman" w:hAnsi="Times New Roman" w:eastAsia="宋体"/>
                <w:sz w:val="18"/>
              </w:rPr>
              <w:t>0.5</w:t>
            </w:r>
          </w:p>
        </w:tc>
        <w:tc>
          <w:tcPr>
            <w:tcW w:type="dxa" w:w="1814"/>
          </w:tcPr>
          <w:p>
            <w:pPr>
              <w:spacing w:after="40" w:before="40"/>
            </w:pPr>
            <w:r/>
            <w:r>
              <w:rPr>
                <w:rFonts w:ascii="Times New Roman" w:hAnsi="Times New Roman" w:eastAsia="宋体"/>
                <w:sz w:val="18"/>
              </w:rPr>
              <w:t>10</w:t>
            </w:r>
          </w:p>
        </w:tc>
        <w:tc>
          <w:tcPr>
            <w:tcW w:type="dxa" w:w="2154"/>
          </w:tcPr>
          <w:p>
            <w:pPr>
              <w:spacing w:after="40" w:before="40"/>
            </w:pPr>
            <w:r/>
            <w:r>
              <w:rPr>
                <w:rFonts w:ascii="Times New Roman" w:hAnsi="Times New Roman" w:eastAsia="宋体"/>
                <w:sz w:val="18"/>
              </w:rPr>
              <w:t>0.7591</w:t>
            </w:r>
          </w:p>
        </w:tc>
        <w:tc>
          <w:tcPr>
            <w:tcW w:type="dxa" w:w="2154"/>
          </w:tcPr>
          <w:p>
            <w:pPr>
              <w:spacing w:after="40" w:before="40"/>
            </w:pPr>
            <w:r/>
            <w:r>
              <w:rPr>
                <w:rFonts w:ascii="Times New Roman" w:hAnsi="Times New Roman" w:eastAsia="宋体"/>
                <w:sz w:val="18"/>
              </w:rPr>
              <w:t>0.8548</w:t>
            </w:r>
          </w:p>
        </w:tc>
      </w:tr>
      <w:tr>
        <w:tc>
          <w:tcPr>
            <w:tcW w:type="dxa" w:w="1814"/>
          </w:tcPr>
          <w:p>
            <w:pPr>
              <w:spacing w:after="40" w:before="40"/>
            </w:pPr>
            <w:r/>
            <w:r>
              <w:rPr>
                <w:rFonts w:ascii="Times New Roman" w:hAnsi="Times New Roman" w:eastAsia="宋体"/>
                <w:sz w:val="18"/>
              </w:rPr>
              <w:t>0.8</w:t>
            </w:r>
          </w:p>
        </w:tc>
        <w:tc>
          <w:tcPr>
            <w:tcW w:type="dxa" w:w="1814"/>
          </w:tcPr>
          <w:p>
            <w:pPr>
              <w:spacing w:after="40" w:before="40"/>
            </w:pPr>
            <w:r/>
            <w:r>
              <w:rPr>
                <w:rFonts w:ascii="Times New Roman" w:hAnsi="Times New Roman" w:eastAsia="宋体"/>
                <w:sz w:val="18"/>
              </w:rPr>
              <w:t>12</w:t>
            </w:r>
          </w:p>
        </w:tc>
        <w:tc>
          <w:tcPr>
            <w:tcW w:type="dxa" w:w="2154"/>
          </w:tcPr>
          <w:p>
            <w:pPr>
              <w:spacing w:after="40" w:before="40"/>
            </w:pPr>
            <w:r/>
            <w:r>
              <w:rPr>
                <w:rFonts w:ascii="Times New Roman" w:hAnsi="Times New Roman" w:eastAsia="宋体"/>
                <w:sz w:val="18"/>
              </w:rPr>
              <w:t>0.5868</w:t>
            </w:r>
          </w:p>
        </w:tc>
        <w:tc>
          <w:tcPr>
            <w:tcW w:type="dxa" w:w="2154"/>
          </w:tcPr>
          <w:p>
            <w:pPr>
              <w:spacing w:after="40" w:before="40"/>
            </w:pPr>
            <w:r/>
            <w:r>
              <w:rPr>
                <w:rFonts w:ascii="Times New Roman" w:hAnsi="Times New Roman" w:eastAsia="宋体"/>
                <w:sz w:val="18"/>
              </w:rPr>
              <w:t>0.7954</w:t>
            </w:r>
          </w:p>
        </w:tc>
      </w:tr>
      <w:tr>
        <w:tc>
          <w:tcPr>
            <w:tcW w:type="dxa" w:w="1814"/>
          </w:tcPr>
          <w:p>
            <w:pPr>
              <w:spacing w:after="40" w:before="40"/>
            </w:pPr>
            <w:r/>
            <w:r>
              <w:rPr>
                <w:rFonts w:ascii="Times New Roman" w:hAnsi="Times New Roman" w:eastAsia="宋体"/>
                <w:sz w:val="18"/>
              </w:rPr>
              <w:t>1.0</w:t>
            </w:r>
          </w:p>
        </w:tc>
        <w:tc>
          <w:tcPr>
            <w:tcW w:type="dxa" w:w="1814"/>
          </w:tcPr>
          <w:p>
            <w:pPr>
              <w:spacing w:after="40" w:before="40"/>
            </w:pPr>
            <w:r/>
            <w:r>
              <w:rPr>
                <w:rFonts w:ascii="Times New Roman" w:hAnsi="Times New Roman" w:eastAsia="宋体"/>
                <w:sz w:val="18"/>
              </w:rPr>
              <w:t>16</w:t>
            </w:r>
          </w:p>
        </w:tc>
        <w:tc>
          <w:tcPr>
            <w:tcW w:type="dxa" w:w="2154"/>
          </w:tcPr>
          <w:p>
            <w:pPr>
              <w:spacing w:after="40" w:before="40"/>
            </w:pPr>
            <w:r/>
            <w:r>
              <w:rPr>
                <w:rFonts w:ascii="Times New Roman" w:hAnsi="Times New Roman" w:eastAsia="宋体"/>
                <w:sz w:val="18"/>
              </w:rPr>
              <w:t>0.4670</w:t>
            </w:r>
          </w:p>
        </w:tc>
        <w:tc>
          <w:tcPr>
            <w:tcW w:type="dxa" w:w="2154"/>
          </w:tcPr>
          <w:p>
            <w:pPr>
              <w:spacing w:after="40" w:before="40"/>
            </w:pPr>
            <w:r/>
            <w:r>
              <w:rPr>
                <w:rFonts w:ascii="Times New Roman" w:hAnsi="Times New Roman" w:eastAsia="宋体"/>
                <w:sz w:val="18"/>
              </w:rPr>
              <w:t>0.7385</w:t>
            </w:r>
          </w:p>
        </w:tc>
      </w:tr>
    </w:tbl>
    <w:p>
      <w:pPr>
        <w:spacing w:after="80"/>
      </w:pPr>
    </w:p>
    <w:p>
      <w:pPr>
        <w:spacing w:before="120"/>
        <w:jc w:val="center"/>
      </w:pPr>
      <w:r>
        <w:drawing>
          <wp:inline xmlns:a="http://schemas.openxmlformats.org/drawingml/2006/main" xmlns:pic="http://schemas.openxmlformats.org/drawingml/2006/picture">
            <wp:extent cx="5580000" cy="2062278"/>
            <wp:docPr id="3" name="Picture 3"/>
            <wp:cNvGraphicFramePr>
              <a:graphicFrameLocks noChangeAspect="1"/>
            </wp:cNvGraphicFramePr>
            <a:graphic>
              <a:graphicData uri="http://schemas.openxmlformats.org/drawingml/2006/picture">
                <pic:pic>
                  <pic:nvPicPr>
                    <pic:cNvPr id="0" name="fig04_umap.png"/>
                    <pic:cNvPicPr/>
                  </pic:nvPicPr>
                  <pic:blipFill>
                    <a:blip r:embed="rId12"/>
                    <a:stretch>
                      <a:fillRect/>
                    </a:stretch>
                  </pic:blipFill>
                  <pic:spPr>
                    <a:xfrm>
                      <a:off x="0" y="0"/>
                      <a:ext cx="5580000" cy="2062278"/>
                    </a:xfrm>
                    <a:prstGeom prst="rect"/>
                  </pic:spPr>
                </pic:pic>
              </a:graphicData>
            </a:graphic>
          </wp:inline>
        </w:drawing>
      </w:r>
    </w:p>
    <w:p>
      <w:pPr>
        <w:spacing w:after="200"/>
        <w:jc w:val="center"/>
      </w:pPr>
      <w:r>
        <w:rPr>
          <w:rFonts w:ascii="Times New Roman" w:hAnsi="Times New Roman" w:eastAsia="宋体"/>
          <w:sz w:val="18"/>
        </w:rPr>
        <w:t>图 3  UMAP 可视化。左：demuxlet 真值；中：最优分辨率聚类；右：较高分辨率下出现亚群拆分。</w:t>
      </w:r>
    </w:p>
    <w:p>
      <w:pPr>
        <w:spacing w:before="120"/>
        <w:jc w:val="center"/>
      </w:pPr>
      <w:r>
        <w:drawing>
          <wp:inline xmlns:a="http://schemas.openxmlformats.org/drawingml/2006/main" xmlns:pic="http://schemas.openxmlformats.org/drawingml/2006/picture">
            <wp:extent cx="5040000" cy="2544969"/>
            <wp:docPr id="4" name="Picture 4"/>
            <wp:cNvGraphicFramePr>
              <a:graphicFrameLocks noChangeAspect="1"/>
            </wp:cNvGraphicFramePr>
            <a:graphic>
              <a:graphicData uri="http://schemas.openxmlformats.org/drawingml/2006/picture">
                <pic:pic>
                  <pic:nvPicPr>
                    <pic:cNvPr id="0" name="fig05_confusion.png"/>
                    <pic:cNvPicPr/>
                  </pic:nvPicPr>
                  <pic:blipFill>
                    <a:blip r:embed="rId13"/>
                    <a:stretch>
                      <a:fillRect/>
                    </a:stretch>
                  </pic:blipFill>
                  <pic:spPr>
                    <a:xfrm>
                      <a:off x="0" y="0"/>
                      <a:ext cx="5040000" cy="2544969"/>
                    </a:xfrm>
                    <a:prstGeom prst="rect"/>
                  </pic:spPr>
                </pic:pic>
              </a:graphicData>
            </a:graphic>
          </wp:inline>
        </w:drawing>
      </w:r>
    </w:p>
    <w:p>
      <w:pPr>
        <w:spacing w:after="200"/>
        <w:jc w:val="center"/>
      </w:pPr>
      <w:r>
        <w:rPr>
          <w:rFonts w:ascii="Times New Roman" w:hAnsi="Times New Roman" w:eastAsia="宋体"/>
          <w:sz w:val="18"/>
        </w:rPr>
        <w:t>图 4  聚类结果与真实细胞系的列联表。</w:t>
      </w:r>
    </w:p>
    <w:p>
      <w:pPr>
        <w:keepNext/>
        <w:spacing w:before="200" w:after="120"/>
      </w:pPr>
      <w:r>
        <w:rPr>
          <w:rFonts w:ascii="Times New Roman" w:hAnsi="Times New Roman" w:eastAsia="黑体"/>
          <w:b/>
          <w:sz w:val="26"/>
        </w:rPr>
        <w:t>3.4  亚群的成因：技术分层与真实异质性</w:t>
      </w:r>
    </w:p>
    <w:p>
      <w:pPr>
        <w:spacing w:after="120" w:before="0" w:line="384" w:lineRule="auto"/>
        <w:ind w:firstLine="420"/>
        <w:jc w:val="both"/>
      </w:pPr>
      <w:r>
        <w:rPr>
          <w:rFonts w:ascii="Times New Roman" w:hAnsi="Times New Roman" w:eastAsia="宋体"/>
          <w:b w:val="0"/>
          <w:i w:val="0"/>
          <w:sz w:val="21"/>
        </w:rPr>
        <w:t>在 res=0.2 下，H838 与 H1975 各被拆分为两个亚群。为判断其性质，我们首先排除细胞周期的影响：对 S 与 G2M 分数回归后重跑全流程，ΔARI = +0.0000，簇结构基本不变，说明细胞周期并非亚群形成的主要驱动因素。</w:t>
      </w:r>
    </w:p>
    <w:p>
      <w:pPr>
        <w:spacing w:after="120" w:before="0" w:line="384" w:lineRule="auto"/>
        <w:ind w:firstLine="420"/>
        <w:jc w:val="both"/>
      </w:pPr>
      <w:r>
        <w:rPr>
          <w:rFonts w:ascii="Times New Roman" w:hAnsi="Times New Roman" w:eastAsia="宋体"/>
          <w:b w:val="0"/>
          <w:i w:val="0"/>
          <w:sz w:val="21"/>
        </w:rPr>
        <w:t>进一步比较两个亚群的测序深度，结果显示两者性质截然不同（表 3、图 5）。H838 的两个亚群中位 UMI 分别为 34777 与 13577，相差 2.561 倍（Mann-Whitney p &lt; 1×10⁻³⁰⁰），检出基因数亦相差 1.53 倍；该"亚群"实质上是文库深度差异造成的技术性分层，其差异基因富集于 GAPDH、ENO1、LDHB 等高丰度管家基因，符合深度不足时低丰度转录本检出率下降的预期。相比之下，H1975 的两个亚群中位 UMI 为 29699 与 28308，仅相差 1.049 倍（p = 0.09，不显著），提示其反映真实的转录状态差异。</w:t>
      </w:r>
    </w:p>
    <w:p>
      <w:pPr>
        <w:spacing w:after="60" w:before="0"/>
      </w:pPr>
      <w:r>
        <w:rPr>
          <w:rFonts w:ascii="Times New Roman" w:hAnsi="Times New Roman" w:eastAsia="宋体"/>
          <w:b/>
          <w:i w:val="0"/>
          <w:sz w:val="18"/>
        </w:rPr>
        <w:t>表 3  亚群测序深度诊断</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1020"/>
            <w:shd w:val="clear" w:fill="E8E8E8"/>
          </w:tcPr>
          <w:p>
            <w:pPr>
              <w:jc w:val="center"/>
            </w:pPr>
            <w:r/>
            <w:r>
              <w:rPr>
                <w:rFonts w:ascii="Times New Roman" w:hAnsi="Times New Roman" w:eastAsia="黑体"/>
                <w:b/>
                <w:sz w:val="18"/>
              </w:rPr>
              <w:t>细胞系</w:t>
            </w:r>
          </w:p>
        </w:tc>
        <w:tc>
          <w:tcPr>
            <w:tcW w:type="dxa" w:w="1247"/>
            <w:shd w:val="clear" w:fill="E8E8E8"/>
          </w:tcPr>
          <w:p>
            <w:pPr>
              <w:jc w:val="center"/>
            </w:pPr>
            <w:r/>
            <w:r>
              <w:rPr>
                <w:rFonts w:ascii="Times New Roman" w:hAnsi="Times New Roman" w:eastAsia="黑体"/>
                <w:b/>
                <w:sz w:val="18"/>
              </w:rPr>
              <w:t>亚群A UMI</w:t>
            </w:r>
          </w:p>
        </w:tc>
        <w:tc>
          <w:tcPr>
            <w:tcW w:type="dxa" w:w="1247"/>
            <w:shd w:val="clear" w:fill="E8E8E8"/>
          </w:tcPr>
          <w:p>
            <w:pPr>
              <w:jc w:val="center"/>
            </w:pPr>
            <w:r/>
            <w:r>
              <w:rPr>
                <w:rFonts w:ascii="Times New Roman" w:hAnsi="Times New Roman" w:eastAsia="黑体"/>
                <w:b/>
                <w:sz w:val="18"/>
              </w:rPr>
              <w:t>亚群B UMI</w:t>
            </w:r>
          </w:p>
        </w:tc>
        <w:tc>
          <w:tcPr>
            <w:tcW w:type="dxa" w:w="1020"/>
            <w:shd w:val="clear" w:fill="E8E8E8"/>
          </w:tcPr>
          <w:p>
            <w:pPr>
              <w:jc w:val="center"/>
            </w:pPr>
            <w:r/>
            <w:r>
              <w:rPr>
                <w:rFonts w:ascii="Times New Roman" w:hAnsi="Times New Roman" w:eastAsia="黑体"/>
                <w:b/>
                <w:sz w:val="18"/>
              </w:rPr>
              <w:t>UMI 比</w:t>
            </w:r>
          </w:p>
        </w:tc>
        <w:tc>
          <w:tcPr>
            <w:tcW w:type="dxa" w:w="1020"/>
            <w:shd w:val="clear" w:fill="E8E8E8"/>
          </w:tcPr>
          <w:p>
            <w:pPr>
              <w:jc w:val="center"/>
            </w:pPr>
            <w:r/>
            <w:r>
              <w:rPr>
                <w:rFonts w:ascii="Times New Roman" w:hAnsi="Times New Roman" w:eastAsia="黑体"/>
                <w:b/>
                <w:sz w:val="18"/>
              </w:rPr>
              <w:t>基因数比</w:t>
            </w:r>
          </w:p>
        </w:tc>
        <w:tc>
          <w:tcPr>
            <w:tcW w:type="dxa" w:w="1247"/>
            <w:shd w:val="clear" w:fill="E8E8E8"/>
          </w:tcPr>
          <w:p>
            <w:pPr>
              <w:jc w:val="center"/>
            </w:pPr>
            <w:r/>
            <w:r>
              <w:rPr>
                <w:rFonts w:ascii="Times New Roman" w:hAnsi="Times New Roman" w:eastAsia="黑体"/>
                <w:b/>
                <w:sz w:val="18"/>
              </w:rPr>
              <w:t>p 值</w:t>
            </w:r>
          </w:p>
        </w:tc>
        <w:tc>
          <w:tcPr>
            <w:tcW w:type="dxa" w:w="1701"/>
            <w:shd w:val="clear" w:fill="E8E8E8"/>
          </w:tcPr>
          <w:p>
            <w:pPr>
              <w:jc w:val="center"/>
            </w:pPr>
            <w:r/>
            <w:r>
              <w:rPr>
                <w:rFonts w:ascii="Times New Roman" w:hAnsi="Times New Roman" w:eastAsia="黑体"/>
                <w:b/>
                <w:sz w:val="18"/>
              </w:rPr>
              <w:t>判定</w:t>
            </w:r>
          </w:p>
        </w:tc>
      </w:tr>
      <w:tr>
        <w:tc>
          <w:tcPr>
            <w:tcW w:type="dxa" w:w="1020"/>
          </w:tcPr>
          <w:p>
            <w:pPr>
              <w:spacing w:after="40" w:before="40"/>
            </w:pPr>
            <w:r/>
            <w:r>
              <w:rPr>
                <w:rFonts w:ascii="Times New Roman" w:hAnsi="Times New Roman" w:eastAsia="宋体"/>
                <w:sz w:val="18"/>
              </w:rPr>
              <w:t>H838</w:t>
            </w:r>
          </w:p>
        </w:tc>
        <w:tc>
          <w:tcPr>
            <w:tcW w:type="dxa" w:w="1247"/>
          </w:tcPr>
          <w:p>
            <w:pPr>
              <w:spacing w:after="40" w:before="40"/>
            </w:pPr>
            <w:r/>
            <w:r>
              <w:rPr>
                <w:rFonts w:ascii="Times New Roman" w:hAnsi="Times New Roman" w:eastAsia="宋体"/>
                <w:sz w:val="18"/>
              </w:rPr>
              <w:t>34777</w:t>
            </w:r>
          </w:p>
        </w:tc>
        <w:tc>
          <w:tcPr>
            <w:tcW w:type="dxa" w:w="1247"/>
          </w:tcPr>
          <w:p>
            <w:pPr>
              <w:spacing w:after="40" w:before="40"/>
            </w:pPr>
            <w:r/>
            <w:r>
              <w:rPr>
                <w:rFonts w:ascii="Times New Roman" w:hAnsi="Times New Roman" w:eastAsia="宋体"/>
                <w:sz w:val="18"/>
              </w:rPr>
              <w:t>13577</w:t>
            </w:r>
          </w:p>
        </w:tc>
        <w:tc>
          <w:tcPr>
            <w:tcW w:type="dxa" w:w="1020"/>
          </w:tcPr>
          <w:p>
            <w:pPr>
              <w:spacing w:after="40" w:before="40"/>
            </w:pPr>
            <w:r/>
            <w:r>
              <w:rPr>
                <w:rFonts w:ascii="Times New Roman" w:hAnsi="Times New Roman" w:eastAsia="宋体"/>
                <w:sz w:val="18"/>
              </w:rPr>
              <w:t>2.561×</w:t>
            </w:r>
          </w:p>
        </w:tc>
        <w:tc>
          <w:tcPr>
            <w:tcW w:type="dxa" w:w="1020"/>
          </w:tcPr>
          <w:p>
            <w:pPr>
              <w:spacing w:after="40" w:before="40"/>
            </w:pPr>
            <w:r/>
            <w:r>
              <w:rPr>
                <w:rFonts w:ascii="Times New Roman" w:hAnsi="Times New Roman" w:eastAsia="宋体"/>
                <w:sz w:val="18"/>
              </w:rPr>
              <w:t>1.534×</w:t>
            </w:r>
          </w:p>
        </w:tc>
        <w:tc>
          <w:tcPr>
            <w:tcW w:type="dxa" w:w="1247"/>
          </w:tcPr>
          <w:p>
            <w:pPr>
              <w:spacing w:after="40" w:before="40"/>
            </w:pPr>
            <w:r/>
            <w:r>
              <w:rPr>
                <w:rFonts w:ascii="Times New Roman" w:hAnsi="Times New Roman" w:eastAsia="宋体"/>
                <w:sz w:val="18"/>
              </w:rPr>
              <w:t>p &lt; 1e-300</w:t>
            </w:r>
          </w:p>
        </w:tc>
        <w:tc>
          <w:tcPr>
            <w:tcW w:type="dxa" w:w="1701"/>
          </w:tcPr>
          <w:p>
            <w:pPr>
              <w:spacing w:after="40" w:before="40"/>
            </w:pPr>
            <w:r/>
            <w:r>
              <w:rPr>
                <w:rFonts w:ascii="Times New Roman" w:hAnsi="Times New Roman" w:eastAsia="宋体"/>
                <w:sz w:val="18"/>
              </w:rPr>
              <w:t>技术性</w:t>
            </w:r>
          </w:p>
        </w:tc>
      </w:tr>
      <w:tr>
        <w:tc>
          <w:tcPr>
            <w:tcW w:type="dxa" w:w="1020"/>
          </w:tcPr>
          <w:p>
            <w:pPr>
              <w:spacing w:after="40" w:before="40"/>
            </w:pPr>
            <w:r/>
            <w:r>
              <w:rPr>
                <w:rFonts w:ascii="Times New Roman" w:hAnsi="Times New Roman" w:eastAsia="宋体"/>
                <w:sz w:val="18"/>
              </w:rPr>
              <w:t>H1975</w:t>
            </w:r>
          </w:p>
        </w:tc>
        <w:tc>
          <w:tcPr>
            <w:tcW w:type="dxa" w:w="1247"/>
          </w:tcPr>
          <w:p>
            <w:pPr>
              <w:spacing w:after="40" w:before="40"/>
            </w:pPr>
            <w:r/>
            <w:r>
              <w:rPr>
                <w:rFonts w:ascii="Times New Roman" w:hAnsi="Times New Roman" w:eastAsia="宋体"/>
                <w:sz w:val="18"/>
              </w:rPr>
              <w:t>29699</w:t>
            </w:r>
          </w:p>
        </w:tc>
        <w:tc>
          <w:tcPr>
            <w:tcW w:type="dxa" w:w="1247"/>
          </w:tcPr>
          <w:p>
            <w:pPr>
              <w:spacing w:after="40" w:before="40"/>
            </w:pPr>
            <w:r/>
            <w:r>
              <w:rPr>
                <w:rFonts w:ascii="Times New Roman" w:hAnsi="Times New Roman" w:eastAsia="宋体"/>
                <w:sz w:val="18"/>
              </w:rPr>
              <w:t>28308</w:t>
            </w:r>
          </w:p>
        </w:tc>
        <w:tc>
          <w:tcPr>
            <w:tcW w:type="dxa" w:w="1020"/>
          </w:tcPr>
          <w:p>
            <w:pPr>
              <w:spacing w:after="40" w:before="40"/>
            </w:pPr>
            <w:r/>
            <w:r>
              <w:rPr>
                <w:rFonts w:ascii="Times New Roman" w:hAnsi="Times New Roman" w:eastAsia="宋体"/>
                <w:sz w:val="18"/>
              </w:rPr>
              <w:t>1.049×</w:t>
            </w:r>
          </w:p>
        </w:tc>
        <w:tc>
          <w:tcPr>
            <w:tcW w:type="dxa" w:w="1020"/>
          </w:tcPr>
          <w:p>
            <w:pPr>
              <w:spacing w:after="40" w:before="40"/>
            </w:pPr>
            <w:r/>
            <w:r>
              <w:rPr>
                <w:rFonts w:ascii="Times New Roman" w:hAnsi="Times New Roman" w:eastAsia="宋体"/>
                <w:sz w:val="18"/>
              </w:rPr>
              <w:t>1.066×</w:t>
            </w:r>
          </w:p>
        </w:tc>
        <w:tc>
          <w:tcPr>
            <w:tcW w:type="dxa" w:w="1247"/>
          </w:tcPr>
          <w:p>
            <w:pPr>
              <w:spacing w:after="40" w:before="40"/>
            </w:pPr>
            <w:r/>
            <w:r>
              <w:rPr>
                <w:rFonts w:ascii="Times New Roman" w:hAnsi="Times New Roman" w:eastAsia="宋体"/>
                <w:sz w:val="18"/>
              </w:rPr>
              <w:t>0.09</w:t>
            </w:r>
          </w:p>
        </w:tc>
        <w:tc>
          <w:tcPr>
            <w:tcW w:type="dxa" w:w="1701"/>
          </w:tcPr>
          <w:p>
            <w:pPr>
              <w:spacing w:after="40" w:before="40"/>
            </w:pPr>
            <w:r/>
            <w:r>
              <w:rPr>
                <w:rFonts w:ascii="Times New Roman" w:hAnsi="Times New Roman" w:eastAsia="宋体"/>
                <w:sz w:val="18"/>
              </w:rPr>
              <w:t>生物学</w:t>
            </w:r>
          </w:p>
        </w:tc>
      </w:tr>
    </w:tbl>
    <w:p>
      <w:pPr>
        <w:spacing w:after="80"/>
      </w:pPr>
    </w:p>
    <w:p>
      <w:pPr>
        <w:spacing w:before="120"/>
        <w:jc w:val="center"/>
      </w:pPr>
      <w:r>
        <w:drawing>
          <wp:inline xmlns:a="http://schemas.openxmlformats.org/drawingml/2006/main" xmlns:pic="http://schemas.openxmlformats.org/drawingml/2006/picture">
            <wp:extent cx="5580000" cy="2160588"/>
            <wp:docPr id="5" name="Picture 5"/>
            <wp:cNvGraphicFramePr>
              <a:graphicFrameLocks noChangeAspect="1"/>
            </wp:cNvGraphicFramePr>
            <a:graphic>
              <a:graphicData uri="http://schemas.openxmlformats.org/drawingml/2006/picture">
                <pic:pic>
                  <pic:nvPicPr>
                    <pic:cNvPr id="0" name="fig06_subcluster_origin.png"/>
                    <pic:cNvPicPr/>
                  </pic:nvPicPr>
                  <pic:blipFill>
                    <a:blip r:embed="rId14"/>
                    <a:stretch>
                      <a:fillRect/>
                    </a:stretch>
                  </pic:blipFill>
                  <pic:spPr>
                    <a:xfrm>
                      <a:off x="0" y="0"/>
                      <a:ext cx="5580000" cy="2160588"/>
                    </a:xfrm>
                    <a:prstGeom prst="rect"/>
                  </pic:spPr>
                </pic:pic>
              </a:graphicData>
            </a:graphic>
          </wp:inline>
        </w:drawing>
      </w:r>
    </w:p>
    <w:p>
      <w:pPr>
        <w:spacing w:after="200"/>
        <w:jc w:val="center"/>
      </w:pPr>
      <w:r>
        <w:rPr>
          <w:rFonts w:ascii="Times New Roman" w:hAnsi="Times New Roman" w:eastAsia="宋体"/>
          <w:sz w:val="18"/>
        </w:rPr>
        <w:t>图 5  亚群溯源。左侧为各亚群测序深度分布，右侧为细胞周期分数散点。</w:t>
      </w:r>
    </w:p>
    <w:p>
      <w:pPr>
        <w:keepNext/>
        <w:spacing w:before="200" w:after="120"/>
      </w:pPr>
      <w:r>
        <w:rPr>
          <w:rFonts w:ascii="Times New Roman" w:hAnsi="Times New Roman" w:eastAsia="黑体"/>
          <w:b/>
          <w:sz w:val="26"/>
        </w:rPr>
        <w:t>3.5  标记基因验证</w:t>
      </w:r>
    </w:p>
    <w:p>
      <w:pPr>
        <w:spacing w:after="120" w:before="0" w:line="384" w:lineRule="auto"/>
        <w:ind w:firstLine="420"/>
        <w:jc w:val="both"/>
      </w:pPr>
      <w:r>
        <w:rPr>
          <w:rFonts w:ascii="Times New Roman" w:hAnsi="Times New Roman" w:eastAsia="宋体"/>
          <w:b w:val="0"/>
          <w:i w:val="0"/>
          <w:sz w:val="21"/>
        </w:rPr>
        <w:t>以 demuxlet 标签为分组（独立于表达数据，p 值有效）计算各细胞系的标记基因。HCC827 的 EGFR 平均表达量为 1.81，显著高于其余四系（0.11–0.40），与该细胞系已知的 EGFR 基因扩增一致；A549 高表达醛酮还原酶家族成员 AKR1B10、AKR1C2、AKR1C3 及 ALDH1A1；H838 特异表达 GAGE 家族癌睾抗原；H2228 高表达 SAA1、CXCL1 等炎症相关基因（图 6、图 7）。这些特征与文献记载吻合，为分析流程的正确性提供了生物学层面的佐证。</w:t>
      </w:r>
    </w:p>
    <w:p>
      <w:pPr>
        <w:spacing w:before="120"/>
        <w:jc w:val="center"/>
      </w:pPr>
      <w:r>
        <w:drawing>
          <wp:inline xmlns:a="http://schemas.openxmlformats.org/drawingml/2006/main" xmlns:pic="http://schemas.openxmlformats.org/drawingml/2006/picture">
            <wp:extent cx="5580000" cy="2379178"/>
            <wp:docPr id="6" name="Picture 6"/>
            <wp:cNvGraphicFramePr>
              <a:graphicFrameLocks noChangeAspect="1"/>
            </wp:cNvGraphicFramePr>
            <a:graphic>
              <a:graphicData uri="http://schemas.openxmlformats.org/drawingml/2006/picture">
                <pic:pic>
                  <pic:nvPicPr>
                    <pic:cNvPr id="0" name="fig07_markers_dotplot.png"/>
                    <pic:cNvPicPr/>
                  </pic:nvPicPr>
                  <pic:blipFill>
                    <a:blip r:embed="rId15"/>
                    <a:stretch>
                      <a:fillRect/>
                    </a:stretch>
                  </pic:blipFill>
                  <pic:spPr>
                    <a:xfrm>
                      <a:off x="0" y="0"/>
                      <a:ext cx="5580000" cy="2379178"/>
                    </a:xfrm>
                    <a:prstGeom prst="rect"/>
                  </pic:spPr>
                </pic:pic>
              </a:graphicData>
            </a:graphic>
          </wp:inline>
        </w:drawing>
      </w:r>
    </w:p>
    <w:p>
      <w:pPr>
        <w:spacing w:after="200"/>
        <w:jc w:val="center"/>
      </w:pPr>
      <w:r>
        <w:rPr>
          <w:rFonts w:ascii="Times New Roman" w:hAnsi="Times New Roman" w:eastAsia="宋体"/>
          <w:sz w:val="18"/>
        </w:rPr>
        <w:t>图 6  各细胞系标记基因点图。点大小为表达细胞比例，颜色为标准化表达量。</w:t>
      </w:r>
    </w:p>
    <w:p>
      <w:pPr>
        <w:spacing w:before="120"/>
        <w:jc w:val="center"/>
      </w:pPr>
      <w:r>
        <w:drawing>
          <wp:inline xmlns:a="http://schemas.openxmlformats.org/drawingml/2006/main" xmlns:pic="http://schemas.openxmlformats.org/drawingml/2006/picture">
            <wp:extent cx="5400000" cy="1896824"/>
            <wp:docPr id="7" name="Picture 7"/>
            <wp:cNvGraphicFramePr>
              <a:graphicFrameLocks noChangeAspect="1"/>
            </wp:cNvGraphicFramePr>
            <a:graphic>
              <a:graphicData uri="http://schemas.openxmlformats.org/drawingml/2006/picture">
                <pic:pic>
                  <pic:nvPicPr>
                    <pic:cNvPr id="0" name="fig08_known_markers.png"/>
                    <pic:cNvPicPr/>
                  </pic:nvPicPr>
                  <pic:blipFill>
                    <a:blip r:embed="rId16"/>
                    <a:stretch>
                      <a:fillRect/>
                    </a:stretch>
                  </pic:blipFill>
                  <pic:spPr>
                    <a:xfrm>
                      <a:off x="0" y="0"/>
                      <a:ext cx="5400000" cy="1896824"/>
                    </a:xfrm>
                    <a:prstGeom prst="rect"/>
                  </pic:spPr>
                </pic:pic>
              </a:graphicData>
            </a:graphic>
          </wp:inline>
        </w:drawing>
      </w:r>
    </w:p>
    <w:p>
      <w:pPr>
        <w:spacing w:after="200"/>
        <w:jc w:val="center"/>
      </w:pPr>
      <w:r>
        <w:rPr>
          <w:rFonts w:ascii="Times New Roman" w:hAnsi="Times New Roman" w:eastAsia="宋体"/>
          <w:sz w:val="18"/>
        </w:rPr>
        <w:t>图 7  已知特征基因验证。HCC827 的 EGFR 表达显著高于其余细胞系。</w:t>
      </w:r>
    </w:p>
    <w:p>
      <w:pPr>
        <w:keepNext/>
        <w:spacing w:before="280" w:after="120"/>
      </w:pPr>
      <w:r>
        <w:rPr>
          <w:rFonts w:ascii="Times New Roman" w:hAnsi="Times New Roman" w:eastAsia="黑体"/>
          <w:b/>
          <w:sz w:val="32"/>
        </w:rPr>
        <w:t>4  讨论</w:t>
      </w:r>
    </w:p>
    <w:p>
      <w:pPr>
        <w:spacing w:after="120" w:before="0" w:line="384" w:lineRule="auto"/>
        <w:ind w:firstLine="420"/>
        <w:jc w:val="both"/>
      </w:pPr>
      <w:r>
        <w:rPr>
          <w:rFonts w:ascii="Times New Roman" w:hAnsi="Times New Roman" w:eastAsia="宋体"/>
          <w:b w:val="0"/>
          <w:i w:val="0"/>
          <w:sz w:val="21"/>
        </w:rPr>
        <w:t>本研究利用基因型金标准，对单细胞分析流程中两个主观性最强的环节给出了定量刻画。结果有三点值得强调。</w:t>
      </w:r>
    </w:p>
    <w:p>
      <w:pPr>
        <w:spacing w:after="120" w:before="0" w:line="384" w:lineRule="auto"/>
        <w:ind w:firstLine="420"/>
        <w:jc w:val="both"/>
      </w:pPr>
      <w:r>
        <w:rPr>
          <w:rFonts w:ascii="Times New Roman" w:hAnsi="Times New Roman" w:eastAsia="宋体"/>
          <w:b w:val="0"/>
          <w:i w:val="0"/>
          <w:sz w:val="21"/>
        </w:rPr>
        <w:t>第一，doublet 检测工具的默认阈值蕴含着未被言明的取舍。Scrublet 在本数据上达到 100% 精确率，这意味着它移除的每一个细胞都确实是 doublet；但代价是近半数真实 doublet 被保留下来。对于以发现稀有细胞类型为目标的研究，残留的 doublet 可能形成虚假的"中间态"群体；而对于细胞数本就有限的样本，保守阈值则避免了过度删除。使用者应依据研究目的主动选择，而非默认接受工具的预设值。</w:t>
      </w:r>
    </w:p>
    <w:p>
      <w:pPr>
        <w:spacing w:after="120" w:before="0" w:line="384" w:lineRule="auto"/>
        <w:ind w:firstLine="420"/>
        <w:jc w:val="both"/>
      </w:pPr>
      <w:r>
        <w:rPr>
          <w:rFonts w:ascii="Times New Roman" w:hAnsi="Times New Roman" w:eastAsia="宋体"/>
          <w:b w:val="0"/>
          <w:i w:val="0"/>
          <w:sz w:val="21"/>
        </w:rPr>
        <w:t>第二，ARI 随分辨率单调下降的曲线，为"过聚类是默认失效模式"这一论断提供了直观证据。在本数据中真值为 5 类，但分辨率取 1.0 时会产生 16 个簇。若无金标准参照，这 16 个簇完全可以被逐一命名并赋予生物学解释。这提示：簇的数量应被视为分析者选择的描述尺度，而非数据固有的属性。</w:t>
      </w:r>
    </w:p>
    <w:p>
      <w:pPr>
        <w:spacing w:after="120" w:before="0" w:line="384" w:lineRule="auto"/>
        <w:ind w:firstLine="420"/>
        <w:jc w:val="both"/>
      </w:pPr>
      <w:r>
        <w:rPr>
          <w:rFonts w:ascii="Times New Roman" w:hAnsi="Times New Roman" w:eastAsia="宋体"/>
          <w:b w:val="0"/>
          <w:i w:val="0"/>
          <w:sz w:val="21"/>
        </w:rPr>
        <w:t>第三，也是实践中最容易被忽视的一点：识别出的亚群未必具有生物学含义。本研究中 H838 的两个亚群在细胞周期回归后依然存在，若仅做到这一步，很自然会把它解读为真实的转录亚状态。但测序深度诊断揭示两者相差 2.56 倍，且其差异基因集中于高丰度管家基因——这是深度分层的典型特征而非生物学信号。相较之下，H1975 的亚群在深度相当的情况下依然分离，才更可能反映真实异质性。我们建议在报告任何亚群之前，将测序深度与检出基因数的组间比较作为常规诊断步骤。</w:t>
      </w:r>
    </w:p>
    <w:p>
      <w:pPr>
        <w:keepNext/>
        <w:spacing w:before="200" w:after="120"/>
      </w:pPr>
      <w:r>
        <w:rPr>
          <w:rFonts w:ascii="Times New Roman" w:hAnsi="Times New Roman" w:eastAsia="黑体"/>
          <w:b/>
          <w:sz w:val="26"/>
        </w:rPr>
        <w:t>4.1  局限性</w:t>
      </w:r>
    </w:p>
    <w:p>
      <w:pPr>
        <w:pStyle w:val="ListBullet"/>
        <w:spacing w:after="60"/>
        <w:ind w:left="425"/>
      </w:pPr>
      <w:r>
        <w:rPr>
          <w:rFonts w:ascii="Times New Roman" w:hAnsi="Times New Roman" w:eastAsia="宋体"/>
          <w:sz w:val="20"/>
        </w:rPr>
        <w:t>使用的是永生化细胞系而非原代组织。细胞系间的转录差异远大于组织内近缘细胞类型，因此本文报告的 ARI 数值属于该任务难度下的上限，不能直接外推至复杂组织。</w:t>
      </w:r>
    </w:p>
    <w:p>
      <w:pPr>
        <w:pStyle w:val="ListBullet"/>
        <w:spacing w:after="60"/>
        <w:ind w:left="425"/>
      </w:pPr>
      <w:r>
        <w:rPr>
          <w:rFonts w:ascii="Times New Roman" w:hAnsi="Times New Roman" w:eastAsia="宋体"/>
          <w:sz w:val="20"/>
        </w:rPr>
        <w:t>仅评估了 Scrublet 一种 doublet 检测工具与 Leiden 一种聚类算法，未与 scDblFinder、DoubletFinder 或 Louvain 等做横向比较。</w:t>
      </w:r>
    </w:p>
    <w:p>
      <w:pPr>
        <w:pStyle w:val="ListBullet"/>
        <w:spacing w:after="60"/>
        <w:ind w:left="425"/>
      </w:pPr>
      <w:r>
        <w:rPr>
          <w:rFonts w:ascii="Times New Roman" w:hAnsi="Times New Roman" w:eastAsia="宋体"/>
          <w:sz w:val="20"/>
        </w:rPr>
        <w:t>demuxlet 本身也是算法推断，其标签虽独立于表达量，但并非绝对真值。</w:t>
      </w:r>
    </w:p>
    <w:p>
      <w:pPr>
        <w:pStyle w:val="ListBullet"/>
        <w:spacing w:after="60"/>
        <w:ind w:left="425"/>
      </w:pPr>
      <w:r>
        <w:rPr>
          <w:rFonts w:ascii="Times New Roman" w:hAnsi="Times New Roman" w:eastAsia="宋体"/>
          <w:sz w:val="20"/>
        </w:rPr>
        <w:t>单一测序平台（10x Chromium）与单一样本，未涉及批次整合场景。</w:t>
      </w:r>
    </w:p>
    <w:p>
      <w:pPr>
        <w:pStyle w:val="ListBullet"/>
        <w:spacing w:after="60"/>
        <w:ind w:left="425"/>
      </w:pPr>
      <w:r>
        <w:rPr>
          <w:rFonts w:ascii="Times New Roman" w:hAnsi="Times New Roman" w:eastAsia="宋体"/>
          <w:sz w:val="20"/>
        </w:rPr>
        <w:t>亚群差异基因的 p 值因 double-dipping 而无效，相关描述仅用于生成假设。</w:t>
      </w:r>
    </w:p>
    <w:p>
      <w:pPr>
        <w:pStyle w:val="ListBullet"/>
        <w:spacing w:after="60"/>
        <w:ind w:left="425"/>
      </w:pPr>
      <w:r>
        <w:rPr>
          <w:rFonts w:ascii="Times New Roman" w:hAnsi="Times New Roman" w:eastAsia="宋体"/>
          <w:sz w:val="20"/>
        </w:rPr>
        <w:t>本工作为方法学基准，使用已公开的基准数据集，不报告新的细胞生物学发现。</w:t>
      </w:r>
    </w:p>
    <w:p>
      <w:pPr>
        <w:keepNext/>
        <w:spacing w:before="200" w:after="120"/>
      </w:pPr>
      <w:r>
        <w:rPr>
          <w:rFonts w:ascii="Times New Roman" w:hAnsi="Times New Roman" w:eastAsia="黑体"/>
          <w:b/>
          <w:sz w:val="26"/>
        </w:rPr>
        <w:t>4.2  结论</w:t>
      </w:r>
    </w:p>
    <w:p>
      <w:pPr>
        <w:spacing w:after="120" w:before="0" w:line="384" w:lineRule="auto"/>
        <w:ind w:firstLine="420"/>
        <w:jc w:val="both"/>
      </w:pPr>
      <w:r>
        <w:rPr>
          <w:rFonts w:ascii="Times New Roman" w:hAnsi="Times New Roman" w:eastAsia="宋体"/>
          <w:b w:val="0"/>
          <w:i w:val="0"/>
          <w:sz w:val="21"/>
        </w:rPr>
        <w:t>基因型金标准使单细胞分析中的关键参数得以客观评估。Scrublet 在本数据上的判别能力良好（AUROC 0.914），但默认阈值以召回率换取精确率，使用者需按研究目的调整；聚类分辨率存在明确最优点（ARI 0.9995），且 ARI 随分辨率升高单调下降，印证过聚类的普遍风险；而分辨率提高后出现的亚群必须经测序深度诊断，方能区分技术性分层与真实生物学异质性。本研究同时提供了一套开源、参数透明、可复现的评估流程。</w:t>
      </w:r>
    </w:p>
    <w:p>
      <w:pPr>
        <w:keepNext/>
        <w:spacing w:before="280" w:after="120"/>
      </w:pPr>
      <w:r>
        <w:rPr>
          <w:rFonts w:ascii="Times New Roman" w:hAnsi="Times New Roman" w:eastAsia="黑体"/>
          <w:b/>
          <w:sz w:val="32"/>
        </w:rPr>
        <w:t>5  声明</w:t>
      </w:r>
    </w:p>
    <w:p>
      <w:pPr>
        <w:keepNext/>
        <w:spacing w:before="200" w:after="120"/>
      </w:pPr>
      <w:r>
        <w:rPr>
          <w:rFonts w:ascii="Times New Roman" w:hAnsi="Times New Roman" w:eastAsia="黑体"/>
          <w:b/>
          <w:sz w:val="23"/>
        </w:rPr>
        <w:t>数据可获取性</w:t>
      </w:r>
    </w:p>
    <w:p>
      <w:pPr>
        <w:spacing w:after="120" w:before="0"/>
        <w:ind w:firstLine="420"/>
      </w:pPr>
      <w:r>
        <w:rPr>
          <w:rFonts w:ascii="Times New Roman" w:hAnsi="Times New Roman" w:eastAsia="宋体"/>
          <w:b w:val="0"/>
          <w:i w:val="0"/>
          <w:sz w:val="20"/>
        </w:rPr>
        <w:t>数据集可自 NCBI GEO 以登录号 GSE118767 获取，处理后的计数矩阵见 https://github.com/LuyiTian/sc_mixology。本研究的分析代码、参数与全部中间结果已开源。</w:t>
      </w:r>
    </w:p>
    <w:p>
      <w:pPr>
        <w:keepNext/>
        <w:spacing w:before="200" w:after="120"/>
      </w:pPr>
      <w:r>
        <w:rPr>
          <w:rFonts w:ascii="Times New Roman" w:hAnsi="Times New Roman" w:eastAsia="黑体"/>
          <w:b/>
          <w:sz w:val="23"/>
        </w:rPr>
        <w:t>作者贡献</w:t>
      </w:r>
    </w:p>
    <w:p>
      <w:pPr>
        <w:spacing w:after="120" w:before="0"/>
        <w:ind w:firstLine="420"/>
      </w:pPr>
      <w:r>
        <w:rPr>
          <w:rFonts w:ascii="Times New Roman" w:hAnsi="Times New Roman" w:eastAsia="宋体"/>
          <w:b w:val="0"/>
          <w:i/>
          <w:sz w:val="20"/>
        </w:rPr>
        <w:t>［按实际情况填写］</w:t>
      </w:r>
    </w:p>
    <w:p>
      <w:pPr>
        <w:keepNext/>
        <w:spacing w:before="200" w:after="120"/>
      </w:pPr>
      <w:r>
        <w:rPr>
          <w:rFonts w:ascii="Times New Roman" w:hAnsi="Times New Roman" w:eastAsia="黑体"/>
          <w:b/>
          <w:sz w:val="23"/>
        </w:rPr>
        <w:t>利益冲突</w:t>
      </w:r>
    </w:p>
    <w:p>
      <w:pPr>
        <w:spacing w:after="120" w:before="0"/>
        <w:ind w:firstLine="420"/>
      </w:pPr>
      <w:r>
        <w:rPr>
          <w:rFonts w:ascii="Times New Roman" w:hAnsi="Times New Roman" w:eastAsia="宋体"/>
          <w:b w:val="0"/>
          <w:i w:val="0"/>
          <w:sz w:val="20"/>
        </w:rPr>
        <w:t>作者声明无利益冲突。</w:t>
      </w:r>
    </w:p>
    <w:p>
      <w:pPr>
        <w:keepNext/>
        <w:spacing w:before="200" w:after="120"/>
      </w:pPr>
      <w:r>
        <w:rPr>
          <w:rFonts w:ascii="Times New Roman" w:hAnsi="Times New Roman" w:eastAsia="黑体"/>
          <w:b/>
          <w:sz w:val="23"/>
        </w:rPr>
        <w:t>基金资助</w:t>
      </w:r>
    </w:p>
    <w:p>
      <w:pPr>
        <w:spacing w:after="120" w:before="0"/>
        <w:ind w:firstLine="420"/>
      </w:pPr>
      <w:r>
        <w:rPr>
          <w:rFonts w:ascii="Times New Roman" w:hAnsi="Times New Roman" w:eastAsia="宋体"/>
          <w:b w:val="0"/>
          <w:i/>
          <w:sz w:val="20"/>
        </w:rPr>
        <w:t>［填写基金编号，若无可写：本研究未获得专项经费资助］</w:t>
      </w:r>
    </w:p>
    <w:p>
      <w:pPr>
        <w:keepNext/>
        <w:spacing w:before="280" w:after="120"/>
      </w:pPr>
      <w:r>
        <w:rPr>
          <w:rFonts w:ascii="Times New Roman" w:hAnsi="Times New Roman" w:eastAsia="黑体"/>
          <w:b/>
          <w:sz w:val="32"/>
        </w:rPr>
        <w:t>参考文献</w:t>
      </w:r>
    </w:p>
    <w:p>
      <w:pPr>
        <w:spacing w:after="80" w:before="0"/>
        <w:ind w:left="510" w:hanging="510"/>
        <w:jc w:val="both"/>
      </w:pPr>
      <w:r>
        <w:rPr>
          <w:rFonts w:ascii="Times New Roman" w:hAnsi="Times New Roman" w:eastAsia="宋体"/>
          <w:b w:val="0"/>
          <w:i w:val="0"/>
          <w:sz w:val="19"/>
        </w:rPr>
        <w:t>[1]  Tian L, Dong X, Freytag S, et al. Benchmarking single cell RNA-sequencing analysis pipelines using mixture control experiments. Nat Methods. 2019;16(6):479-487.</w:t>
      </w:r>
    </w:p>
    <w:p>
      <w:pPr>
        <w:spacing w:after="80" w:before="0"/>
        <w:ind w:left="510" w:hanging="510"/>
        <w:jc w:val="both"/>
      </w:pPr>
      <w:r>
        <w:rPr>
          <w:rFonts w:ascii="Times New Roman" w:hAnsi="Times New Roman" w:eastAsia="宋体"/>
          <w:b w:val="0"/>
          <w:i w:val="0"/>
          <w:sz w:val="19"/>
        </w:rPr>
        <w:t>[2]  Kang HM, Subramaniam M, Targ S, et al. Multiplexed droplet single-cell RNA-sequencing using natural genetic variation. Nat Biotechnol. 2018;36(1):89-94.</w:t>
      </w:r>
    </w:p>
    <w:p>
      <w:pPr>
        <w:spacing w:after="80" w:before="0"/>
        <w:ind w:left="510" w:hanging="510"/>
        <w:jc w:val="both"/>
      </w:pPr>
      <w:r>
        <w:rPr>
          <w:rFonts w:ascii="Times New Roman" w:hAnsi="Times New Roman" w:eastAsia="宋体"/>
          <w:b w:val="0"/>
          <w:i w:val="0"/>
          <w:sz w:val="19"/>
        </w:rPr>
        <w:t>[3]  Wolock SL, Lopez R, Klein AM. Scrublet: computational identification of cell doublets in single-cell transcriptomic data. Cell Syst. 2019;8(4):281-291.</w:t>
      </w:r>
    </w:p>
    <w:p>
      <w:pPr>
        <w:spacing w:after="80" w:before="0"/>
        <w:ind w:left="510" w:hanging="510"/>
        <w:jc w:val="both"/>
      </w:pPr>
      <w:r>
        <w:rPr>
          <w:rFonts w:ascii="Times New Roman" w:hAnsi="Times New Roman" w:eastAsia="宋体"/>
          <w:b w:val="0"/>
          <w:i w:val="0"/>
          <w:sz w:val="19"/>
        </w:rPr>
        <w:t>[4]  McGinnis CS, Murrow LM, Gartner ZJ. DoubletFinder: doublet detection in single-cell RNA sequencing data using artificial nearest neighbors. Cell Syst. 2019;8(4):329-337.</w:t>
      </w:r>
    </w:p>
    <w:p>
      <w:pPr>
        <w:spacing w:after="80" w:before="0"/>
        <w:ind w:left="510" w:hanging="510"/>
        <w:jc w:val="both"/>
      </w:pPr>
      <w:r>
        <w:rPr>
          <w:rFonts w:ascii="Times New Roman" w:hAnsi="Times New Roman" w:eastAsia="宋体"/>
          <w:b w:val="0"/>
          <w:i w:val="0"/>
          <w:sz w:val="19"/>
        </w:rPr>
        <w:t>[5]  Germain PL, Lun A, Garcia Meixide C, et al. Doublet identification in single-cell sequencing data using scDblFinder. F1000Res. 2021;10:979.</w:t>
      </w:r>
    </w:p>
    <w:p>
      <w:pPr>
        <w:spacing w:after="80" w:before="0"/>
        <w:ind w:left="510" w:hanging="510"/>
        <w:jc w:val="both"/>
      </w:pPr>
      <w:r>
        <w:rPr>
          <w:rFonts w:ascii="Times New Roman" w:hAnsi="Times New Roman" w:eastAsia="宋体"/>
          <w:b w:val="0"/>
          <w:i w:val="0"/>
          <w:sz w:val="19"/>
        </w:rPr>
        <w:t>[6]  Traag VA, Waltman L, van Eck NJ. From Louvain to Leiden: guaranteeing well-connected communities. Sci Rep. 2019;9:5233.</w:t>
      </w:r>
    </w:p>
    <w:p>
      <w:pPr>
        <w:spacing w:after="80" w:before="0"/>
        <w:ind w:left="510" w:hanging="510"/>
        <w:jc w:val="both"/>
      </w:pPr>
      <w:r>
        <w:rPr>
          <w:rFonts w:ascii="Times New Roman" w:hAnsi="Times New Roman" w:eastAsia="宋体"/>
          <w:b w:val="0"/>
          <w:i w:val="0"/>
          <w:sz w:val="19"/>
        </w:rPr>
        <w:t>[7]  Blondel VD, Guillaume JL, Lambiotte R, Lefebvre E. Fast unfolding of communities in large networks. J Stat Mech. 2008;2008:P10008.</w:t>
      </w:r>
    </w:p>
    <w:p>
      <w:pPr>
        <w:spacing w:after="80" w:before="0"/>
        <w:ind w:left="510" w:hanging="510"/>
        <w:jc w:val="both"/>
      </w:pPr>
      <w:r>
        <w:rPr>
          <w:rFonts w:ascii="Times New Roman" w:hAnsi="Times New Roman" w:eastAsia="宋体"/>
          <w:b w:val="0"/>
          <w:i w:val="0"/>
          <w:sz w:val="19"/>
        </w:rPr>
        <w:t>[8]  Wolf FA, Angerer P, Theis FJ. SCANPY: large-scale single-cell gene expression data analysis. Genome Biol. 2018;19:15.</w:t>
      </w:r>
    </w:p>
    <w:p>
      <w:pPr>
        <w:spacing w:after="80" w:before="0"/>
        <w:ind w:left="510" w:hanging="510"/>
        <w:jc w:val="both"/>
      </w:pPr>
      <w:r>
        <w:rPr>
          <w:rFonts w:ascii="Times New Roman" w:hAnsi="Times New Roman" w:eastAsia="宋体"/>
          <w:b w:val="0"/>
          <w:i w:val="0"/>
          <w:sz w:val="19"/>
        </w:rPr>
        <w:t>[9]  Hubert L, Arabie P. Comparing partitions. J Classif. 1985;2:193-218.</w:t>
      </w:r>
    </w:p>
    <w:p>
      <w:pPr>
        <w:spacing w:after="80" w:before="0"/>
        <w:ind w:left="510" w:hanging="510"/>
        <w:jc w:val="both"/>
      </w:pPr>
      <w:r>
        <w:rPr>
          <w:rFonts w:ascii="Times New Roman" w:hAnsi="Times New Roman" w:eastAsia="宋体"/>
          <w:b w:val="0"/>
          <w:i w:val="0"/>
          <w:sz w:val="19"/>
        </w:rPr>
        <w:t>[10]  Tirosh I, Izar B, Prakadan SM, et al. Dissecting the multicellular ecosystem of metastatic melanoma by single-cell RNA-seq. Science. 2016;352(6282):189-196.</w:t>
      </w:r>
    </w:p>
    <w:p>
      <w:pPr>
        <w:spacing w:after="80" w:before="0"/>
        <w:ind w:left="510" w:hanging="510"/>
        <w:jc w:val="both"/>
      </w:pPr>
      <w:r>
        <w:rPr>
          <w:rFonts w:ascii="Times New Roman" w:hAnsi="Times New Roman" w:eastAsia="宋体"/>
          <w:b w:val="0"/>
          <w:i w:val="0"/>
          <w:sz w:val="19"/>
        </w:rPr>
        <w:t>[11]  Chari T, Pachter L. The specious art of single-cell genomics. PLoS Comput Biol. 2023;19(8):e1011288.</w:t>
      </w:r>
    </w:p>
    <w:p>
      <w:pPr>
        <w:spacing w:after="80" w:before="0"/>
        <w:ind w:left="510" w:hanging="510"/>
        <w:jc w:val="both"/>
      </w:pPr>
      <w:r>
        <w:rPr>
          <w:rFonts w:ascii="Times New Roman" w:hAnsi="Times New Roman" w:eastAsia="宋体"/>
          <w:b w:val="0"/>
          <w:i w:val="0"/>
          <w:sz w:val="19"/>
        </w:rPr>
        <w:t>[12]  Luecken MD, Theis FJ. Current best practices in single-cell RNA-seq analysis: a tutorial. Mol Syst Biol. 2019;15(6):e8746.</w:t>
      </w:r>
    </w:p>
    <w:p>
      <w:pPr>
        <w:spacing w:after="80" w:before="0"/>
        <w:ind w:left="510" w:hanging="510"/>
        <w:jc w:val="both"/>
      </w:pPr>
      <w:r>
        <w:rPr>
          <w:rFonts w:ascii="Times New Roman" w:hAnsi="Times New Roman" w:eastAsia="宋体"/>
          <w:b w:val="0"/>
          <w:i w:val="0"/>
          <w:sz w:val="19"/>
        </w:rPr>
        <w:t>[13]  Zappia L, Oshlack A. Clustering trees: a visualization for evaluating clusterings at multiple resolutions. Gigascience. 2018;7(7):giy083.</w:t>
      </w:r>
    </w:p>
    <w:p>
      <w:pPr>
        <w:spacing w:after="80" w:before="0"/>
        <w:ind w:left="510" w:hanging="510"/>
        <w:jc w:val="both"/>
      </w:pPr>
      <w:r>
        <w:rPr>
          <w:rFonts w:ascii="Times New Roman" w:hAnsi="Times New Roman" w:eastAsia="宋体"/>
          <w:b w:val="0"/>
          <w:i w:val="0"/>
          <w:sz w:val="19"/>
        </w:rPr>
        <w:t>[14]  Gandolfo LC, Speed TP. RLE plots: visualizing unwanted variation in high dimensional data. PLoS One. 2018;13(2):e0191629.</w:t>
      </w:r>
    </w:p>
    <w:sectPr w:rsidR="00FC693F" w:rsidRPr="0006063C" w:rsidSect="00034616">
      <w:footerReference w:type="default" r:id="rId9"/>
      <w:pgSz w:w="12240" w:h="15840"/>
      <w:pgMar w:top="1417" w:right="1191" w:bottom="141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8"/>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