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组特异性 AMP 分析结论（v1 精确序列 + v2 证伪 + v3 精确匹配）</w:t>
      </w:r>
    </w:p>
    <w:p>
      <w:r>
        <w:t>日期：2026-09-23；数据：14 组、35,061,523 条三票记录、12,665,622 条唯一三票 AMP（中位长 11 aa）。</w:t>
      </w:r>
    </w:p>
    <w:p>
      <w:pPr>
        <w:pStyle w:val="Heading2"/>
      </w:pPr>
      <w:r>
        <w:t>1. v1：精确序列层面（round 5）</w:t>
      </w:r>
    </w:p>
    <w:p>
      <w:pPr>
        <w:pStyle w:val="ListBullet"/>
      </w:pPr>
      <w:r>
        <w:t>Cohort2 AD vs NC：共享 199,135（~10%），Jaccard 0.0538；Cohort4：共享 390,206，Jaccard 0.0641。</w:t>
      </w:r>
    </w:p>
    <w:p>
      <w:pPr>
        <w:pStyle w:val="ListBullet"/>
      </w:pPr>
      <w:r>
        <w:t>Cohort1 五阶段特异 70–76%；core5（五阶段共有）36,851 条。</w:t>
      </w:r>
    </w:p>
    <w:p>
      <w:pPr>
        <w:pStyle w:val="ListBullet"/>
      </w:pPr>
      <w:r>
        <w:t>AD 特异 vs NC 特异理化特征几乎无差（Cliff's δ &lt; 0.02）；共享/核心序列更短（中位 7–10 vs 15–16 aa）且更富精氨酸。</w:t>
      </w:r>
    </w:p>
    <w:p>
      <w:pPr>
        <w:pStyle w:val="ListBullet"/>
      </w:pPr>
      <w:r>
        <w:t xml:space="preserve">初步判断：极端的"特异性"很可能是组装/菌株噪音，而非疾病信号。详见 </w:t>
      </w:r>
      <w:r>
        <w:rPr>
          <w:rFonts w:ascii="Consolas" w:hAnsi="Consolas"/>
          <w:sz w:val="19"/>
        </w:rPr>
        <w:t>results/group_specific/SUMMARY.md</w:t>
      </w:r>
      <w:r>
        <w:t>。</w:t>
      </w:r>
    </w:p>
    <w:p>
      <w:pPr>
        <w:pStyle w:val="Heading2"/>
      </w:pPr>
      <w:r>
        <w:t>2. v2：家族层面尝试被证伪（round 8/9/10）</w:t>
      </w:r>
    </w:p>
    <w:p>
      <w:pPr>
        <w:pStyle w:val="ListBullet"/>
      </w:pPr>
      <w:r>
        <w:t>90% 同一性聚类压缩比 1.0x（12,215,326 家族 / 12,665,622 序列），等于没聚类。</w:t>
      </w:r>
    </w:p>
    <w:p>
      <w:pPr>
        <w:pStyle w:val="ListBullet"/>
      </w:pPr>
      <w:r>
        <w:t>修好采样 bug 后重测：0.6 阈值下 20 万子样本压缩比仅 1.002x。</w:t>
      </w:r>
    </w:p>
    <w:p>
      <w:pPr>
        <w:pStyle w:val="ListBullet"/>
      </w:pPr>
      <w:r>
        <w:t>最近邻搜索：self 搜索仅 40–67% 命中（越短/越 R-rich 漏检越多），跨组 hit 仅 0.1–0.3%。</w:t>
      </w:r>
    </w:p>
    <w:p>
      <w:pPr>
        <w:pStyle w:val="ListBullet"/>
      </w:pPr>
      <w:r>
        <w:t>结论：mmseqs 的 k-mer prefilter 对 11 aa 短肽基本全盲，任何依赖预筛的聚类/搜索结论都不可靠；</w:t>
      </w:r>
    </w:p>
    <w:p>
      <w:r>
        <w:t xml:space="preserve">且 sORF 名不带 MAG/样本信息，无法做流行率检验。过程见 </w:t>
      </w:r>
      <w:r>
        <w:rPr>
          <w:rFonts w:ascii="Consolas" w:hAnsi="Consolas"/>
          <w:sz w:val="19"/>
        </w:rPr>
        <w:t>results/status/failure_log.md</w:t>
      </w:r>
      <w:r>
        <w:t>。</w:t>
      </w:r>
    </w:p>
    <w:p>
      <w:pPr>
        <w:pStyle w:val="Heading2"/>
      </w:pPr>
      <w:r>
        <w:t>3. v3：精确匹配层面，零 mmseqs（round 11）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分析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结果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A' 跨队列一致性（超几何）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AD-only 跨队列 fold 1.54x（178 万/期望 116 万，z=1145）；NC-only fold 3.10x（155 万/期望 50 万，z=2084）；两个交叉对照</w:t>
            </w:r>
            <w:r>
              <w:rPr>
                <w:b/>
                <w:sz w:val="18"/>
              </w:rPr>
              <w:t>零重叠</w:t>
            </w:r>
            <w:r>
              <w:rPr>
                <w:sz w:val="18"/>
              </w:rPr>
              <w:t>（期望 54 万/108 万）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D 长度分层（Cohort4 Jaccard）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≤10 aa 0.1025 → 11–15 aa 0.0476 → 16–25 aa 0.0407 → ≥26 aa 0.0313，单调下降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C 5-mer 富集（chi2+BH）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top1000 </w:t>
            </w:r>
            <w:r>
              <w:rPr>
                <w:b/>
                <w:sz w:val="18"/>
              </w:rPr>
              <w:t>零显著</w:t>
            </w:r>
            <w:r>
              <w:rPr>
                <w:sz w:val="18"/>
              </w:rPr>
              <w:t>（最小 BH=0.63）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B 深度校正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两组记录数比 &lt;2，步长=1 未实际下采样（无效，但反证深度差异不大）</w:t>
            </w:r>
          </w:p>
        </w:tc>
      </w:tr>
    </w:tbl>
    <w:p/>
    <w:p>
      <w:r>
        <w:t>注意：Cohort1（matched-265）是 Cohort3（full-476）的子集，队列非独立，fold 需打折解读。</w:t>
      </w:r>
    </w:p>
    <w:p>
      <w:r>
        <w:t xml:space="preserve">178 万条"可重复 AD-only"交集见 </w:t>
      </w:r>
      <w:r>
        <w:rPr>
          <w:rFonts w:ascii="Consolas" w:hAnsi="Consolas"/>
          <w:sz w:val="19"/>
        </w:rPr>
        <w:t>results/group_specific_v3/cross_cohort_AD_intersect.fa</w:t>
      </w:r>
    </w:p>
    <w:p>
      <w:r>
        <w:t xml:space="preserve">（75 MB），155 万条 NC 交集见 </w:t>
      </w:r>
      <w:r>
        <w:rPr>
          <w:rFonts w:ascii="Consolas" w:hAnsi="Consolas"/>
          <w:sz w:val="19"/>
        </w:rPr>
        <w:t>cross_cohort_NC_intersect.fa</w:t>
      </w:r>
      <w:r>
        <w:t>（66 MB）。</w:t>
      </w:r>
    </w:p>
    <w:p>
      <w:pPr>
        <w:pStyle w:val="Heading2"/>
      </w:pPr>
      <w:r>
        <w:t>4. 综合结论</w:t>
      </w:r>
    </w:p>
    <w:p>
      <w:pPr>
        <w:pStyle w:val="ListNumber"/>
      </w:pPr>
      <w:r>
        <w:rPr>
          <w:b/>
        </w:rPr>
        <w:t>现象</w:t>
      </w:r>
      <w:r>
        <w:t>：AD/NC 三票 AMP 序列库几乎不相交（Jaccard 0.03–0.10），且越长越不共享。</w:t>
      </w:r>
    </w:p>
    <w:p>
      <w:pPr>
        <w:pStyle w:val="ListNumber"/>
      </w:pPr>
      <w:r>
        <w:rPr>
          <w:b/>
        </w:rPr>
        <w:t>组成</w:t>
      </w:r>
      <w:r>
        <w:t>：5-mer 零差异、理化特征零差异——差异只在"采到哪些序列"，不在序列组成偏好。</w:t>
      </w:r>
    </w:p>
    <w:p>
      <w:pPr>
        <w:pStyle w:val="ListNumber"/>
      </w:pPr>
      <w:r>
        <w:rPr>
          <w:b/>
        </w:rPr>
        <w:t>稳定性</w:t>
      </w:r>
      <w:r>
        <w:t>：跨队列划分可重复（fold 1.5–3x，对照零重叠），不是纯随机；但队列非独立。</w:t>
      </w:r>
    </w:p>
    <w:p>
      <w:pPr>
        <w:pStyle w:val="ListNumber"/>
      </w:pPr>
      <w:r>
        <w:rPr>
          <w:b/>
        </w:rPr>
        <w:t>边界</w:t>
      </w:r>
      <w:r>
        <w:t>：在巨大 sORF 空间（1.6 亿唯一）下，上述现象与"采样不饱和 + 个体/组装差异"</w:t>
      </w:r>
    </w:p>
    <w:p>
      <w:r>
        <w:t>完全相容；</w:t>
      </w:r>
      <w:r>
        <w:rPr>
          <w:b/>
        </w:rPr>
        <w:t>没有样本级 presence 数据，无法区分疾病相关与采样噪音</w:t>
      </w:r>
      <w:r>
        <w:t>。</w:t>
      </w:r>
    </w:p>
    <w:p>
      <w:pPr>
        <w:pStyle w:val="Heading2"/>
      </w:pPr>
      <w:r>
        <w:t>5. 下一步（唯一能下生物学结论的路）</w:t>
      </w:r>
    </w:p>
    <w:p>
      <w:r>
        <w:t xml:space="preserve">从服务器导出 </w:t>
      </w:r>
      <w:r>
        <w:rPr>
          <w:rFonts w:ascii="Consolas" w:hAnsi="Consolas"/>
          <w:sz w:val="19"/>
        </w:rPr>
        <w:t>sorf2mag.tsv</w:t>
      </w:r>
      <w:r>
        <w:t>（sORF → MAG → 样本，每行一条，不大）→ 样本级 presence 矩阵 →</w:t>
      </w:r>
    </w:p>
    <w:p>
      <w:r>
        <w:t>每家族 Fisher+BH、五阶段 Cochran–Armitage 趋势检验、logistic（校正队列+深度）。</w:t>
      </w:r>
    </w:p>
    <w:p>
      <w:r>
        <w:t xml:space="preserve">拿到后本机 1 小时内出统计结果。详见 </w:t>
      </w:r>
      <w:r>
        <w:rPr>
          <w:rFonts w:ascii="Consolas" w:hAnsi="Consolas"/>
          <w:sz w:val="19"/>
        </w:rPr>
        <w:t>docs/differential_analysis_plan.md</w:t>
      </w:r>
      <w:r>
        <w:t xml:space="preserve"> §G。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