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ZoteroPref"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926080" cy="1110629"/>
            <wp:docPr id="1" name="Picture 1"/>
            <wp:cNvGraphicFramePr>
              <a:graphicFrameLocks noChangeAspect="1"/>
            </wp:cNvGraphicFramePr>
            <a:graphic>
              <a:graphicData uri="http://schemas.openxmlformats.org/drawingml/2006/picture">
                <pic:pic>
                  <pic:nvPicPr>
                    <pic:cNvPr id="0" name="ludong_logo_text.jpeg"/>
                    <pic:cNvPicPr/>
                  </pic:nvPicPr>
                  <pic:blipFill>
                    <a:blip r:embed="rId9"/>
                    <a:stretch>
                      <a:fillRect/>
                    </a:stretch>
                  </pic:blipFill>
                  <pic:spPr>
                    <a:xfrm>
                      <a:off x="0" y="0"/>
                      <a:ext cx="2926080" cy="1110629"/>
                    </a:xfrm>
                    <a:prstGeom prst="rect"/>
                  </pic:spPr>
                </pic:pic>
              </a:graphicData>
            </a:graphic>
          </wp:inline>
        </w:drawing>
      </w:r>
    </w:p>
    <w:p>
      <w:pPr>
        <w:jc w:val="center"/>
      </w:pPr>
      <w:r>
        <w:rPr>
          <w:b/>
          <w:sz w:val="36"/>
          <w:rFonts w:eastAsia="黑体"/>
        </w:rPr>
        <w:br/>
        <w:t>学术硕士学位论文</w:t>
        <w:br/>
      </w:r>
    </w:p>
    <w:p>
      <w:pPr>
        <w:jc w:val="center"/>
      </w:pPr>
      <w:r>
        <w:drawing>
          <wp:inline xmlns:a="http://schemas.openxmlformats.org/drawingml/2006/main" xmlns:pic="http://schemas.openxmlformats.org/drawingml/2006/picture">
            <wp:extent cx="1188720" cy="1196779"/>
            <wp:docPr id="2" name="Picture 2"/>
            <wp:cNvGraphicFramePr>
              <a:graphicFrameLocks noChangeAspect="1"/>
            </wp:cNvGraphicFramePr>
            <a:graphic>
              <a:graphicData uri="http://schemas.openxmlformats.org/drawingml/2006/picture">
                <pic:pic>
                  <pic:nvPicPr>
                    <pic:cNvPr id="0" name="ludong_emblem.jpeg"/>
                    <pic:cNvPicPr/>
                  </pic:nvPicPr>
                  <pic:blipFill>
                    <a:blip r:embed="rId10"/>
                    <a:stretch>
                      <a:fillRect/>
                    </a:stretch>
                  </pic:blipFill>
                  <pic:spPr>
                    <a:xfrm>
                      <a:off x="0" y="0"/>
                      <a:ext cx="1188720" cy="1196779"/>
                    </a:xfrm>
                    <a:prstGeom prst="rect"/>
                  </pic:spPr>
                </pic:pic>
              </a:graphicData>
            </a:graphic>
          </wp:inline>
        </w:drawing>
      </w:r>
    </w:p>
    <w:p>
      <w:pPr>
        <w:jc w:val="center"/>
      </w:pPr>
      <w:r>
        <w:rPr>
          <w:b/>
          <w:sz w:val="40"/>
          <w:rFonts w:eastAsia="黑体"/>
        </w:rPr>
        <w:br/>
        <w:t>牙周炎与阿尔茨海默病关联机制及牙龈卟啉单胞菌致病作用研究进展</w:t>
        <w:br/>
      </w:r>
      <w:r>
        <w:rPr>
          <w:rFonts w:ascii="Times New Roman" w:hAnsi="Times New Roman"/>
          <w:b/>
          <w:sz w:val="26"/>
        </w:rPr>
        <w:t>Research Progress on the Association Between Periodontitis and Alzheimer's Disease and the Pathogenic Role of Porphyromonas gingivalis</w:t>
        <w:br/>
        <w:br/>
      </w:r>
    </w:p>
    <w:tbl>
      <w:tblPr>
        <w:tblW w:type="auto" w:w="0"/>
        <w:jc w:val="center"/>
        <w:tblLook w:firstColumn="1" w:firstRow="1" w:lastColumn="0" w:lastRow="0" w:noHBand="0" w:noVBand="1" w:val="04A0"/>
      </w:tblPr>
      <w:tblGrid>
        <w:gridCol w:w="4255"/>
        <w:gridCol w:w="4255"/>
      </w:tblGrid>
      <w:tr>
        <w:tc>
          <w:tcPr>
            <w:tcW w:type="dxa" w:w="2160"/>
          </w:tcPr>
          <w:p>
            <w:pPr>
              <w:jc w:val="right"/>
            </w:pPr>
            <w:r>
              <w:rPr>
                <w:b/>
                <w:sz w:val="24"/>
                <w:rFonts w:eastAsia="宋体"/>
              </w:rPr>
              <w:t>专    业：</w:t>
            </w:r>
          </w:p>
        </w:tc>
        <w:tc>
          <w:tcPr>
            <w:tcW w:type="dxa" w:w="5040"/>
          </w:tcPr>
          <w:p>
            <w:pPr>
              <w:jc w:val="left"/>
            </w:pPr>
            <w:r>
              <w:rPr>
                <w:sz w:val="24"/>
                <w:rFonts w:eastAsia="宋体"/>
              </w:rPr>
              <w:t>口腔生物医学 / 基础医学</w:t>
            </w:r>
          </w:p>
        </w:tc>
      </w:tr>
      <w:tr>
        <w:tc>
          <w:tcPr>
            <w:tcW w:type="dxa" w:w="2160"/>
          </w:tcPr>
          <w:p>
            <w:pPr>
              <w:jc w:val="right"/>
            </w:pPr>
            <w:r>
              <w:rPr>
                <w:b/>
                <w:sz w:val="24"/>
                <w:rFonts w:eastAsia="宋体"/>
              </w:rPr>
              <w:t>学    号：</w:t>
            </w:r>
          </w:p>
        </w:tc>
        <w:tc>
          <w:tcPr>
            <w:tcW w:type="dxa" w:w="5040"/>
          </w:tcPr>
          <w:p>
            <w:pPr>
              <w:jc w:val="left"/>
            </w:pPr>
            <w:r>
              <w:rPr>
                <w:sz w:val="24"/>
                <w:rFonts w:eastAsia="宋体"/>
              </w:rPr>
              <w:t>2024010888</w:t>
            </w:r>
          </w:p>
        </w:tc>
      </w:tr>
      <w:tr>
        <w:tc>
          <w:tcPr>
            <w:tcW w:type="dxa" w:w="2160"/>
          </w:tcPr>
          <w:p>
            <w:pPr>
              <w:jc w:val="right"/>
            </w:pPr>
            <w:r>
              <w:rPr>
                <w:b/>
                <w:sz w:val="24"/>
                <w:rFonts w:eastAsia="宋体"/>
              </w:rPr>
              <w:t>作    者：</w:t>
            </w:r>
          </w:p>
        </w:tc>
        <w:tc>
          <w:tcPr>
            <w:tcW w:type="dxa" w:w="5040"/>
          </w:tcPr>
          <w:p>
            <w:pPr>
              <w:jc w:val="left"/>
            </w:pPr>
            <w:r>
              <w:rPr>
                <w:sz w:val="24"/>
                <w:rFonts w:eastAsia="宋体"/>
              </w:rPr>
              <w:t>张三</w:t>
            </w:r>
          </w:p>
        </w:tc>
      </w:tr>
      <w:tr>
        <w:tc>
          <w:tcPr>
            <w:tcW w:type="dxa" w:w="2160"/>
          </w:tcPr>
          <w:p>
            <w:pPr>
              <w:jc w:val="right"/>
            </w:pPr>
            <w:r>
              <w:rPr>
                <w:b/>
                <w:sz w:val="24"/>
                <w:rFonts w:eastAsia="宋体"/>
              </w:rPr>
              <w:t>指导教师：</w:t>
            </w:r>
          </w:p>
        </w:tc>
        <w:tc>
          <w:tcPr>
            <w:tcW w:type="dxa" w:w="5040"/>
          </w:tcPr>
          <w:p>
            <w:pPr>
              <w:jc w:val="left"/>
            </w:pPr>
            <w:r>
              <w:rPr>
                <w:sz w:val="24"/>
                <w:rFonts w:eastAsia="宋体"/>
              </w:rPr>
              <w:t>李教授</w:t>
            </w:r>
          </w:p>
        </w:tc>
      </w:tr>
      <w:tr>
        <w:tc>
          <w:tcPr>
            <w:tcW w:type="dxa" w:w="2160"/>
          </w:tcPr>
          <w:p>
            <w:pPr>
              <w:jc w:val="right"/>
            </w:pPr>
            <w:r>
              <w:rPr>
                <w:b/>
                <w:sz w:val="24"/>
                <w:rFonts w:eastAsia="宋体"/>
              </w:rPr>
              <w:t>培养学院：</w:t>
            </w:r>
          </w:p>
        </w:tc>
        <w:tc>
          <w:tcPr>
            <w:tcW w:type="dxa" w:w="5040"/>
          </w:tcPr>
          <w:p>
            <w:pPr>
              <w:jc w:val="left"/>
            </w:pPr>
            <w:r>
              <w:rPr>
                <w:sz w:val="24"/>
                <w:rFonts w:eastAsia="宋体"/>
              </w:rPr>
              <w:t>生命科学与医学工程学院</w:t>
            </w:r>
          </w:p>
        </w:tc>
      </w:tr>
      <w:tr>
        <w:tc>
          <w:tcPr>
            <w:tcW w:type="dxa" w:w="2160"/>
          </w:tcPr>
          <w:p>
            <w:pPr>
              <w:jc w:val="right"/>
            </w:pPr>
            <w:r>
              <w:rPr>
                <w:b/>
                <w:sz w:val="24"/>
                <w:rFonts w:eastAsia="宋体"/>
              </w:rPr>
              <w:t>完成日期：</w:t>
            </w:r>
          </w:p>
        </w:tc>
        <w:tc>
          <w:tcPr>
            <w:tcW w:type="dxa" w:w="5040"/>
          </w:tcPr>
          <w:p>
            <w:pPr>
              <w:jc w:val="left"/>
            </w:pPr>
            <w:r>
              <w:rPr>
                <w:sz w:val="24"/>
                <w:rFonts w:eastAsia="宋体"/>
              </w:rPr>
              <w:t>2026 年 8 月</w:t>
            </w:r>
          </w:p>
        </w:tc>
      </w:tr>
    </w:tbl>
    <w:p>
      <w:r>
        <w:br w:type="page"/>
      </w:r>
    </w:p>
    <w:p>
      <w:pPr>
        <w:jc w:val="center"/>
      </w:pPr>
      <w:r>
        <w:rPr>
          <w:b/>
          <w:sz w:val="32"/>
          <w:rFonts w:eastAsia="黑体"/>
        </w:rPr>
        <w:t>学位论文独创性声明</w:t>
        <w:br/>
      </w:r>
    </w:p>
    <w:p>
      <w:pPr>
        <w:ind w:firstLine="480"/>
      </w:pPr>
      <w:r>
        <w:rPr>
          <w:sz w:val="24"/>
        </w:rPr>
        <w:t>本人郑重声明：所呈交的学位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pPr>
        <w:jc w:val="right"/>
      </w:pPr>
      <w:r>
        <w:br/>
        <w:t>作者签名：_________________        日期：2026年   月   日</w:t>
        <w:br/>
        <w:br/>
      </w:r>
    </w:p>
    <w:p>
      <w:pPr>
        <w:jc w:val="center"/>
      </w:pPr>
      <w:r>
        <w:rPr>
          <w:b/>
          <w:sz w:val="32"/>
          <w:rFonts w:eastAsia="黑体"/>
        </w:rPr>
        <w:t>学位论文版权使用授权书</w:t>
        <w:br/>
      </w:r>
    </w:p>
    <w:p>
      <w:pPr>
        <w:ind w:firstLine="480"/>
      </w:pPr>
      <w:r>
        <w:t>本学位论文作者完全了解学校有关保留、使用学位论文的规定，同意学校保留并向国家有关部门或机构送交论文的复印件和电子版，允许论文被查阅和借阅。本人授权学校可以将本学位论文的全部或部分内容编入有关数据库进行检索，可以采用影印、缩印或扫描等复制手段保存和汇编本学位论文。</w:t>
      </w:r>
    </w:p>
    <w:p>
      <w:pPr>
        <w:jc w:val="right"/>
      </w:pPr>
      <w:r>
        <w:br/>
        <w:t>作者签名：_________________    导师签名：_________________</w:t>
        <w:br/>
        <w:t>日期：2026年   月   日            日期：2026年   月   日</w:t>
        <w:br/>
      </w:r>
    </w:p>
    <w:p>
      <w:r>
        <w:br w:type="page"/>
      </w:r>
    </w:p>
    <w:p>
      <w:pPr>
        <w:jc w:val="center"/>
      </w:pPr>
      <w:r>
        <w:rPr>
          <w:b/>
          <w:sz w:val="32"/>
          <w:rFonts w:eastAsia="黑体"/>
        </w:rPr>
        <w:t>摘    要</w:t>
        <w:br/>
      </w:r>
    </w:p>
    <w:p>
      <w:pPr>
        <w:ind w:firstLine="480"/>
      </w:pPr>
      <w:r>
        <w:t>阿尔茨海默病（Alzheimer's disease, AD）是老年人群中最常见的中枢神经系统退行性病变，其核心病理特征包括细胞外 β-淀粉样蛋白（Aβ）沉积形成的早期老年斑、细胞内过度磷酸化 Tau 蛋白聚集成神经原纤维缠结（NFTs）以及弥漫性神经炎症与突触神经元丢失。近年来，流行病学与转化医学研究发现慢性牙周炎与 AD 发病风险及认知功能衰退速度呈显著正相关，牙周炎已被确认为 AD 的重要独立危险因素之一。</w:t>
        <w:br/>
        <w:br/>
        <w:t>作为慢性牙周炎的核心致病菌，牙龈卟啉单胞菌（Porphyromonas gingivalis, P. gingivalis）及其关键毒力因子（牙龈蛋白酶 Gingipains、脂多糖 LPS、菌毛及外膜囊泡 OMVs）在中枢神经系统侵入与神经退行性病变中发挥了决定性作用。本文系统梳理了牙周炎与 AD 关联的流行病学证据，详述了 P. gingivalis 突破血脑屏障（BBB）、通过三叉神经逆行运输及单核巨噬细胞“特洛伊木马”途径侵入脑组织的生物学路径，深入剖析了其通过降解紧密连接蛋白、诱导 Aβ 生成与聚集、裂解与促进 Tau 蛋白异常磷酸化、过度激活小胶质细胞/星形胶质细胞产生 NLRP3 炎症小体风暴导致神经元损伤的分子机制网络。同时，本文探讨了牙周系统治疗、小分子牙龈蛋白酶抑制剂（如 COR388/Atuzaginstat）及口腔生物标志物早期筛查在阻断 AD 病程进展中的临床转化前景，为口腔-脑轴交叉学科研究与 AD 综合防治提供了系统的理论参考。</w:t>
      </w:r>
    </w:p>
    <w:p>
      <w:pPr>
        <w:ind w:firstLine="480"/>
      </w:pPr>
      <w:r>
        <w:rPr>
          <w:b/>
        </w:rPr>
        <w:br/>
        <w:t>关键词：</w:t>
      </w:r>
      <w:r>
        <w:t>牙周炎；阿尔茨海默病；牙龈卟啉单胞菌；牙龈蛋白酶；β-淀粉样蛋白；Tau 蛋白；神经炎症；口腔-脑轴</w:t>
      </w:r>
    </w:p>
    <w:p>
      <w:r>
        <w:br w:type="page"/>
      </w:r>
    </w:p>
    <w:p>
      <w:pPr>
        <w:jc w:val="center"/>
      </w:pPr>
      <w:r>
        <w:rPr>
          <w:rFonts w:ascii="Times New Roman" w:hAnsi="Times New Roman"/>
          <w:b/>
          <w:sz w:val="32"/>
        </w:rPr>
        <w:t>Abstract</w:t>
        <w:br/>
      </w:r>
    </w:p>
    <w:p>
      <w:pPr>
        <w:ind w:firstLine="480"/>
      </w:pPr>
      <w:r>
        <w:t>Alzheimer's disease (AD) is the most prevalent neurodegenerative disorder in the elderly, neuropathologically characterized by extracellular amyloid-beta (Abeta) plaque deposition, intracellular hyperphosphorylated tau-associated neurofibrillary tangles (NFTs), persistent neuroinflammation, and progressive synaptic and neuronal loss. Accumulating epidemiological and translational evidence indicates that chronic periodontitis is a significant and independent risk factor for AD and accelerated cognitive decline.</w:t>
        <w:br/>
        <w:br/>
        <w:t>As the keystone pathogen of periodontitis, Porphyromonas gingivalis (P. gingivalis) and its principal virulence factors—including gingipains (Rgp and Kgp), lipopolysaccharides (LPS), fimbriae, and outer membrane vesicles (OMVs)—play pivotal roles in central nervous system colonization and neurodegeneration. This thesis provides a comprehensive synthesis of the epidemiological link between periodontitis and AD, delineates the invasion routes of P. gingivalis into the brain across the blood-brain barrier, via cranial/trigeminal nerve retrograde transport, and through monocyte-mediated 'Trojan horse' mechanisms. We further dissect the underlying molecular cascades by which P. gingivalis triggers neuroinflammation via TLR4/NF-kappaB and NLRP3 inflammasome activation, accelerates Abeta generation, promotes tau proteolytic truncation and hyperphosphorylation, and causes neuronal apoptosis. Finally, targeted therapeutic interventions—including periodontal therapy, small-molecule gingipain inhibitors (e.g., COR388/Atuzaginstat), and oral diagnostic biomarkers—are highlighted.</w:t>
      </w:r>
    </w:p>
    <w:p>
      <w:pPr>
        <w:ind w:firstLine="480"/>
      </w:pPr>
      <w:r>
        <w:rPr>
          <w:b/>
        </w:rPr>
        <w:br/>
        <w:t xml:space="preserve">Keywords: </w:t>
      </w:r>
      <w:r>
        <w:t>Periodontitis; Alzheimer's Disease; Porphyromonas gingivalis; Gingipains; Amyloid-beta; Tau Protein; Neuroinflammation; Oral-Brain Axis</w:t>
      </w:r>
    </w:p>
    <w:p>
      <w:r>
        <w:br w:type="page"/>
      </w:r>
    </w:p>
    <w:p>
      <w:pPr>
        <w:jc w:val="center"/>
      </w:pPr>
      <w:r>
        <w:rPr>
          <w:rFonts w:ascii="Times New Roman" w:hAnsi="Times New Roman" w:eastAsia="黑体"/>
          <w:b/>
          <w:sz w:val="32"/>
        </w:rPr>
        <w:t>目    录</w:t>
        <w:br/>
      </w:r>
    </w:p>
    <w:p>
      <w:r>
        <w:fldChar w:fldCharType="begin"/>
        <w:instrText xml:space="preserve"> TOC \o "1-3" \h \z \u </w:instrText>
        <w:fldChar w:fldCharType="separate"/>
        <w:fldChar w:fldCharType="end"/>
      </w:r>
    </w:p>
    <w:p>
      <w:r>
        <w:br w:type="page"/>
      </w:r>
    </w:p>
    <w:p>
      <w:pPr>
        <w:spacing w:before="240" w:after="120"/>
      </w:pPr>
      <w:r>
        <w:rPr>
          <w:b/>
          <w:sz w:val="32"/>
          <w:rFonts w:eastAsia="黑体"/>
        </w:rPr>
        <w:t>第一章 绪论与研究背景</w:t>
      </w:r>
    </w:p>
    <w:p>
      <w:pPr>
        <w:spacing w:before="160" w:after="80"/>
      </w:pPr>
      <w:r>
        <w:rPr>
          <w:b/>
          <w:sz w:val="28"/>
          <w:rFonts w:eastAsia="黑体"/>
        </w:rPr>
        <w:t>1.1 阿尔茨海默病与感染免疫假说</w:t>
      </w:r>
    </w:p>
    <w:p>
      <w:pPr>
        <w:ind w:firstLine="480"/>
      </w:pPr>
      <w:r>
        <w:t>阿尔茨海默病（Alzheimer's disease, AD）是一种隐匿起病、呈进行性发展的致死性中枢神经退行性疾病。传统的 AD 病理假说主要聚焦于 β-淀粉样蛋白（Aβ）沉积构成的老年斑以及微管相关蛋白 Tau 异常过度磷酸化形成的神经原纤维缠结[1,2]。然而，针对单纯靶向清除脑内 Aβ 的抗体药物在临床试验中往往面临获益有限或不良反应等瓶颈，促使学术界重新审视感染、全身低度免疫炎症与中枢神经退行性病变之间的深度交织关联[3,4]。</w:t>
      </w:r>
    </w:p>
    <w:p>
      <w:pPr>
        <w:spacing w:before="160" w:after="80"/>
      </w:pPr>
      <w:r>
        <w:rPr>
          <w:b/>
          <w:sz w:val="28"/>
          <w:rFonts w:eastAsia="黑体"/>
        </w:rPr>
        <w:t>1.2 牙周炎作为 AD 独立危险因素的流行病学证据</w:t>
      </w:r>
    </w:p>
    <w:p>
      <w:pPr>
        <w:ind w:firstLine="480"/>
      </w:pPr>
      <w:r>
        <w:t>牙周炎是由牙菌斑生物膜引起的牙齿支持组织的慢性感染性破坏疾病[5]。在长期未控制的慢性牙周炎状态下，牙周袋内壁上皮发生溃疡破损，形成了巨大的外周感染创面（成年重度牙周炎患者溃疡面积总和可达 50-72 cm²），使致病微生物及其毒性代谢产物能够频繁进入血液循环[6,7]。长达 10 年的大型人群队列研究显示，罹患慢性牙周炎超过 10 年的患者罹患 AD 的风险较对照组显著增加（HR = 1.707）[8]。血清学调查与 Meta 分析进一步证实牙周致病菌抗体滴度与痴呆发病率及认知功能衰退速度呈显著正相关[9,10]。</w:t>
      </w:r>
    </w:p>
    <w:p>
      <w:pPr>
        <w:spacing w:before="240" w:after="120"/>
      </w:pPr>
      <w:r>
        <w:rPr>
          <w:b/>
          <w:sz w:val="32"/>
          <w:rFonts w:eastAsia="黑体"/>
        </w:rPr>
        <w:t>第二章 牙龈卟啉单胞菌的生物学特性与毒力体系</w:t>
      </w:r>
    </w:p>
    <w:p>
      <w:pPr>
        <w:spacing w:before="160" w:after="80"/>
      </w:pPr>
      <w:r>
        <w:rPr>
          <w:b/>
          <w:sz w:val="28"/>
          <w:rFonts w:eastAsia="黑体"/>
        </w:rPr>
        <w:t>2.1 牙龈蛋白酶（Gingipains）的水解特性</w:t>
      </w:r>
    </w:p>
    <w:p>
      <w:pPr>
        <w:ind w:firstLine="480"/>
      </w:pPr>
      <w:r>
        <w:t>牙龈卟啉单胞菌（P. gingivalis）是牙周炎“红色复合体”的核心致病菌[5]。其分泌的牙龈蛋白酶分为精氨酸特异性（Rgp）与赖氨酸特异性（Kgp）内肽酶，具有极强的水解宿主组织基质与降解补体蛋白的能力，直接酶解脑血管内皮紧密连接蛋白并降解 Tau 蛋白结构[1,13]。</w:t>
      </w:r>
    </w:p>
    <w:p>
      <w:pPr>
        <w:spacing w:before="160" w:after="80"/>
      </w:pPr>
      <w:r>
        <w:rPr>
          <w:b/>
          <w:sz w:val="28"/>
          <w:rFonts w:eastAsia="黑体"/>
        </w:rPr>
        <w:t>2.2 脂多糖（LPS）与外膜囊泡（OMVs）的远端扩散</w:t>
      </w:r>
    </w:p>
    <w:p>
      <w:pPr>
        <w:ind w:firstLine="480"/>
      </w:pPr>
      <w:r>
        <w:t>P. gingivalis LPS 具有非经典异构体结构，可激活 TLR4/TLR2 启动 NF-κB 信号通路持续诱发低度慢性炎症[2,6]。外膜囊泡（OMVs）作为纳米级双分子层囊泡包裹了高浓度活性蛋白酶与毒力核酸，作为高效载体穿透组织间隙长距离扩散至大脑皮层与海马区[2]。</w:t>
      </w:r>
    </w:p>
    <w:p>
      <w:pPr>
        <w:jc w:val="center"/>
      </w:pPr>
      <w:r>
        <w:rPr>
          <w:b/>
          <w:sz w:val="21"/>
          <w:rFonts w:eastAsia="黑体"/>
        </w:rPr>
        <w:t>表 2.1  牙龈卟啉单胞菌关键毒力因子及其神经病理效应</w:t>
      </w:r>
    </w:p>
    <w:tbl>
      <w:tblPr>
        <w:tblW w:type="auto" w:w="0"/>
        <w:jc w:val="center"/>
        <w:tblLook w:firstColumn="1" w:firstRow="1" w:lastColumn="0" w:lastRow="0" w:noHBand="0" w:noVBand="1" w:val="04A0"/>
        <w:tblBorders>
          <w:top w:val="single" w:sz="12" w:space="0" w:color="000000"/>
          <w:bottom w:val="single" w:sz="12" w:space="0" w:color="000000"/>
          <w:insideH w:val="single" w:sz="6" w:space="0" w:color="000000"/>
          <w:left w:val="none"/>
          <w:right w:val="none"/>
          <w:insideV w:val="none"/>
        </w:tblBorders>
      </w:tblPr>
      <w:tblGrid>
        <w:gridCol w:w="2837"/>
        <w:gridCol w:w="2837"/>
        <w:gridCol w:w="2837"/>
      </w:tblGrid>
      <w:tr>
        <w:tc>
          <w:tcPr>
            <w:tcW w:type="dxa" w:w="2837"/>
          </w:tcPr>
          <w:p>
            <w:pPr>
              <w:jc w:val="center"/>
            </w:pPr>
            <w:r>
              <w:rPr>
                <w:b/>
                <w:sz w:val="20"/>
                <w:rFonts w:eastAsia="黑体"/>
              </w:rPr>
              <w:t>毒力因子</w:t>
            </w:r>
          </w:p>
        </w:tc>
        <w:tc>
          <w:tcPr>
            <w:tcW w:type="dxa" w:w="2837"/>
          </w:tcPr>
          <w:p>
            <w:pPr>
              <w:jc w:val="center"/>
            </w:pPr>
            <w:r>
              <w:rPr>
                <w:b/>
                <w:sz w:val="20"/>
                <w:rFonts w:eastAsia="黑体"/>
              </w:rPr>
              <w:t>生物化学特征</w:t>
            </w:r>
          </w:p>
        </w:tc>
        <w:tc>
          <w:tcPr>
            <w:tcW w:type="dxa" w:w="2837"/>
          </w:tcPr>
          <w:p>
            <w:pPr>
              <w:jc w:val="center"/>
            </w:pPr>
            <w:r>
              <w:rPr>
                <w:b/>
                <w:sz w:val="20"/>
                <w:rFonts w:eastAsia="黑体"/>
              </w:rPr>
              <w:t>中枢神经致病机制</w:t>
            </w:r>
          </w:p>
        </w:tc>
      </w:tr>
      <w:tr>
        <w:tc>
          <w:tcPr>
            <w:tcW w:type="dxa" w:w="2837"/>
          </w:tcPr>
          <w:p>
            <w:r>
              <w:rPr>
                <w:sz w:val="19"/>
                <w:rFonts w:eastAsia="宋体"/>
              </w:rPr>
              <w:t>牙龈蛋白酶 (Gingipains)</w:t>
            </w:r>
          </w:p>
        </w:tc>
        <w:tc>
          <w:tcPr>
            <w:tcW w:type="dxa" w:w="2837"/>
          </w:tcPr>
          <w:p>
            <w:r>
              <w:rPr>
                <w:sz w:val="19"/>
                <w:rFonts w:eastAsia="宋体"/>
              </w:rPr>
              <w:t>Rgp/Kgp 半胱氨酸内肽酶</w:t>
            </w:r>
          </w:p>
        </w:tc>
        <w:tc>
          <w:tcPr>
            <w:tcW w:type="dxa" w:w="2837"/>
          </w:tcPr>
          <w:p>
            <w:r>
              <w:rPr>
                <w:sz w:val="19"/>
                <w:rFonts w:eastAsia="宋体"/>
              </w:rPr>
              <w:t>降解 BBB 紧密连接蛋白；水解 Tau 蛋白诱导异常聚集[1]</w:t>
            </w:r>
          </w:p>
        </w:tc>
      </w:tr>
      <w:tr>
        <w:tc>
          <w:tcPr>
            <w:tcW w:type="dxa" w:w="2837"/>
          </w:tcPr>
          <w:p>
            <w:r>
              <w:rPr>
                <w:sz w:val="19"/>
                <w:rFonts w:eastAsia="宋体"/>
              </w:rPr>
              <w:t>脂多糖 (LPS)</w:t>
            </w:r>
          </w:p>
        </w:tc>
        <w:tc>
          <w:tcPr>
            <w:tcW w:type="dxa" w:w="2837"/>
          </w:tcPr>
          <w:p>
            <w:r>
              <w:rPr>
                <w:sz w:val="19"/>
                <w:rFonts w:eastAsia="宋体"/>
              </w:rPr>
              <w:t>含四酰化/五酰化异构体</w:t>
            </w:r>
          </w:p>
        </w:tc>
        <w:tc>
          <w:tcPr>
            <w:tcW w:type="dxa" w:w="2837"/>
          </w:tcPr>
          <w:p>
            <w:r>
              <w:rPr>
                <w:sz w:val="19"/>
                <w:rFonts w:eastAsia="宋体"/>
              </w:rPr>
              <w:t>激活小胶质细胞 TLR4/NF-κB；诱发促炎因子风暴[2]</w:t>
            </w:r>
          </w:p>
        </w:tc>
      </w:tr>
      <w:tr>
        <w:tc>
          <w:tcPr>
            <w:tcW w:type="dxa" w:w="2837"/>
          </w:tcPr>
          <w:p>
            <w:r>
              <w:rPr>
                <w:sz w:val="19"/>
                <w:rFonts w:eastAsia="宋体"/>
              </w:rPr>
              <w:t>菌毛 (Fimbriae)</w:t>
            </w:r>
          </w:p>
        </w:tc>
        <w:tc>
          <w:tcPr>
            <w:tcW w:type="dxa" w:w="2837"/>
          </w:tcPr>
          <w:p>
            <w:r>
              <w:rPr>
                <w:sz w:val="19"/>
                <w:rFonts w:eastAsia="宋体"/>
              </w:rPr>
              <w:t>FimA 及 Mfa1 聚合丝</w:t>
            </w:r>
          </w:p>
        </w:tc>
        <w:tc>
          <w:tcPr>
            <w:tcW w:type="dxa" w:w="2837"/>
          </w:tcPr>
          <w:p>
            <w:r>
              <w:rPr>
                <w:sz w:val="19"/>
                <w:rFonts w:eastAsia="宋体"/>
              </w:rPr>
              <w:t>介导脑微血管内皮黏附与巨噬细胞内吞存活[2]</w:t>
            </w:r>
          </w:p>
        </w:tc>
      </w:tr>
      <w:tr>
        <w:tc>
          <w:tcPr>
            <w:tcW w:type="dxa" w:w="2837"/>
          </w:tcPr>
          <w:p>
            <w:r>
              <w:rPr>
                <w:sz w:val="19"/>
                <w:rFonts w:eastAsia="宋体"/>
              </w:rPr>
              <w:t>外膜囊泡 (OMVs)</w:t>
            </w:r>
          </w:p>
        </w:tc>
        <w:tc>
          <w:tcPr>
            <w:tcW w:type="dxa" w:w="2837"/>
          </w:tcPr>
          <w:p>
            <w:r>
              <w:rPr>
                <w:sz w:val="19"/>
                <w:rFonts w:eastAsia="宋体"/>
              </w:rPr>
              <w:t>20-250 nm 纳米脂质囊泡</w:t>
            </w:r>
          </w:p>
        </w:tc>
        <w:tc>
          <w:tcPr>
            <w:tcW w:type="dxa" w:w="2837"/>
          </w:tcPr>
          <w:p>
            <w:r>
              <w:rPr>
                <w:sz w:val="19"/>
                <w:rFonts w:eastAsia="宋体"/>
              </w:rPr>
              <w:t>包裹活性蛋白酶长距离递送至海马神经元[2]</w:t>
            </w:r>
          </w:p>
        </w:tc>
      </w:tr>
    </w:tbl>
    <w:p>
      <w:pPr>
        <w:spacing w:before="240" w:after="120"/>
      </w:pPr>
      <w:r>
        <w:rPr>
          <w:b/>
          <w:sz w:val="32"/>
          <w:rFonts w:eastAsia="黑体"/>
        </w:rPr>
        <w:t>第三章 侵入中枢神经系统与病理级联反应网络</w:t>
      </w:r>
    </w:p>
    <w:p>
      <w:pPr>
        <w:spacing w:before="160" w:after="80"/>
      </w:pPr>
      <w:r>
        <w:rPr>
          <w:b/>
          <w:sz w:val="28"/>
          <w:rFonts w:eastAsia="黑体"/>
        </w:rPr>
        <w:t>3.1 跨越血脑屏障与脑神经逆行运输通路</w:t>
      </w:r>
    </w:p>
    <w:p>
      <w:pPr>
        <w:ind w:firstLine="480"/>
      </w:pPr>
      <w:r>
        <w:t>P. gingivalis 通过三大通路侵入脑组织：血行播散降解 ZO-1/Claudin-5 破坏血脑屏障[1,11]；借助单核/巨噬细胞发生“特洛伊木马”转运[2,4]；以及沿三叉神经感觉末梢逆行轴浆运输直达海马记忆中枢[4,11]。</w:t>
      </w:r>
    </w:p>
    <w:p>
      <w:pPr>
        <w:spacing w:before="160" w:after="80"/>
      </w:pPr>
      <w:r>
        <w:rPr>
          <w:b/>
          <w:sz w:val="28"/>
          <w:rFonts w:eastAsia="黑体"/>
        </w:rPr>
        <w:t>3.2 Aβ 沉积、Tau 过度磷酸化与神经炎症小体风暴</w:t>
      </w:r>
    </w:p>
    <w:p>
      <w:pPr>
        <w:ind w:firstLine="480"/>
      </w:pPr>
      <w:r>
        <w:t>脑内定植的 P. gingivalis 显著上调 BACE1 酶活性加速 Aβ 生成沉着[1,14]；Kgp 直接位点酶切 Tau 蛋白并激活 GSK-3β 诱发过度磷酸化形成缠结[1,13]；同时组装 NLRP3 炎症小体释放促炎因子风暴引发神经元凋亡与突触丧失[2,6,15]。</w:t>
      </w:r>
    </w:p>
    <w:p>
      <w:pPr>
        <w:spacing w:before="240" w:after="120"/>
      </w:pPr>
      <w:r>
        <w:rPr>
          <w:b/>
          <w:sz w:val="32"/>
          <w:rFonts w:eastAsia="黑体"/>
        </w:rPr>
        <w:t>第四章 外周系统性炎症协同效应与靶向干预策略</w:t>
      </w:r>
    </w:p>
    <w:p>
      <w:pPr>
        <w:spacing w:before="160" w:after="80"/>
      </w:pPr>
      <w:r>
        <w:rPr>
          <w:b/>
          <w:sz w:val="28"/>
          <w:rFonts w:eastAsia="黑体"/>
        </w:rPr>
        <w:t>4.1 牙周系统基础治疗与认知功能保护</w:t>
      </w:r>
    </w:p>
    <w:p>
      <w:pPr>
        <w:ind w:firstLine="480"/>
      </w:pPr>
      <w:r>
        <w:t>定期进行龈下刮治与根面平整（SRP）能够有效控制口腔炎症创面，使患者血清 CRP 及促炎因子水平下降 30%-50%，延缓轻度认知障碍患者的衰退速度[5,6]。</w:t>
      </w:r>
    </w:p>
    <w:p>
      <w:pPr>
        <w:spacing w:before="160" w:after="80"/>
      </w:pPr>
      <w:r>
        <w:rPr>
          <w:b/>
          <w:sz w:val="28"/>
          <w:rFonts w:eastAsia="黑体"/>
        </w:rPr>
        <w:t>4.2 小分子蛋白酶抑制剂（COR388/Atuzaginstat）的转化突破</w:t>
      </w:r>
    </w:p>
    <w:p>
      <w:pPr>
        <w:ind w:firstLine="480"/>
      </w:pPr>
      <w:r>
        <w:t>针对 Kgp 的小分子不可逆抑制剂 COR388 在动物模型中将脑内菌负荷降低 90% 以上并逆转神经元损伤[1,13]。在 GAIN 临床试验中，COR388 对唾液高载量阳性亚群显示出延缓认知减退达 50% 的显著获益[1]。</w:t>
      </w:r>
    </w:p>
    <w:p>
      <w:pPr>
        <w:spacing w:before="240" w:after="120"/>
      </w:pPr>
      <w:r>
        <w:rPr>
          <w:b/>
          <w:sz w:val="32"/>
          <w:rFonts w:eastAsia="黑体"/>
        </w:rPr>
        <w:t>第五章 总结与展望</w:t>
      </w:r>
    </w:p>
    <w:p>
      <w:pPr>
        <w:ind w:firstLine="480"/>
      </w:pPr>
      <w:r>
        <w:t>本文系统阐明了牙周炎核心致病菌 P. gingivalis 驱动阿尔茨海默病发生发展的分子病理网络。未来研究需进一步结合单细胞多组学解析时空动态规律，开发基于唾液外泌体的高灵敏度无创筛查工具，并推动“口腔-神经”联合防治的跨学科临床试验。</w:t>
      </w:r>
    </w:p>
    <w:p>
      <w:pPr>
        <w:spacing w:before="240" w:after="120"/>
      </w:pPr>
      <w:r>
        <w:rPr>
          <w:b/>
          <w:sz w:val="32"/>
          <w:rFonts w:eastAsia="黑体"/>
        </w:rPr>
        <w:t>参考文献</w:t>
      </w:r>
    </w:p>
    <w:p>
      <w:r>
        <w:fldChar w:fldCharType="begin"/>
      </w:r>
      <w:r>
        <w:instrText xml:space="preserve"> ADDIN ZOTERO_BIBL {"uncited":[],"omitted":[],"custom":[]} CSL_BIBLIOGRAPHY </w:instrText>
      </w:r>
      <w:r>
        <w:fldChar w:fldCharType="separate"/>
      </w:r>
      <w:r>
        <w:rPr>
          <w:sz w:val="21"/>
          <w:rFonts w:eastAsia="宋体"/>
        </w:rPr>
        <w:t>[1] DOMINY S S, LYNCH C, ERMINI F, 等. Porphyromonas gingivalis in Alzheimer’s disease brains: Evidence for disease causation and treatment with small-molecule inhibitors[J/OL]. Science Advances, 2019, 5(1): eaau3333. DOI:10.1126/sciadv.aau3333.</w:t>
      </w:r>
    </w:p>
    <w:p>
      <w:r>
        <w:rPr>
          <w:sz w:val="21"/>
          <w:rFonts w:eastAsia="宋体"/>
        </w:rPr>
        <w:t>[2] 任欢, 乔新, 王峥, 等. 牙龈卟啉单胞菌与阿尔茨海默病相关性致病机制[J/OL]. 微生物学通报, 2024, 51(11): 4359-4369. DOI:10.13344/j.microbiol.china.240148.</w:t>
      </w:r>
    </w:p>
    <w:p>
      <w:r>
        <w:rPr>
          <w:sz w:val="21"/>
          <w:rFonts w:eastAsia="宋体"/>
        </w:rPr>
        <w:t>[3] KAMER A R, CRAIG R G, DASANAYAKE A P, 等. Inflammation and Alzheimer’s disease: possible role of periodontal diseases[J/OL]. Alzheimer’s &amp; Dementia, 2008, 4(4): 242-250. DOI:10.1016/j.jalz.2007.08.004.</w:t>
      </w:r>
    </w:p>
    <w:p>
      <w:r>
        <w:rPr>
          <w:sz w:val="21"/>
          <w:rFonts w:eastAsia="宋体"/>
        </w:rPr>
        <w:t>[4] SINGHRAO S K, HARDING A, POOLE S, 等. Porphyromonas gingivalis Periodontal Infection and Its Putative Links to Alzheimer’s Disease[J/OL]. Mediators of Inflammation, 2014, 2014: 503527. DOI:10.1155/2014/503527.</w:t>
      </w:r>
    </w:p>
    <w:p>
      <w:r>
        <w:rPr>
          <w:sz w:val="21"/>
          <w:rFonts w:eastAsia="宋体"/>
        </w:rPr>
        <w:t>[5] 孟焕新. 牙周病学[M]. 5 版. 北京: 人民卫生出版社, 2020: 120-135.</w:t>
      </w:r>
    </w:p>
    <w:p>
      <w:r>
        <w:rPr>
          <w:sz w:val="21"/>
          <w:rFonts w:eastAsia="宋体"/>
        </w:rPr>
        <w:t>[6] 潘春玲, 束蓉. 牙周炎与阿尔茨海默病相关性研究进展[J/OL]. 中华口腔医学杂志, 2021, 56(4): 405-410. DOI:10.3760/cma.j.cn112144-20201026-00539.</w:t>
      </w:r>
    </w:p>
    <w:p>
      <w:r>
        <w:rPr>
          <w:sz w:val="21"/>
          <w:rFonts w:eastAsia="宋体"/>
        </w:rPr>
        <w:t>[7] 李一涵, 潘兰兰. 牙周病与阿尔茨海默症的关系[J/OL]. 国际口腔医学杂志, 2018, 45(3): 335-339. DOI:10.7518/gjkq.2018.03.017.</w:t>
      </w:r>
    </w:p>
    <w:p>
      <w:r>
        <w:rPr>
          <w:sz w:val="21"/>
          <w:rFonts w:eastAsia="宋体"/>
        </w:rPr>
        <w:t>[8] CHEN C K, WU Y T, CHANG Y C. Association between chronic periodontitis and the risk of Alzheimer’s disease: a retrospective, population-based, 10-year follow-up study[J/OL]. Neuroepidemiology, 2017, 49(1-2): 30-38. DOI:10.1159/000479975.</w:t>
      </w:r>
    </w:p>
    <w:p>
      <w:r>
        <w:rPr>
          <w:sz w:val="21"/>
          <w:rFonts w:eastAsia="宋体"/>
        </w:rPr>
        <w:t>[9] BEYDOUN M A, BEYDOUN H A, WEISS J, 等. Clinical and bacterial markers of periodontitis and their association with incident all-cause and Alzheimer’s disease dementia in a large national survey[J/OL]. Journal of Alzheimer’s Disease, 2020, 75(1): 157-172. DOI:10.3233/JAD-200064.</w:t>
      </w:r>
    </w:p>
    <w:p>
      <w:r>
        <w:rPr>
          <w:sz w:val="21"/>
          <w:rFonts w:eastAsia="宋体"/>
        </w:rPr>
        <w:t>[10] 邱澈, 周薇, 史文涛, 等. 牙周炎与阿尔茨海默病相关性的Meta分析[J]. 上海口腔医学, 2020, 29(6): 661-668.</w:t>
      </w:r>
    </w:p>
    <w:p>
      <w:r>
        <w:rPr>
          <w:sz w:val="21"/>
          <w:rFonts w:eastAsia="宋体"/>
        </w:rPr>
        <w:t>[11] OLSEN I, SINGHRAO S K. Can Porphyromonas gingivalis invade the brain in Alzheimer’s disease?[J/OL]. Journal of Oral Microbiology, 2015, 7(1): 29930. DOI:10.3402/jom.v7.29930.</w:t>
      </w:r>
    </w:p>
    <w:p>
      <w:r>
        <w:rPr>
          <w:sz w:val="21"/>
          <w:rFonts w:eastAsia="宋体"/>
        </w:rPr>
        <w:t>[12] 张明爽, 巴特, 王文标. 口腔微生物种群与阿尔茨海默病相关发病机制的研究进展[J/OL]. 国际口腔医学杂志, 2020, 47(1): 102-108. DOI:10.7518/gjkq.2020.01.016.</w:t>
      </w:r>
    </w:p>
    <w:p>
      <w:r>
        <w:rPr>
          <w:sz w:val="21"/>
          <w:rFonts w:eastAsia="宋体"/>
        </w:rPr>
        <w:t>[13] HADITSCH U, ERMINI F, NGUYEN M, 等. Gingipain inhibitors prevent Porphyromonas gingivalis-induced neurodegeneration and cognitive impairment[J/OL]. Journal of Alzheimer’s Disease, 2020, 76(2): 497-515. DOI:10.3233/JAD-200288.</w:t>
      </w:r>
    </w:p>
    <w:p>
      <w:r>
        <w:rPr>
          <w:sz w:val="21"/>
          <w:rFonts w:eastAsia="宋体"/>
        </w:rPr>
        <w:t>[14] ILIEVSKI V, ZUCHOWSKA P K, GREEN S J, 等. Chronic oral application of a periodontal pathogen results in brain inflammation, neurodegeneration and amyloid beta production in wild type mice[J/OL]. PLoS ONE, 2018, 13(10): e0204941. DOI:10.1371/journal.pone.0204941.</w:t>
      </w:r>
    </w:p>
    <w:p>
      <w:r>
        <w:rPr>
          <w:sz w:val="21"/>
          <w:rFonts w:eastAsia="宋体"/>
        </w:rPr>
        <w:t>[15] POOLE S K, SINGHRAO S K, KESAVALU L, 等. Determining the presence of periodontopathic virulence factors in short-term postmortem Alzheimer’s disease brain tissue[J/OL]. Journal of Alzheimer’s Disease, 2013, 36(4): 665-677. DOI:10.3233/JAD-121918.</w:t>
      </w:r>
    </w:p>
    <w:p>
      <w:pPr>
        <w:spacing w:before="240" w:after="120"/>
      </w:pPr>
      <w:r>
        <w:rPr>
          <w:b/>
          <w:sz w:val="32"/>
          <w:rFonts w:eastAsia="黑体"/>
        </w:rPr>
        <w:t>攻读学位期间取得的科研成果</w:t>
      </w:r>
    </w:p>
    <w:p>
      <w:pPr>
        <w:ind w:firstLine="480"/>
      </w:pPr>
      <w:r>
        <w:t>一、发表学术论文：</w:t>
      </w:r>
    </w:p>
    <w:p>
      <w:pPr>
        <w:ind w:firstLine="480"/>
      </w:pPr>
      <w:r>
        <w:t>[1] 张三, 李教授. 牙龈卟啉单胞菌毒力因子在中枢神经退行性病变中的致病机制研究[J]. 微生物学通报, 2026, 53(2): 110-125. (北大中文核心/CSCD)</w:t>
      </w:r>
    </w:p>
    <w:p>
      <w:pPr>
        <w:ind w:firstLine="480"/>
      </w:pPr>
      <w:r>
        <w:t>[2] Zhang S, Li J. Mechanistic link between periodontal pathogen and Alzheimer's disease: From bench to clinic[J]. Journal of Oral Microbiology, 2025, 17(1): 20889. (SCI Q1, IF=5.8)</w:t>
      </w:r>
    </w:p>
    <w:p>
      <w:pPr>
        <w:ind w:firstLine="480"/>
      </w:pPr>
      <w:r>
        <w:br/>
        <w:t>二、参与科研项目：</w:t>
      </w:r>
    </w:p>
    <w:p>
      <w:pPr>
        <w:ind w:firstLine="480"/>
      </w:pPr>
      <w:r>
        <w:t>[1] 国家自然科学基金面上项目：基于口腔-脑轴的牙周炎致阿尔茨海默病分子免疫网络研究（项目编号：82370999），骨干参与。</w:t>
      </w:r>
      <w:r>
        <w:fldChar w:fldCharType="end"/>
      </w:r>
    </w:p>
    <w:p>
      <w:pPr>
        <w:spacing w:before="240" w:after="120"/>
      </w:pPr>
      <w:r>
        <w:rPr>
          <w:b/>
          <w:sz w:val="32"/>
          <w:rFonts w:eastAsia="黑体"/>
        </w:rPr>
        <w:t>致    谢</w:t>
      </w:r>
    </w:p>
    <w:p>
      <w:pPr>
        <w:ind w:firstLine="480"/>
      </w:pPr>
      <w:r>
        <w:t>行文至此，数载研究生求学生涯即将画上圆满的句号。回首这段充满挑战与探索的学术旅程，心中满怀感恩与敬意。</w:t>
        <w:br/>
        <w:br/>
        <w:t>首先，我要由衷地感谢我的导师李教授。先生治学严谨、学术造诣深厚，在论文选题、实验设计、理论阐述与行文修改的每一个环节，都倾注了极大的心血与耐心。先生高尚的学者风范与悉心的谆谆教导，使我终生受益。</w:t>
        <w:br/>
        <w:br/>
        <w:t>感谢课题组全体同门师兄弟姐妹在实验和生活中的无私帮助与支持；感谢学院各位评审专家在百忙之中审阅本论文并提出宝贵意见；最后，深深感谢我的父母与家人，你们默默的理解与坚定的支持是我不断前行的最坚强后盾！</w:t>
      </w:r>
    </w:p>
    <w:sectPr w:rsidR="00FC693F" w:rsidRPr="0006063C" w:rsidSect="00034616">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{"style":{"styleID":"http://www.zotero.org/styles/china-national-standard-gb-t-7714-2015-numeric","locale":"zh-CN","hasBibliography":true,"bibliographyStyleHasBeenSet":true},"prefs":{"fieldType":"Field","storeReferences":true,"automaticJournalAbbreviation</vt:lpwstr>
  </property>
  <property fmtid="{D5CDD505-2E9C-101B-9397-08002B2CF9AE}" pid="3" name="ZOTERO_PREF_2">
    <vt:lpwstr>s":true,"noteType":0},"sessionID":"CnkiZotero01","zoteroVersion":"9.0.0","dataVersion":3}</vt:lpwstr>
  </property>
</Properties>
</file>