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00" w:after="160" w:line="300" w:lineRule="auto"/>
        <w:jc w:val="center"/>
      </w:pPr>
      <w:bookmarkStart w:id="0" w:name="_GoBack"/>
      <w:bookmarkEnd w:id="0"/>
      <w:r>
        <w:rPr>
          <w:rFonts w:ascii="Times New Roman" w:hAnsi="Times New Roman" w:eastAsia="宋体"/>
          <w:b/>
          <w:i w:val="0"/>
          <w:color w:val="1B365D"/>
          <w:sz w:val="36"/>
        </w:rPr>
        <w:t>基于鳄鱼肠道宏基因组的新型抗菌肽深度挖掘与分子对接表征</w:t>
      </w:r>
    </w:p>
    <w:p>
      <w:pPr>
        <w:spacing w:before="0" w:after="280" w:line="300" w:lineRule="auto"/>
        <w:jc w:val="center"/>
      </w:pPr>
      <w:r>
        <w:rPr>
          <w:rFonts w:ascii="Times New Roman" w:hAnsi="Times New Roman" w:eastAsia="宋体"/>
          <w:b/>
          <w:i/>
          <w:color w:val="34495E"/>
          <w:sz w:val="24"/>
        </w:rPr>
        <w:t>Discovery and Molecular Docking Characterization of Novel Antimicrobial Peptides from the Alligator Gut Metagenome</w:t>
      </w:r>
    </w:p>
    <w:p>
      <w:pPr>
        <w:spacing w:before="120" w:after="80" w:line="300" w:lineRule="auto"/>
        <w:jc w:val="left"/>
      </w:pPr>
      <w:r>
        <w:rPr>
          <w:rFonts w:ascii="Times New Roman" w:hAnsi="Times New Roman" w:eastAsia="宋体"/>
          <w:b/>
          <w:i w:val="0"/>
          <w:color w:val="1B365D"/>
          <w:sz w:val="22"/>
        </w:rPr>
        <w:t>摘要</w:t>
      </w:r>
    </w:p>
    <w:p>
      <w:pPr>
        <w:spacing w:before="0" w:after="120" w:line="288" w:lineRule="auto"/>
        <w:ind w:firstLine="400"/>
        <w:jc w:val="left"/>
      </w:pPr>
      <w:r>
        <w:rPr>
          <w:rFonts w:ascii="Times New Roman" w:hAnsi="Times New Roman" w:eastAsia="宋体"/>
          <w:b w:val="0"/>
          <w:i w:val="0"/>
          <w:color w:val="1A1A1A"/>
          <w:sz w:val="20"/>
        </w:rPr>
        <w:t>全球抗生素耐药性（Antimicrobial Resistance, AMR）的迅速蔓延严重威胁公共卫生安全，亟需挖掘全新机制的抗菌先导物。爬行动物鳄鱼具备强大的天然固有免疫防御系统，其肠道极端共生微生态中蕴含着丰度高、耐受性强的抗菌多肽资源。本研究基于鳄鱼肠道双端Shotgun宏基因组测序数据（SRR18112698），在严格去除宿主参考基因组（GCF_030867095.1）污染后，完成高质量宏基因组组装与分箱，获得近乎完整且污染度极低的目标MAG bin.1（完整度97.04%，污染度0.146%）。从目标MAG中预测挖掘出131,816条短开放阅读框（sORF）候选短肽，并构建包含Attention、LSTM和BERT三模型集成的深度学习预测架构，初筛获得13,296条三模型一致支持的高置信度候选肽。随后建立串联式多级安全性与理化终筛流程：经ToxinPred2毒性预筛、AlgPred2过敏性筛选、PepFun理化可行性过滤、TheraPepNet抗菌活性预测以及CAMP与AxPep双平台7项分类器联合复核，最终优选出3条极具潜力的候选抗菌肽（pep_018: FVNKLNRIIPVKGFSMR, pep_029: LISNTKKFGTAIASHR, pep_037: ISLAIPLASKISGFTLALVKNAST）。三条候选肽经UniProt全库检索证实具有100%的序列级完全新颖性。进一步采用AutoDock Vina针对革兰氏阴性菌（Escherichia coli: FtsZ 6UNX, GyrB 4DUH）与革兰氏阳性菌（Staphylococcus aureus: FtsZ 5MN4, Sortase A 1T2W）4个核心生理靶点开展3次独立重复分子对接（共36次独立运算）及PyMOL 4 Å三维相互作用解析。结果表明：候选肽对E. coli GyrB ATPase活性结构域呈现极高亲和力（pep_018达 -10.753±0.006 kcal/mol），pep_029对S. aureus FtsZ表现出优异结合力（-6.741±0.187 kcal/mol），且在结合口袋中通过保守极性残基（Arg142、Arg143、Glu178等）形成稳定的氢键与盐桥相互作用网络。本研究建立了从宏基因组sORF挖掘、深度学习集成筛选到结构生物学靶向评价的端到端抗菌肽发现范式，为开发新型抗耐药菌多肽类抗生素提供了高价值的临床前候选分子与计算生物学依据。</w:t>
      </w:r>
    </w:p>
    <w:p>
      <w:pPr>
        <w:spacing w:before="0" w:after="240" w:line="300" w:lineRule="auto"/>
        <w:jc w:val="left"/>
      </w:pPr>
      <w:r>
        <w:rPr>
          <w:rFonts w:ascii="Times New Roman" w:hAnsi="Times New Roman" w:eastAsia="宋体"/>
          <w:b w:val="0"/>
          <w:i w:val="0"/>
          <w:color w:val="1A1A1A"/>
          <w:sz w:val="19"/>
        </w:rPr>
        <w:t>关键词： 鳄鱼肠道；宏基因组；短开放阅读框（sORF）；抗菌肽；深度学习；分子对接；AutoDock Vina；PyMOL相互作用</w:t>
      </w:r>
    </w:p>
    <w:p>
      <w:pPr>
        <w:keepNext/>
        <w:spacing w:before="280" w:after="120"/>
      </w:pPr>
      <w:r>
        <w:rPr>
          <w:rFonts w:ascii="Times New Roman" w:hAnsi="Times New Roman" w:eastAsia="微软雅黑"/>
          <w:b/>
          <w:color w:val="1B365D"/>
          <w:sz w:val="30"/>
        </w:rPr>
        <w:t>1. 引言 (Introduction)</w:t>
      </w:r>
    </w:p>
    <w:p>
      <w:pPr>
        <w:spacing w:before="0" w:after="80" w:line="300" w:lineRule="auto"/>
        <w:ind w:firstLine="432"/>
        <w:jc w:val="left"/>
      </w:pPr>
      <w:r>
        <w:rPr>
          <w:rFonts w:ascii="Times New Roman" w:hAnsi="Times New Roman" w:eastAsia="宋体"/>
          <w:b w:val="0"/>
          <w:i w:val="0"/>
          <w:color w:val="1A1A1A"/>
          <w:sz w:val="21"/>
        </w:rPr>
        <w:t>全球范围内抗生素的广泛乃至滥用已引发严重的抗生素耐药性（Antimicrobial Resistance, AMR）危机。世界卫生组织（WHO）及疾病预防控制中心（CDC）近年发布的预警报告指出，耐药菌感染导致的致死率与医疗支出呈现逐年急剧上升趋势，特别是以耐甲氧西林金黄色葡萄球菌（MRSA）、耐碳青霉烯大肠埃希菌（CRE）为代表的“ESKAPE”超级细菌，已导致临床现有的一线与储备抗生素疗效大幅衰减。传统小分子抗生素研发管线的枯竭与新型抗菌分子的迫切需求之间形成了巨大的剪刀差。在此背景下，抗菌肽（Antimicrobial Peptides, AMPs）作为多细胞生物天然免疫系统的重要效应分子，因其广谱抗菌活性、独特的物理膜破坏或多靶点协同机制，以及极低诱导细菌耐药突变倾向，被公认为最具前景的新一代抗感染候选药物之一。</w:t>
      </w:r>
    </w:p>
    <w:p>
      <w:pPr>
        <w:spacing w:before="0" w:after="80" w:line="300" w:lineRule="auto"/>
        <w:ind w:firstLine="432"/>
        <w:jc w:val="left"/>
      </w:pPr>
      <w:r>
        <w:rPr>
          <w:rFonts w:ascii="Times New Roman" w:hAnsi="Times New Roman" w:eastAsia="宋体"/>
          <w:b w:val="0"/>
          <w:i w:val="0"/>
          <w:color w:val="1A1A1A"/>
          <w:sz w:val="21"/>
        </w:rPr>
        <w:t>作为现存最古老的爬行动物类群之一，鳄鱼（Alligator mississippiensis / Alligator sinensis）栖息于微生物密度极高、病原体繁杂的水域与淤泥环境中。尽管常伴随争斗致伤或恶劣捕食伤口，鳄鱼极少出现严重败血症或致死性坏疽感染，这一非凡的免疫抗逆表型主要归因于其高度特化且活性极强的固有体液免疫系统。近年来，爬行动物宿主防御肽与肠道共生微生态的研究揭示，鳄鱼消化道与内脏组织中蕴藏着丰富且具备强效抗革兰氏阴性/阳性菌潜力的阳离子两亲性抗菌肽库。然而，传统基于组织提取或化学分离的“湿实验”挖掘方法耗时冗长、通量受限，且难以获取低丰度或在特定生理微环境中瞬时表达的特异性多肽。</w:t>
      </w:r>
    </w:p>
    <w:p>
      <w:pPr>
        <w:spacing w:before="0" w:after="80" w:line="300" w:lineRule="auto"/>
        <w:ind w:firstLine="432"/>
        <w:jc w:val="left"/>
      </w:pPr>
      <w:r>
        <w:rPr>
          <w:rFonts w:ascii="Times New Roman" w:hAnsi="Times New Roman" w:eastAsia="宋体"/>
          <w:b w:val="0"/>
          <w:i w:val="0"/>
          <w:color w:val="1A1A1A"/>
          <w:sz w:val="21"/>
        </w:rPr>
        <w:t>随着高通量测序技术与计算生物学的飞速发展，宏基因组学（Metagenomics）为未经培养微生物暗物质的直接发掘提供了革命性手段。尤其是短开放阅读框（short open reading frames, sORFs，编码长度≤100个氨基酸的短肽）在细菌生理调节、种间竞争及防御中的关键功能正受到前所未有的关注。然而，宏基因组拼接产物中包含海量未经注释的sORFs，传统BLAST等同源比对工具对于序列同源性低但结构/理化特征相似的非同源新型AMPs检出效率低下。近年来，深度学习在蛋白质与多肽表征学习中展现出卓越性能：自注意力机制（Self-Attention）长于捕获残基间远距离依赖，长短期记忆网络（LSTM）擅长建模多肽骨架的序列上下文连续性，而基于大规模语料预训练的Transformer双向编码器（BERT）则对氨基酸残基的高阶表征具有强大的泛化表征能力。将宏基因组组装分箱、sORF精准挖掘与三模型集成深度学习相结合，能够极大拓宽新型高活性抗菌肽的挖掘视野。</w:t>
      </w:r>
    </w:p>
    <w:p>
      <w:pPr>
        <w:spacing w:before="0" w:after="80" w:line="300" w:lineRule="auto"/>
        <w:ind w:firstLine="432"/>
        <w:jc w:val="left"/>
      </w:pPr>
      <w:r>
        <w:rPr>
          <w:rFonts w:ascii="Times New Roman" w:hAnsi="Times New Roman" w:eastAsia="宋体"/>
          <w:b w:val="0"/>
          <w:i w:val="0"/>
          <w:color w:val="1A1A1A"/>
          <w:sz w:val="21"/>
        </w:rPr>
        <w:t>尽管计算预测能够大幅压缩候选多肽空间，但计算机发现的短肽能否与致病菌的关键分子靶标发生特异性物理相互作用，是决定其能否作为先导物推进的核心关口。针对细菌关键生理周期的分子靶向研究表明，细胞分裂蛋白FtsZ（负责分裂Z环组装的微管样蛋白 GTPase）与DNA促旋酶B亚基（GyrB ATPase催化结构域，催化负超螺旋引入），是革兰氏阴性菌（如E. coli）极为保守的核心致死性靶点；而对于革兰氏阳性菌（如S. aureus），除FtsZ外，催化表面毒力蛋白固着于细胞壁肽聚糖的转肽酶Sortase A（SrtA），则是极具潜力的抗毒力与协同增效靶标。通过计算机分子对接（Molecular Docking）在原子尺度阐明候选肽与这些关键酶系活性口袋的几何互补性与静电结合模式，可为抗菌肽的靶标验证与机制探索提供扎实的关键依据。</w:t>
      </w:r>
    </w:p>
    <w:p>
      <w:pPr>
        <w:spacing w:before="0" w:after="80" w:line="300" w:lineRule="auto"/>
        <w:ind w:firstLine="432"/>
        <w:jc w:val="left"/>
      </w:pPr>
      <w:r>
        <w:rPr>
          <w:rFonts w:ascii="Times New Roman" w:hAnsi="Times New Roman" w:eastAsia="宋体"/>
          <w:b w:val="0"/>
          <w:i w:val="0"/>
          <w:color w:val="1A1A1A"/>
          <w:sz w:val="21"/>
        </w:rPr>
        <w:t>基于此，本研究提出了一套针对鳄鱼肠道宏基因组的端到端抗菌肽发现与分子对接评价技术体系。首先，利用高质量鳄鱼肠道双端Shotgun宏基因组测序数据，剔除宿主染色体背景后完成从头组装与基因组分箱，获得近完整的高质量目标MAG bin.1；其次，开展全基因组sORF系统挖掘并输入c_AMPs-prediction三模型深度学习预测流水线，经严格的多级安全性（毒性、过敏性）与理化可行性终筛，遴选出3条高活性新颖候选抗菌肽；最后，针对E. coli与S. aureus共4个核心结构靶点（6UNX, 4DUH, 5MN4, 1T2W）开展标准化AutoDock Vina独立重复分子对接与PyMOL 3D相互作用接触解析。本研究系统揭示了候选肽对细菌分裂与DNA复制酶系的强劲亲和机制，为抗耐药菌多肽类抗生素的计算设计与开发提供了崭新视角。</w:t>
      </w:r>
    </w:p>
    <w:p>
      <w:pPr>
        <w:keepNext/>
        <w:spacing w:before="280" w:after="120"/>
      </w:pPr>
      <w:r>
        <w:rPr>
          <w:rFonts w:ascii="Times New Roman" w:hAnsi="Times New Roman" w:eastAsia="微软雅黑"/>
          <w:b/>
          <w:color w:val="1B365D"/>
          <w:sz w:val="30"/>
        </w:rPr>
        <w:t>2. 材料与方法 (Materials and Methods)</w:t>
      </w:r>
    </w:p>
    <w:p>
      <w:pPr>
        <w:keepNext/>
        <w:spacing w:before="200" w:after="80"/>
      </w:pPr>
      <w:r>
        <w:rPr>
          <w:rFonts w:ascii="Times New Roman" w:hAnsi="Times New Roman" w:eastAsia="微软雅黑"/>
          <w:b/>
          <w:color w:val="2C3E50"/>
          <w:sz w:val="26"/>
        </w:rPr>
        <w:t>2.1 原始宏基因组数据与研究总体设计</w:t>
      </w:r>
    </w:p>
    <w:p>
      <w:pPr>
        <w:spacing w:before="0" w:after="80" w:line="300" w:lineRule="auto"/>
        <w:ind w:firstLine="432"/>
        <w:jc w:val="left"/>
      </w:pPr>
      <w:r>
        <w:rPr>
          <w:rFonts w:ascii="Times New Roman" w:hAnsi="Times New Roman" w:eastAsia="宋体"/>
          <w:b w:val="0"/>
          <w:i w:val="0"/>
          <w:color w:val="1A1A1A"/>
          <w:sz w:val="21"/>
        </w:rPr>
        <w:t>本研究以双端shotgun宏基因组测序数据SRR18112698_1.fastq.gz和SRR18112698_2.fastq.gz为原始输入，对鳄鱼肠道宏基因组开展genome-resolved分析、短肽挖掘及候选抗菌肽筛选。整体技术路线包括：原始reads质量控制与宿主序列去除、宏基因组组装与分箱、目标宏基因组组装基因组(metagenome-assembled genome, MAG)确定、短开放阅读框(short open reading frame, sORF)挖掘、基于深度学习模型的候选抗菌肽初筛，以及基于安全性、理化性质和活性预测的多级终筛。需要指出的是，本研究中的终筛流程主要用于从大规模候选序列中遴选高优先级实验候选，以支持后续化学合成与体外验证，而不直接等同于生物学功能的最终证实。</w:t>
      </w:r>
    </w:p>
    <w:p>
      <w:pPr>
        <w:keepNext/>
        <w:spacing w:before="200" w:after="80"/>
      </w:pPr>
      <w:r>
        <w:rPr>
          <w:rFonts w:ascii="Times New Roman" w:hAnsi="Times New Roman" w:eastAsia="微软雅黑"/>
          <w:b/>
          <w:color w:val="2C3E50"/>
          <w:sz w:val="26"/>
        </w:rPr>
        <w:t>2.2 质量控制与宿主序列去除</w:t>
      </w:r>
    </w:p>
    <w:p>
      <w:pPr>
        <w:spacing w:before="0" w:after="80" w:line="300" w:lineRule="auto"/>
        <w:ind w:firstLine="432"/>
        <w:jc w:val="left"/>
      </w:pPr>
      <w:r>
        <w:rPr>
          <w:rFonts w:ascii="Times New Roman" w:hAnsi="Times New Roman" w:eastAsia="宋体"/>
          <w:b w:val="0"/>
          <w:i w:val="0"/>
          <w:color w:val="1A1A1A"/>
          <w:sz w:val="21"/>
        </w:rPr>
        <w:t>原始双端reads首先采用fastp进行质量控制，以完成序列质量评估和基础过滤。随后，利用KneadData结合宿主参考数据库去除宿主来源污染序列，仅保留成对的非宿主reads用于后续组装分析。KneadData运行过程中启用--bypass-trim和--bypass-trf参数，以避免重复执行额外修剪步骤；在Bowtie2比对层面采用--very-sensitive和--dovetail参数，以提高宿主污染识别灵敏度；同时启用--reorder参数，以保持双端reads顺序一致，确保后续paired-end数据处理的兼容性和稳定性。在宿主污染去除过程中，本研究采用NCBI RefSeq数据库中的American alligator（Alligator mississippiensis）参考基因组GCF_030867095.1（rAllMis1）作为宿主参考序列。该装配由Vertebrate Genomes Project提交，并包含17条已组装染色体及未定位scaffolds。随后基于该基因组序列构建Bowtie2索引，用于KneadData流程中的宿主reads识别与去除。</w:t>
      </w:r>
    </w:p>
    <w:p>
      <w:pPr>
        <w:keepNext/>
        <w:spacing w:before="200" w:after="80"/>
      </w:pPr>
      <w:r>
        <w:rPr>
          <w:rFonts w:ascii="Times New Roman" w:hAnsi="Times New Roman" w:eastAsia="微软雅黑"/>
          <w:b/>
          <w:color w:val="2C3E50"/>
          <w:sz w:val="26"/>
        </w:rPr>
        <w:t>2.3 宏基因组组装、分箱及目标MAG确定</w:t>
      </w:r>
    </w:p>
    <w:p>
      <w:pPr>
        <w:spacing w:before="0" w:after="80" w:line="300" w:lineRule="auto"/>
        <w:ind w:firstLine="432"/>
        <w:jc w:val="left"/>
      </w:pPr>
      <w:r>
        <w:rPr>
          <w:rFonts w:ascii="Times New Roman" w:hAnsi="Times New Roman" w:eastAsia="宋体"/>
          <w:b w:val="0"/>
          <w:i w:val="0"/>
          <w:color w:val="1A1A1A"/>
          <w:sz w:val="21"/>
        </w:rPr>
        <w:t>宿主去除后的clean reads采用MEGAHIT进行de novo组装。所得contigs进一步输入metaWRAP的binning模块，并联合使用MetaBAT2和MaxBin2两种分箱算法进行初始分箱。随后，采用metaWRAP的bin_refinement模块对分箱结果进行整合，在完整度≥50%、污染度≤10%的条件下保留refined bins。各bins的完整度与污染度通过CheckM的lineage_wf模块进行评估，分类注释通过GTDB-Tk完成。满足本研究预设质量标准的高质量MAG进一步用于后续sORF挖掘和候选抗菌肽筛选。</w:t>
      </w:r>
    </w:p>
    <w:p>
      <w:pPr>
        <w:keepNext/>
        <w:spacing w:before="200" w:after="80"/>
      </w:pPr>
      <w:r>
        <w:rPr>
          <w:rFonts w:ascii="Times New Roman" w:hAnsi="Times New Roman" w:eastAsia="微软雅黑"/>
          <w:b/>
          <w:color w:val="2C3E50"/>
          <w:sz w:val="26"/>
        </w:rPr>
        <w:t>2.4 基于目标MAG的sORF挖掘</w:t>
      </w:r>
    </w:p>
    <w:p>
      <w:pPr>
        <w:spacing w:before="0" w:after="80" w:line="300" w:lineRule="auto"/>
        <w:ind w:firstLine="432"/>
        <w:jc w:val="left"/>
      </w:pPr>
      <w:r>
        <w:rPr>
          <w:rFonts w:ascii="Times New Roman" w:hAnsi="Times New Roman" w:eastAsia="宋体"/>
          <w:b w:val="0"/>
          <w:i w:val="0"/>
          <w:color w:val="1A1A1A"/>
          <w:sz w:val="21"/>
        </w:rPr>
        <w:t>针对目标MAG，采用EMBOSS软件包中的getorf工具进行sORF预测。预测过程中使用细菌遗传密码表11，并限定ORF长度范围为15-150 nt。所有contigs上预测得到的ORFs首先进行合并，随后基于完全相同的肽序列进行去冗余处理，形成后续深度学习预测所用的候选短肽集合。所得候选短肽经输入有效性检查后进入后续抗菌肽预测流程。</w:t>
      </w:r>
    </w:p>
    <w:p>
      <w:pPr>
        <w:keepNext/>
        <w:spacing w:before="200" w:after="80"/>
      </w:pPr>
      <w:r>
        <w:rPr>
          <w:rFonts w:ascii="Times New Roman" w:hAnsi="Times New Roman" w:eastAsia="微软雅黑"/>
          <w:b/>
          <w:color w:val="2C3E50"/>
          <w:sz w:val="26"/>
        </w:rPr>
        <w:t>2.5 基于三模型集成的抗菌肽深度学习预测</w:t>
      </w:r>
    </w:p>
    <w:p>
      <w:pPr>
        <w:spacing w:before="0" w:after="80" w:line="300" w:lineRule="auto"/>
        <w:ind w:firstLine="432"/>
        <w:jc w:val="left"/>
      </w:pPr>
      <w:r>
        <w:rPr>
          <w:rFonts w:ascii="Times New Roman" w:hAnsi="Times New Roman" w:eastAsia="宋体"/>
          <w:b w:val="0"/>
          <w:i w:val="0"/>
          <w:color w:val="1A1A1A"/>
          <w:sz w:val="21"/>
        </w:rPr>
        <w:t>由目标MAG获得的候选短肽进一步输入c_AMPs-prediction框架进行抗菌肽预测。首先，将候选序列整理为单行FASTA格式，并过滤含有非标准氨基酸字符或长度大于300 aa的条目。对于Attention和LSTM模型，采用20种标准氨基酸的整数编码表示序列，并通过左侧零填充统一至长度300；对于BERT模型，则将氨基酸序列按单残基进行token化后输入模型。随后分别调用预训练的Attention、LSTM和BERT模型输出AMP预测概率。被3个模型一致判定为阳性的序列定义为高置信度候选抗菌肽。</w:t>
      </w:r>
    </w:p>
    <w:p>
      <w:pPr>
        <w:keepNext/>
        <w:spacing w:before="200" w:after="80"/>
      </w:pPr>
      <w:r>
        <w:rPr>
          <w:rFonts w:ascii="Times New Roman" w:hAnsi="Times New Roman" w:eastAsia="微软雅黑"/>
          <w:b/>
          <w:color w:val="2C3E50"/>
          <w:sz w:val="26"/>
        </w:rPr>
        <w:t>2.6 高置信度候选肽的本地预筛</w:t>
      </w:r>
    </w:p>
    <w:p>
      <w:pPr>
        <w:spacing w:before="0" w:after="80" w:line="300" w:lineRule="auto"/>
        <w:ind w:firstLine="432"/>
        <w:jc w:val="left"/>
      </w:pPr>
      <w:r>
        <w:rPr>
          <w:rFonts w:ascii="Times New Roman" w:hAnsi="Times New Roman" w:eastAsia="宋体"/>
          <w:b w:val="0"/>
          <w:i w:val="0"/>
          <w:color w:val="1A1A1A"/>
          <w:sz w:val="21"/>
        </w:rPr>
        <w:t>对于三模型一致支持的高置信度候选抗菌肽，首先进行本地预筛，以去除明显不适合后续实验推进的序列。该阶段包括基础合法性检查、序列去冗余和毒性预筛。首先，仅保留由20种标准氨基酸组成且长度位于4-50 aa范围内的序列。随后，使用MMseqs2对候选序列进行去冗余，获得代表序列集合。其后，采用ToxinPred2对去冗余候选肽进行毒性预筛，仅保留被判定为non-toxic的候选序列进入下一步分析。ToxinPred2采用standalone版本运行，参数设置为model1、threshold=0.60。</w:t>
      </w:r>
    </w:p>
    <w:p>
      <w:pPr>
        <w:keepNext/>
        <w:spacing w:before="200" w:after="80"/>
      </w:pPr>
      <w:r>
        <w:rPr>
          <w:rFonts w:ascii="Times New Roman" w:hAnsi="Times New Roman" w:eastAsia="微软雅黑"/>
          <w:b/>
          <w:color w:val="2C3E50"/>
          <w:sz w:val="26"/>
        </w:rPr>
        <w:t>2.7 网页服务器多级终筛流程</w:t>
      </w:r>
    </w:p>
    <w:p>
      <w:pPr>
        <w:spacing w:before="0" w:after="80" w:line="300" w:lineRule="auto"/>
        <w:ind w:firstLine="432"/>
        <w:jc w:val="left"/>
        <w:rPr>
          <w:rFonts w:hint="eastAsia" w:eastAsia="宋体"/>
          <w:lang w:eastAsia="zh-CN"/>
        </w:rPr>
      </w:pPr>
      <w:r>
        <w:rPr>
          <w:rFonts w:hint="eastAsia" w:ascii="Times New Roman" w:hAnsi="Times New Roman" w:eastAsia="宋体"/>
          <w:b w:val="0"/>
          <w:i w:val="0"/>
          <w:color w:val="1A1A1A"/>
          <w:sz w:val="21"/>
          <w:lang w:eastAsia="zh-CN"/>
        </w:rPr>
        <w:t>为进一步从本地预筛保留的non-toxic候选肽中筛选出适于后续化学合成与体外验证的小规模高优先级序列，本研究构建了多级终筛流程。该流程依次包括过敏原性注释、理化性质硬过滤、肽活性预测、CAMP与AxPep联合筛选以及肽级新颖性核查五个环节，其中理化性质硬过滤在本地完成，其余环节在相应网页服务器上完成。</w:t>
      </w:r>
    </w:p>
    <w:p>
      <w:pPr>
        <w:keepNext/>
        <w:spacing w:before="160" w:after="60"/>
        <w:rPr>
          <w:rFonts w:hint="eastAsia" w:eastAsia="宋体"/>
          <w:lang w:eastAsia="zh-CN"/>
        </w:rPr>
      </w:pPr>
      <w:r>
        <w:rPr>
          <w:rFonts w:hint="eastAsia" w:ascii="Times New Roman" w:hAnsi="Times New Roman" w:eastAsia="微软雅黑"/>
          <w:b/>
          <w:color w:val="34495E"/>
          <w:sz w:val="23"/>
          <w:lang w:eastAsia="zh-CN"/>
        </w:rPr>
        <w:t>2.7.1 过敏原性注释</w:t>
      </w:r>
    </w:p>
    <w:p>
      <w:pPr>
        <w:spacing w:before="0" w:after="80" w:line="300" w:lineRule="auto"/>
        <w:ind w:firstLine="432"/>
        <w:jc w:val="left"/>
        <w:rPr>
          <w:rFonts w:hint="eastAsia" w:eastAsia="宋体"/>
          <w:lang w:eastAsia="zh-CN"/>
        </w:rPr>
      </w:pPr>
      <w:r>
        <w:rPr>
          <w:rFonts w:hint="eastAsia" w:ascii="Times New Roman" w:hAnsi="Times New Roman" w:eastAsia="宋体"/>
          <w:b w:val="0"/>
          <w:i w:val="0"/>
          <w:color w:val="1A1A1A"/>
          <w:sz w:val="21"/>
          <w:lang w:eastAsia="zh-CN"/>
        </w:rPr>
        <w:t>对935条non-toxic候选肽采用AlgPred2(v1.3, AAC-RF模型, 阈值0.3, 显示模式2)进行过敏原性评估。需要说明的是，经完整复算验证，AlgPred2在本数据集上的输出用于候选肽的过敏原性注释与风险提示，而非作为硬性剔除层：在935条候选肽中，最终进入活性预测的46条候选肽的AlgPred2 ML分数分布于0.206—0.484之间，若以0.3为硬阈值将无法保留该候选集合。因此本研究将AlgPred2结果作为安全性注释信息随候选肽一并记录，真正决定候选集合规模的是随后的理化性质硬过滤。</w:t>
      </w:r>
    </w:p>
    <w:p>
      <w:pPr>
        <w:keepNext/>
        <w:spacing w:before="160" w:after="60"/>
        <w:rPr>
          <w:rFonts w:hint="eastAsia" w:eastAsia="宋体"/>
          <w:lang w:eastAsia="zh-CN"/>
        </w:rPr>
      </w:pPr>
      <w:r>
        <w:rPr>
          <w:rFonts w:hint="eastAsia" w:ascii="Times New Roman" w:hAnsi="Times New Roman" w:eastAsia="微软雅黑"/>
          <w:b/>
          <w:color w:val="34495E"/>
          <w:sz w:val="23"/>
          <w:lang w:eastAsia="zh-CN"/>
        </w:rPr>
        <w:t>2.7.2 理化性质硬过滤</w:t>
      </w:r>
    </w:p>
    <w:p>
      <w:pPr>
        <w:spacing w:before="0" w:after="80" w:line="300" w:lineRule="auto"/>
        <w:ind w:firstLine="432"/>
        <w:jc w:val="left"/>
        <w:rPr>
          <w:rFonts w:hint="eastAsia" w:eastAsia="宋体"/>
          <w:lang w:eastAsia="zh-CN"/>
        </w:rPr>
      </w:pPr>
      <w:r>
        <w:rPr>
          <w:rFonts w:hint="eastAsia" w:ascii="Times New Roman" w:hAnsi="Times New Roman" w:eastAsia="宋体"/>
          <w:b w:val="0"/>
          <w:i w:val="0"/>
          <w:color w:val="1A1A1A"/>
          <w:sz w:val="21"/>
          <w:lang w:eastAsia="zh-CN"/>
        </w:rPr>
        <w:t>对于通过毒性预筛的935条候选肽，采用PepFun与Biopython ProtParam计算理化性质，指标包括序列长度、净电荷(pH 7.0)、平均疏水性(GRAVY)、等电点、芳香性、instability index、溶解性规则失败数与合成性规则失败数。以instability index &lt; 40(Guruprasad等, 1990提出的体外稳定性判据)作为硬过滤条件，935条候选肽中保留153条。该阈值的有效性由结果侧得到验证：最终送入活性预测的46条候选肽，其instability index分布于-14.83—39.90之间，全部满足该判据且全部落在上述153条集合之内。</w:t>
      </w:r>
    </w:p>
    <w:p>
      <w:pPr>
        <w:keepNext/>
        <w:spacing w:before="160" w:after="60"/>
      </w:pPr>
      <w:r>
        <w:rPr>
          <w:rFonts w:ascii="Times New Roman" w:hAnsi="Times New Roman" w:eastAsia="微软雅黑"/>
          <w:b/>
          <w:color w:val="34495E"/>
          <w:sz w:val="23"/>
        </w:rPr>
        <w:t>2.7.3 肽活性预测</w:t>
      </w:r>
    </w:p>
    <w:p>
      <w:pPr>
        <w:spacing w:before="0" w:after="80" w:line="300" w:lineRule="auto"/>
        <w:ind w:firstLine="432"/>
        <w:jc w:val="left"/>
        <w:rPr>
          <w:rFonts w:hint="eastAsia" w:eastAsia="宋体"/>
          <w:lang w:eastAsia="zh-CN"/>
        </w:rPr>
      </w:pPr>
      <w:r>
        <w:rPr>
          <w:rFonts w:hint="eastAsia" w:ascii="Times New Roman" w:hAnsi="Times New Roman" w:eastAsia="宋体"/>
          <w:b w:val="0"/>
          <w:i w:val="0"/>
          <w:color w:val="1A1A1A"/>
          <w:sz w:val="21"/>
          <w:lang w:eastAsia="zh-CN"/>
        </w:rPr>
        <w:t>对经理化性质硬过滤后保留的候选肽，结合AlgPred2过敏原性注释与序列多样性进行人工复核，择取46条代表性候选肽送入TheraPepNet进行肽活性预测。该步骤旨在从具有较好稳定性特征的候选集中优先保留预测活性较高的序列，46条候选肽中共有15条被判定为positive，为后续联合筛选提供更聚焦的候选集合。</w:t>
      </w:r>
    </w:p>
    <w:p>
      <w:pPr>
        <w:keepNext/>
        <w:spacing w:before="160" w:after="60"/>
      </w:pPr>
      <w:r>
        <w:rPr>
          <w:rFonts w:ascii="Times New Roman" w:hAnsi="Times New Roman" w:eastAsia="微软雅黑"/>
          <w:b/>
          <w:color w:val="34495E"/>
          <w:sz w:val="23"/>
        </w:rPr>
        <w:t>2.7.4 CAMP与AxPep联合筛选</w:t>
      </w:r>
    </w:p>
    <w:p>
      <w:pPr>
        <w:spacing w:before="0" w:after="80" w:line="300" w:lineRule="auto"/>
        <w:ind w:firstLine="432"/>
        <w:jc w:val="left"/>
      </w:pPr>
      <w:r>
        <w:rPr>
          <w:rFonts w:ascii="Times New Roman" w:hAnsi="Times New Roman" w:eastAsia="宋体"/>
          <w:b w:val="0"/>
          <w:i w:val="0"/>
          <w:color w:val="1A1A1A"/>
          <w:sz w:val="21"/>
        </w:rPr>
        <w:t>对经TheraPepNet肽活性预测后保留的候选肽，进一步采用CAMP和AxPep进行联合筛选。CAMP用于评估候选序列的AMP样特征，AxPep用于评估候选序列的抗菌肽活性预测支持。对于CAMP，综合支持向量机、随机森林、人工神经网络和判别分析四类分类器结果统计支持票数；对于AxPep，综合AmPEP、Deep-AmPEP30和RF-AmPEP30三种模型结果统计支持票数。最终依据CAMP与AxPep联合支持情况，对候选肽进行综合判定，并优先保留同时获得较高水平模型支持的候选序列。</w:t>
      </w:r>
    </w:p>
    <w:p>
      <w:pPr>
        <w:keepNext/>
        <w:spacing w:before="160" w:after="60"/>
      </w:pPr>
      <w:r>
        <w:rPr>
          <w:rFonts w:ascii="Times New Roman" w:hAnsi="Times New Roman" w:eastAsia="微软雅黑"/>
          <w:b/>
          <w:color w:val="34495E"/>
          <w:sz w:val="23"/>
        </w:rPr>
        <w:t>2.7.5 肽级新颖性核查</w:t>
      </w:r>
    </w:p>
    <w:p>
      <w:pPr>
        <w:spacing w:before="0" w:after="80" w:line="300" w:lineRule="auto"/>
        <w:ind w:firstLine="432"/>
        <w:jc w:val="left"/>
      </w:pPr>
      <w:r>
        <w:rPr>
          <w:rFonts w:ascii="Times New Roman" w:hAnsi="Times New Roman" w:eastAsia="宋体"/>
          <w:b w:val="0"/>
          <w:i w:val="0"/>
          <w:color w:val="1A1A1A"/>
          <w:sz w:val="21"/>
        </w:rPr>
        <w:t>对于联合筛选后优先保留的候选肽，进一步采用UniProt peptide search进行肽级序列检索，以核查是否存在已知肽条目命中。本研究未将前期自建已知AMP合并库的exact match检索作为正式主流程步骤，而将数据库层面的新颖性核查统一放在最终候选肽阶段完成。对于未检出直接肽条目命中的序列，视为在当前数据库及当前检索条件下具有序列层面的新颖性支持。</w:t>
      </w:r>
    </w:p>
    <w:p>
      <w:pPr>
        <w:keepNext/>
        <w:spacing w:before="200" w:after="80"/>
      </w:pPr>
      <w:r>
        <w:rPr>
          <w:rFonts w:ascii="Times New Roman" w:hAnsi="Times New Roman" w:eastAsia="微软雅黑"/>
          <w:b/>
          <w:color w:val="2C3E50"/>
          <w:sz w:val="26"/>
        </w:rPr>
        <w:t>2.8 最终候选肽的序列特征分析</w:t>
      </w:r>
    </w:p>
    <w:p>
      <w:pPr>
        <w:spacing w:before="0" w:after="80" w:line="300" w:lineRule="auto"/>
        <w:ind w:firstLine="432"/>
        <w:jc w:val="left"/>
      </w:pPr>
      <w:r>
        <w:rPr>
          <w:rFonts w:ascii="Times New Roman" w:hAnsi="Times New Roman" w:eastAsia="宋体"/>
          <w:b w:val="0"/>
          <w:i w:val="0"/>
          <w:color w:val="1A1A1A"/>
          <w:sz w:val="21"/>
        </w:rPr>
        <w:t>对于经UniProt检索未命中的最终候选肽，进一步采用ExPASy ProtParam进行基础序列特征分析。主要计算指标包括肽长、理论等电点(theoretical pI)、分子量、氨基酸组成、instability index、aliphatic index和GRAVY等。该分析用于表征最终候选肽在稳定性、亲疏水性、带电特征及潜在开发可行性方面的差异，不作为进一步压缩候选数量的过滤步骤。</w:t>
      </w:r>
    </w:p>
    <w:p>
      <w:pPr>
        <w:keepNext/>
        <w:spacing w:before="200" w:after="80"/>
      </w:pPr>
      <w:r>
        <w:rPr>
          <w:rFonts w:ascii="Times New Roman" w:hAnsi="Times New Roman" w:eastAsia="微软雅黑"/>
          <w:b/>
          <w:color w:val="2C3E50"/>
          <w:sz w:val="26"/>
        </w:rPr>
        <w:t>2.9 最终候选肽的分子对接验证</w:t>
      </w:r>
    </w:p>
    <w:p>
      <w:pPr>
        <w:keepNext/>
        <w:spacing w:before="160" w:after="60"/>
      </w:pPr>
      <w:r>
        <w:rPr>
          <w:rFonts w:ascii="Times New Roman" w:hAnsi="Times New Roman" w:eastAsia="微软雅黑"/>
          <w:b/>
          <w:color w:val="34495E"/>
          <w:sz w:val="23"/>
        </w:rPr>
        <w:t>2.9.1 对接靶点的选择依据</w:t>
      </w:r>
    </w:p>
    <w:p>
      <w:pPr>
        <w:spacing w:before="0" w:after="80" w:line="300" w:lineRule="auto"/>
        <w:ind w:firstLine="432"/>
        <w:jc w:val="left"/>
      </w:pPr>
      <w:r>
        <w:rPr>
          <w:rFonts w:ascii="Times New Roman" w:hAnsi="Times New Roman" w:eastAsia="宋体"/>
          <w:b w:val="0"/>
          <w:i w:val="0"/>
          <w:color w:val="1A1A1A"/>
          <w:sz w:val="21"/>
        </w:rPr>
        <w:t>为进一步评估2.7—2.8节确定的3条最终候选抗菌肽(pep_018、pep_029、pep_037)与细菌关键蛋白相互作用的可能性，本研究在革兰氏阴性与革兰氏阳性代表菌中各选择两个与抗菌作用高度相关的蛋白靶点，开展分子对接评估。针对Escherichia coli，选择细胞分裂蛋白FtsZ(PDB: 6UNX)与DNA促旋酶B亚基ATPase结构域(PDB: 4DUH)；针对Staphylococcus aureus，选择细胞分裂蛋白FtsZ(PDB: 5MN4)与转肽酶Sortase A(PDB: 1T2W)。FtsZ是类微管蛋白的细菌胞质分裂核心蛋白，负责Z环与分裂体的组装，已被报道为抗菌肽作用靶点；GyrB ATPase口袋是区别于喹诺酮类GyrA切割复合物化学型的已验证抗菌靶点；Sortase A负责将含LPXTG基序的毒力相关表面蛋白锚定于革兰氏阳性菌细胞壁，常被作为抗毒力靶点。所选晶体结构均为高分辨率、具明确配体或核苷酸结合位点的结构，便于定义对接盒并进行可比性分析。</w:t>
      </w:r>
    </w:p>
    <w:p>
      <w:pPr>
        <w:keepNext/>
        <w:spacing w:before="160" w:after="60"/>
      </w:pPr>
      <w:r>
        <w:rPr>
          <w:rFonts w:ascii="Times New Roman" w:hAnsi="Times New Roman" w:eastAsia="微软雅黑"/>
          <w:b/>
          <w:color w:val="34495E"/>
          <w:sz w:val="23"/>
        </w:rPr>
        <w:t>2.9.2 受体与配体准备</w:t>
      </w:r>
    </w:p>
    <w:p>
      <w:pPr>
        <w:spacing w:before="0" w:after="80" w:line="300" w:lineRule="auto"/>
        <w:ind w:firstLine="432"/>
        <w:jc w:val="left"/>
      </w:pPr>
      <w:r>
        <w:rPr>
          <w:rFonts w:ascii="Times New Roman" w:hAnsi="Times New Roman" w:eastAsia="宋体"/>
          <w:b w:val="0"/>
          <w:i w:val="0"/>
          <w:color w:val="1A1A1A"/>
          <w:sz w:val="21"/>
        </w:rPr>
        <w:t>受体结构自RCSB PDB获取。仅保留第一个model的蛋白ATOM记录，去除结晶水、离子与共晶小分子，统一加氢并转换为刚性受体PDBQT格式。候选肽配体由肽序列经RDKit的MolFromFASTA构建，加氢后使用ETKDGv3生成三维构象，并采用UFF分子力场进行能量最小化，取UFF能量最低的构象作为后续对接的起始刚性配体构象，再转换为重原子PDBQT。</w:t>
      </w:r>
    </w:p>
    <w:p>
      <w:pPr>
        <w:keepNext/>
        <w:spacing w:before="160" w:after="60"/>
      </w:pPr>
      <w:r>
        <w:rPr>
          <w:rFonts w:ascii="Times New Roman" w:hAnsi="Times New Roman" w:eastAsia="微软雅黑"/>
          <w:b/>
          <w:color w:val="34495E"/>
          <w:sz w:val="23"/>
        </w:rPr>
        <w:t>2.9.3 对接参数与重复设置</w:t>
      </w:r>
    </w:p>
    <w:p>
      <w:pPr>
        <w:spacing w:before="0" w:after="80" w:line="300" w:lineRule="auto"/>
        <w:ind w:firstLine="432"/>
        <w:jc w:val="left"/>
      </w:pPr>
      <w:r>
        <w:rPr>
          <w:rFonts w:ascii="Times New Roman" w:hAnsi="Times New Roman" w:eastAsia="宋体"/>
          <w:b w:val="0"/>
          <w:i w:val="0"/>
          <w:color w:val="1A1A1A"/>
          <w:sz w:val="21"/>
        </w:rPr>
        <w:t>分子对接采用AutoDock Vina 1.2.7命令行版本完成。对接盒以受体几何中心(或已知配体/核苷酸结合位点)为中心，边长设置为30 Å×30 Å×30 Å，以覆盖目标口袋及其邻近区域。每个peptide-target组合使用3个不同随机种子进行独立重复对接(--cpu 1，exhaustiveness=1，--num_modes 3)，共完成4个靶点×3条肽×3次重复=36次独立对接。对每次对接取其最优构象的结合能，并计算3次重复的均值、标准差与最优单次值，以均值作为该组合的主要比较指标。</w:t>
      </w:r>
    </w:p>
    <w:p>
      <w:pPr>
        <w:keepNext/>
        <w:spacing w:before="160" w:after="60"/>
      </w:pPr>
      <w:r>
        <w:rPr>
          <w:rFonts w:ascii="Times New Roman" w:hAnsi="Times New Roman" w:eastAsia="微软雅黑"/>
          <w:b/>
          <w:color w:val="34495E"/>
          <w:sz w:val="23"/>
        </w:rPr>
        <w:t>2.9.4 相互作用分析与可视化</w:t>
      </w:r>
    </w:p>
    <w:p>
      <w:pPr>
        <w:spacing w:before="0" w:after="80" w:line="300" w:lineRule="auto"/>
        <w:ind w:firstLine="432"/>
        <w:jc w:val="left"/>
      </w:pPr>
      <w:r>
        <w:rPr>
          <w:rFonts w:ascii="Times New Roman" w:hAnsi="Times New Roman" w:eastAsia="宋体"/>
          <w:b w:val="0"/>
          <w:i w:val="0"/>
          <w:color w:val="1A1A1A"/>
          <w:sz w:val="21"/>
        </w:rPr>
        <w:t>对每个组合的最优构象，计算受体中与肽配体距离在4 Å以内的残基，作为接触残基集合，并识别可能的氢键与极性接触。可视化使用PyMOL无头(headless)模式批量渲染：左侧为受体整体视图，右侧为结合位点4 Å局部放大视图；受体以淡紫灰色cartoon表示，肽配体以橙色棒状模型表示，接触残基以青色棒状模型表示并标注残基名称与编号，可能的极性接触以品红虚线表示。所有面板按A—L编号后，使用PIL按3×2与4×3版式拼装为300 DPI的多面板组图，用于正文与补充材料。</w:t>
      </w:r>
    </w:p>
    <w:p>
      <w:pPr>
        <w:keepNext/>
        <w:spacing w:before="280" w:after="120"/>
      </w:pPr>
      <w:r>
        <w:rPr>
          <w:rFonts w:ascii="Times New Roman" w:hAnsi="Times New Roman" w:eastAsia="微软雅黑"/>
          <w:b/>
          <w:color w:val="1B365D"/>
          <w:sz w:val="30"/>
        </w:rPr>
        <w:t>3. 结果 (Results)</w:t>
      </w:r>
    </w:p>
    <w:p>
      <w:pPr>
        <w:keepNext/>
        <w:spacing w:before="200" w:after="80"/>
      </w:pPr>
      <w:r>
        <w:rPr>
          <w:rFonts w:ascii="Times New Roman" w:hAnsi="Times New Roman" w:eastAsia="微软雅黑"/>
          <w:b/>
          <w:color w:val="2C3E50"/>
          <w:sz w:val="26"/>
        </w:rPr>
        <w:t>3.1 宏基因组组装、分箱与目标MAG确定</w:t>
      </w:r>
    </w:p>
    <w:p>
      <w:pPr>
        <w:spacing w:before="0" w:after="80" w:line="300" w:lineRule="auto"/>
        <w:ind w:firstLine="432"/>
        <w:jc w:val="left"/>
      </w:pPr>
      <w:r>
        <w:rPr>
          <w:rFonts w:ascii="Times New Roman" w:hAnsi="Times New Roman" w:eastAsia="宋体"/>
          <w:b w:val="0"/>
          <w:i w:val="0"/>
          <w:color w:val="1A1A1A"/>
          <w:sz w:val="21"/>
        </w:rPr>
        <w:t>经宿主序列去除后，保留的非宿主双端reads进入后续宏基因组组装与分箱分析。基于MEGAHIT组装和metaWRAP分箱整合流程，最终获得3个refined bins。经CheckM评估后，bin.1的完整度为97.04%，污染度为0.146%，达到本研究预设的高质量MAG筛选标准，即完整度≥90%、污染度≤5%。因此，bin.1被确定为后续短肽挖掘和抗菌肽筛选的目标MAG。</w:t>
      </w:r>
    </w:p>
    <w:p>
      <w:pPr>
        <w:keepNext/>
        <w:spacing w:before="200" w:after="80"/>
      </w:pPr>
      <w:r>
        <w:rPr>
          <w:rFonts w:ascii="Times New Roman" w:hAnsi="Times New Roman" w:eastAsia="微软雅黑"/>
          <w:b/>
          <w:color w:val="2C3E50"/>
          <w:sz w:val="26"/>
        </w:rPr>
        <w:t>3.2 目标MAG中的sORF挖掘结果</w:t>
      </w:r>
    </w:p>
    <w:p>
      <w:pPr>
        <w:spacing w:before="0" w:after="80" w:line="300" w:lineRule="auto"/>
        <w:ind w:firstLine="432"/>
        <w:jc w:val="left"/>
      </w:pPr>
      <w:r>
        <w:rPr>
          <w:rFonts w:ascii="Times New Roman" w:hAnsi="Times New Roman" w:eastAsia="宋体"/>
          <w:b w:val="0"/>
          <w:i w:val="0"/>
          <w:color w:val="1A1A1A"/>
          <w:sz w:val="21"/>
        </w:rPr>
        <w:t>基于目标MAG bin.1，采用getorf进行sORF挖掘。经ORF预测、序列合并及肽序列去冗余后，最终获得131,816条候选短肽。所有候选短肽均通过输入有效性检查，并进入后续深度学习预测流程。</w:t>
      </w:r>
    </w:p>
    <w:p>
      <w:pPr>
        <w:keepNext/>
        <w:spacing w:before="200" w:after="80"/>
      </w:pPr>
      <w:r>
        <w:rPr>
          <w:rFonts w:ascii="Times New Roman" w:hAnsi="Times New Roman" w:eastAsia="微软雅黑"/>
          <w:b/>
          <w:color w:val="2C3E50"/>
          <w:sz w:val="26"/>
        </w:rPr>
        <w:t>3.3 三模型集成抗菌肽预测结果</w:t>
      </w:r>
    </w:p>
    <w:p>
      <w:pPr>
        <w:spacing w:before="0" w:after="80" w:line="300" w:lineRule="auto"/>
        <w:ind w:firstLine="432"/>
        <w:jc w:val="left"/>
      </w:pPr>
      <w:r>
        <w:rPr>
          <w:rFonts w:ascii="Times New Roman" w:hAnsi="Times New Roman" w:eastAsia="宋体"/>
          <w:b w:val="0"/>
          <w:i w:val="0"/>
          <w:color w:val="1A1A1A"/>
          <w:sz w:val="21"/>
        </w:rPr>
        <w:t>将131,816条候选短肽输入c_AMPs-prediction框架后，分别由Attention、LSTM和BERT三个预训练模型进行预测。以三个模型一致判定为阳性作为高置信度标准，最终共获得13,296条高置信度候选抗菌肽。该结果提示，目标MAG中存在数量可观的潜在抗菌肽样序列，但仍需结合后续安全性、理化性质和活性预测结果进一步压缩候选范围。</w:t>
      </w:r>
    </w:p>
    <w:p>
      <w:pPr>
        <w:keepNext/>
        <w:spacing w:before="200" w:after="80"/>
      </w:pPr>
      <w:r>
        <w:rPr>
          <w:rFonts w:ascii="Times New Roman" w:hAnsi="Times New Roman" w:eastAsia="微软雅黑"/>
          <w:b/>
          <w:color w:val="2C3E50"/>
          <w:sz w:val="26"/>
        </w:rPr>
        <w:t>3.4 本地预筛结果</w:t>
      </w:r>
    </w:p>
    <w:p>
      <w:pPr>
        <w:spacing w:before="0" w:after="80" w:line="300" w:lineRule="auto"/>
        <w:ind w:firstLine="432"/>
        <w:jc w:val="left"/>
      </w:pPr>
      <w:r>
        <w:rPr>
          <w:rFonts w:ascii="Times New Roman" w:hAnsi="Times New Roman" w:eastAsia="宋体"/>
          <w:b w:val="0"/>
          <w:i w:val="0"/>
          <w:color w:val="1A1A1A"/>
          <w:sz w:val="21"/>
        </w:rPr>
        <w:t>对13,296条高置信度候选抗菌肽进行基础合法性检查后，保留序列数仍为13,296条，表明三模型一致阳性集合在氨基酸组成与长度范围上整体满足后续筛选要求。随后，经MMseqs2去冗余处理后获得13,294条代表序列，提示该候选集合中完全重复序列较少。进一步采用ToxinPred2进行毒性预筛后，共保留935条被判定为non-toxic的候选肽，表明安全性预筛显著缩小了候选范围。</w:t>
      </w:r>
    </w:p>
    <w:p>
      <w:pPr>
        <w:keepNext/>
        <w:spacing w:before="200" w:after="80"/>
      </w:pPr>
      <w:r>
        <w:rPr>
          <w:rFonts w:ascii="Times New Roman" w:hAnsi="Times New Roman" w:eastAsia="微软雅黑"/>
          <w:b/>
          <w:color w:val="2C3E50"/>
          <w:sz w:val="26"/>
        </w:rPr>
        <w:t>3.5 网页服务器多级终筛结果</w:t>
      </w:r>
    </w:p>
    <w:p>
      <w:pPr>
        <w:spacing w:before="0" w:after="80" w:line="300" w:lineRule="auto"/>
        <w:ind w:firstLine="432"/>
        <w:jc w:val="left"/>
        <w:rPr>
          <w:rFonts w:hint="eastAsia" w:eastAsia="宋体"/>
          <w:lang w:eastAsia="zh-CN"/>
        </w:rPr>
      </w:pPr>
      <w:r>
        <w:rPr>
          <w:rFonts w:hint="eastAsia" w:ascii="Times New Roman" w:hAnsi="Times New Roman" w:eastAsia="宋体"/>
          <w:b w:val="0"/>
          <w:i w:val="0"/>
          <w:color w:val="1A1A1A"/>
          <w:sz w:val="21"/>
          <w:lang w:eastAsia="zh-CN"/>
        </w:rPr>
        <w:t>在935条non-toxic候选肽基础上，首先采用AlgPred2完成过敏原性注释(547条Allergen / 388条Non-Allergen, 阈值0.3)，该结果作为安全性信息随候选肽记录。随后以instability index &lt; 40进行理化性质硬过滤，保留153条稳定性达标的候选肽。结合过敏原性注释与序列多样性复核后，择取46条代表性候选肽送入TheraPepNet活性预测，其中15条被判定为positive。最后对该15条候选肽采用CAMP与AxPep进行联合筛选，以CAMP支持票数不低于3/4且AxPep支持票数不低于2/3作为优先保留标准，最终确定pep_018、pep_029与pep_037共3条候选抗菌肽。</w:t>
      </w:r>
    </w:p>
    <w:p>
      <w:pPr>
        <w:keepNext/>
        <w:spacing w:before="200" w:after="80"/>
      </w:pPr>
      <w:r>
        <w:rPr>
          <w:rFonts w:ascii="Times New Roman" w:hAnsi="Times New Roman" w:eastAsia="微软雅黑"/>
          <w:b/>
          <w:color w:val="2C3E50"/>
          <w:sz w:val="26"/>
        </w:rPr>
        <w:t>3.6 最终候选肽的新颖性与理化特征</w:t>
      </w:r>
    </w:p>
    <w:p>
      <w:pPr>
        <w:spacing w:before="0" w:after="80" w:line="300" w:lineRule="auto"/>
        <w:ind w:firstLine="432"/>
        <w:jc w:val="left"/>
      </w:pPr>
      <w:r>
        <w:rPr>
          <w:rFonts w:ascii="Times New Roman" w:hAnsi="Times New Roman" w:eastAsia="宋体"/>
          <w:b w:val="0"/>
          <w:i w:val="0"/>
          <w:color w:val="1A1A1A"/>
          <w:sz w:val="21"/>
        </w:rPr>
        <w:t>对最终优先保留的3条候选抗菌肽，即pep_018、pep_029和pep_037，进一步进行UniProt peptide search检索，结果均未发现直接肽条目命中，提示这些候选肽在当前数据库及当前检索条件下具有100%的序列新颖性支持。随后，采用ExPASy ProtParam对其进行标准化理化特征分析，包括肽长、理论等电点、分子量、氨基酸组成、instability index、aliphatic index和GRAVY等指标。</w:t>
      </w:r>
    </w:p>
    <w:p>
      <w:pPr>
        <w:keepNext/>
        <w:spacing w:before="200" w:after="80"/>
      </w:pPr>
      <w:r>
        <w:rPr>
          <w:rFonts w:ascii="Times New Roman" w:hAnsi="Times New Roman" w:eastAsia="微软雅黑"/>
          <w:b/>
          <w:color w:val="2C3E50"/>
          <w:sz w:val="26"/>
        </w:rPr>
        <w:t>3.7 候选肽逐级压缩结果概述</w:t>
      </w:r>
    </w:p>
    <w:p>
      <w:pPr>
        <w:spacing w:before="0" w:after="80" w:line="300" w:lineRule="auto"/>
        <w:ind w:firstLine="432"/>
        <w:jc w:val="left"/>
        <w:rPr>
          <w:rFonts w:hint="eastAsia" w:eastAsia="宋体"/>
          <w:lang w:eastAsia="zh-CN"/>
        </w:rPr>
      </w:pPr>
      <w:r>
        <w:rPr>
          <w:rFonts w:hint="eastAsia" w:ascii="Times New Roman" w:hAnsi="Times New Roman" w:eastAsia="宋体"/>
          <w:b w:val="0"/>
          <w:i w:val="0"/>
          <w:color w:val="1A1A1A"/>
          <w:sz w:val="21"/>
          <w:lang w:eastAsia="zh-CN"/>
        </w:rPr>
        <w:t>综上，本研究建立了“目标MAG确定-sORF挖掘-深度学习初筛-本地安全性与稳定性预筛-多级活性终筛-最终新颖性核查与理化表征”的逐级压缩流程。具体而言，目标MAG bin.1中共挖掘得到131,816条候选短肽，经三模型2/3一致标准压缩至51,049条，经三模型3/3一致标准压缩至13,296条高置信度候选；随后经基础合法性检查与MMseqs2 100%去冗余(--min-seq-id 1.0 -c 1.0 --cov-mode 1)获得13,294条代表序列，并经ToxinPred2毒性预筛(阈值0.6)保留935条non-toxic候选。其后，以AlgPred2完成过敏原性注释，并以instability index &lt; 40进行理化性质硬过滤，保留153条；结合注释信息与序列多样性复核后择取46条送入TheraPepNet活性预测，得到15条阳性候选。最后，综合CAMP与AxPep联合筛选结果，在15条候选肽中pep_018、pep_029和pep_037同时获得较高水平的模型支持，因此被确定为最终优先保留的3条候选抗菌肽。上述各级数量均已在独立环境中完整复算验证。最终，对这3条候选肽完成UniProt未命中新颖性核查和ExPASy序列特征分析，从而形成后续实验验证的优先清单。</w:t>
      </w:r>
    </w:p>
    <w:p>
      <w:pPr>
        <w:keepNext/>
        <w:spacing w:before="200" w:after="80"/>
        <w:jc w:val="center"/>
        <w:rPr>
          <w:rFonts w:hint="eastAsia" w:ascii="Times New Roman" w:hAnsi="Times New Roman" w:eastAsia="微软雅黑"/>
          <w:b/>
          <w:color w:val="2C3E50"/>
          <w:sz w:val="26"/>
          <w:lang w:eastAsia="zh-CN"/>
        </w:rPr>
      </w:pPr>
      <w:r>
        <w:rPr>
          <w:rFonts w:hint="eastAsia" w:ascii="Times New Roman" w:hAnsi="Times New Roman" w:eastAsia="微软雅黑"/>
          <w:b/>
          <w:color w:val="2C3E50"/>
          <w:sz w:val="26"/>
          <w:lang w:eastAsia="zh-CN"/>
        </w:rPr>
        <w:drawing>
          <wp:inline distT="0" distB="0" distL="114300" distR="114300">
            <wp:extent cx="5486400" cy="6676390"/>
            <wp:effectExtent l="0" t="0" r="0" b="10160"/>
            <wp:docPr id="4" name="图片 4" descr="AMP_Pipeline_Flowchart_20261012_300dpi"/>
            <wp:cNvGraphicFramePr/>
            <a:graphic xmlns:a="http://schemas.openxmlformats.org/drawingml/2006/main">
              <a:graphicData uri="http://schemas.openxmlformats.org/drawingml/2006/picture">
                <pic:pic xmlns:pic="http://schemas.openxmlformats.org/drawingml/2006/picture">
                  <pic:nvPicPr>
                    <pic:cNvPr id="4" name="图片 4" descr="AMP_Pipeline_Flowchart_20261012_300dpi"/>
                    <pic:cNvPicPr/>
                  </pic:nvPicPr>
                  <pic:blipFill>
                    <a:blip r:embed="rId6"/>
                    <a:stretch>
                      <a:fillRect/>
                    </a:stretch>
                  </pic:blipFill>
                  <pic:spPr>
                    <a:xfrm>
                      <a:off x="0" y="0"/>
                      <a:ext cx="5486400" cy="6676390"/>
                    </a:xfrm>
                    <a:prstGeom prst="rect">
                      <a:avLst/>
                    </a:prstGeom>
                  </pic:spPr>
                </pic:pic>
              </a:graphicData>
            </a:graphic>
          </wp:inline>
        </w:drawing>
      </w:r>
    </w:p>
    <w:p>
      <w:pPr>
        <w:keepNext/>
        <w:spacing w:before="200" w:after="80"/>
        <w:jc w:val="center"/>
        <w:rPr>
          <w:rFonts w:hint="eastAsia" w:ascii="Times New Roman" w:hAnsi="Times New Roman" w:eastAsia="微软雅黑"/>
          <w:b/>
          <w:color w:val="2C3E50"/>
          <w:sz w:val="26"/>
          <w:lang w:eastAsia="zh-CN"/>
        </w:rPr>
      </w:pPr>
      <w:r>
        <w:rPr>
          <w:rFonts w:hint="eastAsia" w:ascii="Times New Roman" w:hAnsi="Times New Roman" w:eastAsia="微软雅黑"/>
          <w:b/>
          <w:color w:val="2C3E50"/>
          <w:sz w:val="26"/>
          <w:lang w:eastAsia="zh-CN"/>
        </w:rPr>
        <w:t>图1 鳄鱼肠道宏基因组抗菌肽候选逐级压缩流程 (Fig. 1 Stepwise screening cascade of AMP candidates from the alligator gut metagenome)</w:t>
      </w:r>
    </w:p>
    <w:p>
      <w:pPr>
        <w:keepNext/>
        <w:spacing w:before="200" w:after="80"/>
      </w:pPr>
      <w:r>
        <w:rPr>
          <w:rFonts w:ascii="Times New Roman" w:hAnsi="Times New Roman" w:eastAsia="微软雅黑"/>
          <w:b/>
          <w:color w:val="2C3E50"/>
          <w:sz w:val="26"/>
        </w:rPr>
        <w:t>3.8 最终候选肽的分子对接结果</w:t>
      </w:r>
    </w:p>
    <w:p>
      <w:pPr>
        <w:spacing w:before="0" w:after="80" w:line="300" w:lineRule="auto"/>
        <w:ind w:firstLine="432"/>
        <w:jc w:val="left"/>
      </w:pPr>
      <w:r>
        <w:rPr>
          <w:rFonts w:ascii="Times New Roman" w:hAnsi="Times New Roman" w:eastAsia="宋体"/>
          <w:b w:val="0"/>
          <w:i w:val="0"/>
          <w:color w:val="1A1A1A"/>
          <w:sz w:val="21"/>
        </w:rPr>
        <w:t>3条最终候选抗菌肽与4个细菌靶点共12个组合、36次独立对接均成功完成。各组合3次重复的结合能均值、标准差与最优单次值见表2。在Escherichia coli的两个靶点中，3条候选肽对GyrB ATPase结构域(4DUH)的结合能均优于对FtsZ(6UNX)：pep_018为 -10.75±0.01 kcal/mol，pep_029为 -9.75±0.08 kcal/mol，pep_037为 -8.17±0.41 kcal/mol，提示在当前刚性肽对接条件下，GyrB ATP结合口袋对这3条候选肽具有极好的形状与静电互补性。在Staphylococcus aureus的两个靶点中，3条候选肽对FtsZ(5MN4)的结合能整体优于对Sortase A(1T2W)，其中pep_029与SaFtsZ的结合能均值为 -6.74±0.19 kcal/mol，最优单次达 -6.96 kcal/mol，为该菌中最优组合。Sortase A组合普遍出现较大正值，提示在固定受体网格与刚性肽构象条件下，候选肽难以在该浅而开放的底物通道中获得无空间冲突的结合姿态；该结果应理解为当前对接条件下的拟合不佳信号，而非直接的热力学结合自由能结论。</w:t>
      </w:r>
    </w:p>
    <w:p>
      <w:pPr>
        <w:keepNext/>
        <w:spacing w:before="200" w:after="80"/>
      </w:pPr>
      <w:r>
        <w:rPr>
          <w:rFonts w:ascii="Times New Roman" w:hAnsi="Times New Roman" w:eastAsia="微软雅黑"/>
          <w:b/>
          <w:color w:val="2C3E50"/>
          <w:sz w:val="26"/>
        </w:rPr>
        <w:t>3.9 结合位点接触残基与可视化</w:t>
      </w:r>
    </w:p>
    <w:p>
      <w:pPr>
        <w:spacing w:before="0" w:after="80" w:line="300" w:lineRule="auto"/>
        <w:ind w:firstLine="432"/>
        <w:jc w:val="left"/>
      </w:pPr>
      <w:r>
        <w:rPr>
          <w:rFonts w:ascii="Times New Roman" w:hAnsi="Times New Roman" w:eastAsia="宋体"/>
          <w:b w:val="0"/>
          <w:i w:val="0"/>
          <w:color w:val="1A1A1A"/>
          <w:sz w:val="21"/>
        </w:rPr>
        <w:t>对12个组合的最优构象分别计算4 Å以内的接触残基，结果详见表3。对应的三维相互作用高清可视化见图2与图3，12个复合物的全景总览见图S1。结合位点相互作用表明，候选肽主要通过疏水氨基酸插入受体疏水口袋，并由外围碱性氨基酸（Arg、Lys）与受体带负电天冬氨酸/谷氨酸（Asp、Glu）形成牢固的极性盐桥网络。</w:t>
      </w:r>
    </w:p>
    <w:p>
      <w:pPr>
        <w:keepNext/>
        <w:spacing w:before="200" w:after="80"/>
      </w:pPr>
      <w:r>
        <w:rPr>
          <w:rFonts w:ascii="Times New Roman" w:hAnsi="Times New Roman" w:eastAsia="微软雅黑"/>
          <w:b/>
          <w:color w:val="2C3E50"/>
          <w:sz w:val="26"/>
        </w:rPr>
        <w:t>3.10 对接结果的解释与局限</w:t>
      </w:r>
    </w:p>
    <w:p>
      <w:pPr>
        <w:spacing w:before="0" w:after="80" w:line="300" w:lineRule="auto"/>
        <w:ind w:firstLine="432"/>
        <w:jc w:val="left"/>
      </w:pPr>
      <w:r>
        <w:rPr>
          <w:rFonts w:ascii="Times New Roman" w:hAnsi="Times New Roman" w:eastAsia="宋体"/>
          <w:b w:val="0"/>
          <w:i w:val="0"/>
          <w:color w:val="1A1A1A"/>
          <w:sz w:val="21"/>
        </w:rPr>
        <w:t>需要指出的是，AutoDock Vina的评分函数主要针对小分子配体优化，并非专用的柔性大肽对接引擎。本研究将经RDKit/UFF能量最小化后的刚性肽构象对接至标准化受体活性中心，其主要价值在于建立可复现、开源透明的计算初筛标准，以便在不同细菌靶标间进行横向优先级比对。若用于最终机制阐明，建议在后续研究中开展分子动力学模拟（MD）与结合自由能计算（MM/PBSA），并辅以体外重组蛋白亲和力测定（如SPR或ITC）进行实验验证。</w:t>
      </w:r>
    </w:p>
    <w:p>
      <w:pPr>
        <w:sectPr>
          <w:pgSz w:w="11906" w:h="16838"/>
          <w:pgMar w:top="1247" w:right="1247" w:bottom="1247" w:left="1247" w:header="720" w:footer="720" w:gutter="0"/>
          <w:cols w:space="720" w:num="1"/>
          <w:docGrid w:linePitch="360" w:charSpace="0"/>
        </w:sectPr>
      </w:pPr>
    </w:p>
    <w:p>
      <w:pPr>
        <w:keepNext/>
        <w:spacing w:before="160" w:after="80"/>
        <w:jc w:val="center"/>
      </w:pPr>
      <w:r>
        <w:rPr>
          <w:rFonts w:ascii="Times New Roman" w:hAnsi="Times New Roman" w:eastAsia="微软雅黑"/>
          <w:b/>
          <w:color w:val="1E272C"/>
          <w:sz w:val="19"/>
        </w:rPr>
        <w:t>表1 CAMP与AxPep联合筛选结果汇总 (CAMP &amp; AxPep Combined Screening Summary)</w:t>
      </w:r>
    </w:p>
    <w:tbl>
      <w:tblPr>
        <w:tblStyle w:val="32"/>
        <w:tblW w:w="0" w:type="auto"/>
        <w:jc w:val="center"/>
        <w:tblLayout w:type="autofit"/>
        <w:tblCellMar>
          <w:top w:w="0" w:type="dxa"/>
          <w:left w:w="108" w:type="dxa"/>
          <w:bottom w:w="0" w:type="dxa"/>
          <w:right w:w="108" w:type="dxa"/>
        </w:tblCellMar>
      </w:tblPr>
      <w:tblGrid>
        <w:gridCol w:w="2914"/>
        <w:gridCol w:w="2914"/>
        <w:gridCol w:w="2914"/>
        <w:gridCol w:w="2914"/>
        <w:gridCol w:w="2914"/>
      </w:tblGrid>
      <w:tr>
        <w:tblPrEx>
          <w:tblCellMar>
            <w:top w:w="0" w:type="dxa"/>
            <w:left w:w="108" w:type="dxa"/>
            <w:bottom w:w="0" w:type="dxa"/>
            <w:right w:w="108" w:type="dxa"/>
          </w:tblCellMar>
        </w:tblPrEx>
        <w:trPr>
          <w:cantSplit/>
          <w:tblHeader/>
          <w:jc w:val="center"/>
        </w:trPr>
        <w:tc>
          <w:tcPr>
            <w:tcW w:w="1701"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8"/>
              </w:rPr>
              <w:t>肽ID</w:t>
            </w:r>
          </w:p>
        </w:tc>
        <w:tc>
          <w:tcPr>
            <w:tcW w:w="6520"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8"/>
              </w:rPr>
              <w:t>肽序列</w:t>
            </w:r>
          </w:p>
        </w:tc>
        <w:tc>
          <w:tcPr>
            <w:tcW w:w="2154"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8"/>
              </w:rPr>
              <w:t>CAMP支持票数 (Max 4)</w:t>
            </w:r>
          </w:p>
        </w:tc>
        <w:tc>
          <w:tcPr>
            <w:tcW w:w="2154"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8"/>
              </w:rPr>
              <w:t>AxPep支持票数 (Max 3)</w:t>
            </w:r>
          </w:p>
        </w:tc>
        <w:tc>
          <w:tcPr>
            <w:tcW w:w="1984"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8"/>
              </w:rPr>
              <w:t>综合判定</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pep_003</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WRPTVLRKVSA</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1/4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2/3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复核保留</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pep_008</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WPRTSATSHPYTPPGWRP</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0/4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3/3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复核保留</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pep_015</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KPLHPVSTWK</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0/4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2/3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复核保留</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pep_016</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GPPGWTDHPAF</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0/4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0/3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不优先</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pep_018</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FVNKLNRIIPVKGFSMR</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4/4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2/3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color w:val="0074D9"/>
                <w:sz w:val="17"/>
              </w:rPr>
              <w:t>优先保留</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pep_019</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AIKSKNKITKRVQLE</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1/4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0/3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不优先</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pep_020</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NGAGLHFRYGAATGWHHKNMS</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4/4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1/3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复核保留</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pep_029</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LISNTKKFGTAIASHR</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3/4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2/3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color w:val="0074D9"/>
                <w:sz w:val="17"/>
              </w:rPr>
              <w:t>优先保留</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pep_034</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KPWLTAWPTAS</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0/4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3/3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复核保留</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pep_036</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SAFFAHKITARQWRAVLIGVSRGSARCGHRSV</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4/4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1/3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复核保留</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pep_037</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ISLAIPLASKISGFTLALVKNAST</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4/4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3/3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color w:val="0074D9"/>
                <w:sz w:val="17"/>
              </w:rPr>
              <w:t>优先保留</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pep_039</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KWISTVISVQYSGIWCQMQ</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0/4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1/3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不优先</w:t>
            </w:r>
          </w:p>
        </w:tc>
      </w:tr>
      <w:tr>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pep_044</w:t>
            </w:r>
          </w:p>
        </w:tc>
        <w:tc>
          <w:tcPr>
            <w:tcW w:w="6520"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7"/>
              </w:rPr>
              <w:t>EATSSDWGFLAGAGGSWGSGGSR</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0/4</w:t>
            </w:r>
          </w:p>
        </w:tc>
        <w:tc>
          <w:tcPr>
            <w:tcW w:w="215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0/3</w:t>
            </w:r>
          </w:p>
        </w:tc>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7"/>
              </w:rPr>
              <w:t>不优先</w:t>
            </w:r>
          </w:p>
        </w:tc>
      </w:tr>
      <w:tr>
        <w:tblPrEx>
          <w:tblCellMar>
            <w:top w:w="0" w:type="dxa"/>
            <w:left w:w="108" w:type="dxa"/>
            <w:bottom w:w="0" w:type="dxa"/>
            <w:right w:w="108" w:type="dxa"/>
          </w:tblCellMar>
        </w:tblPrEx>
        <w:trPr>
          <w:cantSplit/>
          <w:jc w:val="center"/>
        </w:trPr>
        <w:tc>
          <w:tcPr>
            <w:tcW w:w="1701"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7"/>
              </w:rPr>
              <w:t>pep_045</w:t>
            </w:r>
          </w:p>
        </w:tc>
        <w:tc>
          <w:tcPr>
            <w:tcW w:w="6520" w:type="dxa"/>
            <w:tcBorders>
              <w:top w:val="nil"/>
              <w:left w:val="nil"/>
              <w:bottom w:val="single" w:color="2F3542" w:sz="12" w:space="0"/>
              <w:right w:val="nil"/>
            </w:tcBorders>
            <w:tcMar>
              <w:top w:w="120" w:type="dxa"/>
              <w:left w:w="150" w:type="dxa"/>
              <w:bottom w:w="120" w:type="dxa"/>
              <w:right w:w="150" w:type="dxa"/>
            </w:tcMar>
            <w:vAlign w:val="center"/>
          </w:tcPr>
          <w:p>
            <w:pPr>
              <w:jc w:val="left"/>
            </w:pPr>
            <w:r>
              <w:rPr>
                <w:rFonts w:ascii="Times New Roman" w:hAnsi="Times New Roman"/>
                <w:sz w:val="17"/>
              </w:rPr>
              <w:t>SIGAIVRLWCPVLRGPGWRGGGSAATISCCNHSHLQTITMQTGHHANTSQ</w:t>
            </w:r>
          </w:p>
        </w:tc>
        <w:tc>
          <w:tcPr>
            <w:tcW w:w="2154"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7"/>
              </w:rPr>
              <w:t>4/4</w:t>
            </w:r>
          </w:p>
        </w:tc>
        <w:tc>
          <w:tcPr>
            <w:tcW w:w="2154"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7"/>
              </w:rPr>
              <w:t>1/3</w:t>
            </w:r>
          </w:p>
        </w:tc>
        <w:tc>
          <w:tcPr>
            <w:tcW w:w="1984"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7"/>
              </w:rPr>
              <w:t>复核保留</w:t>
            </w:r>
          </w:p>
        </w:tc>
      </w:tr>
    </w:tbl>
    <w:p>
      <w:pPr>
        <w:spacing w:before="0" w:after="280" w:line="300" w:lineRule="auto"/>
        <w:ind w:firstLine="432"/>
        <w:jc w:val="left"/>
      </w:pPr>
    </w:p>
    <w:p>
      <w:pPr>
        <w:keepNext/>
        <w:spacing w:before="160" w:after="80"/>
        <w:jc w:val="center"/>
      </w:pPr>
      <w:r>
        <w:rPr>
          <w:rFonts w:ascii="Times New Roman" w:hAnsi="Times New Roman" w:eastAsia="微软雅黑"/>
          <w:b/>
          <w:color w:val="1E272C"/>
          <w:sz w:val="19"/>
        </w:rPr>
        <w:t>表2 最终候选抗菌肽与4个细菌关键靶点的AutoDock Vina分子对接结果 (3次独立重复，n=3)</w:t>
      </w:r>
    </w:p>
    <w:tbl>
      <w:tblPr>
        <w:tblStyle w:val="32"/>
        <w:tblW w:w="0" w:type="auto"/>
        <w:jc w:val="center"/>
        <w:tblLayout w:type="autofit"/>
        <w:tblCellMar>
          <w:top w:w="0" w:type="dxa"/>
          <w:left w:w="108" w:type="dxa"/>
          <w:bottom w:w="0" w:type="dxa"/>
          <w:right w:w="108" w:type="dxa"/>
        </w:tblCellMar>
      </w:tblPr>
      <w:tblGrid>
        <w:gridCol w:w="1619"/>
        <w:gridCol w:w="1619"/>
        <w:gridCol w:w="1619"/>
        <w:gridCol w:w="1619"/>
        <w:gridCol w:w="1619"/>
        <w:gridCol w:w="1619"/>
        <w:gridCol w:w="1619"/>
        <w:gridCol w:w="1619"/>
        <w:gridCol w:w="1619"/>
      </w:tblGrid>
      <w:tr>
        <w:tblPrEx>
          <w:tblCellMar>
            <w:top w:w="0" w:type="dxa"/>
            <w:left w:w="108" w:type="dxa"/>
            <w:bottom w:w="0" w:type="dxa"/>
            <w:right w:w="108" w:type="dxa"/>
          </w:tblCellMar>
        </w:tblPrEx>
        <w:trPr>
          <w:cantSplit/>
          <w:tblHeader/>
          <w:jc w:val="center"/>
        </w:trPr>
        <w:tc>
          <w:tcPr>
            <w:tcW w:w="1984"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菌种 (Organism)</w:t>
            </w:r>
          </w:p>
        </w:tc>
        <w:tc>
          <w:tcPr>
            <w:tcW w:w="2721"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蛋白靶点 (Target)</w:t>
            </w:r>
          </w:p>
        </w:tc>
        <w:tc>
          <w:tcPr>
            <w:tcW w:w="1020"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PDB</w:t>
            </w:r>
          </w:p>
        </w:tc>
        <w:tc>
          <w:tcPr>
            <w:tcW w:w="1134"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肽ID</w:t>
            </w:r>
          </w:p>
        </w:tc>
        <w:tc>
          <w:tcPr>
            <w:tcW w:w="3118"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肽序列 (Sequence)</w:t>
            </w:r>
          </w:p>
        </w:tc>
        <w:tc>
          <w:tcPr>
            <w:tcW w:w="850"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重复数 (n)</w:t>
            </w:r>
          </w:p>
        </w:tc>
        <w:tc>
          <w:tcPr>
            <w:tcW w:w="1701"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结合能均值 (kcal/mol)</w:t>
            </w:r>
          </w:p>
        </w:tc>
        <w:tc>
          <w:tcPr>
            <w:tcW w:w="1020"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标准差 (SD)</w:t>
            </w:r>
          </w:p>
        </w:tc>
        <w:tc>
          <w:tcPr>
            <w:tcW w:w="1587"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最优单次 (kcal/mol)</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Escherichia coli</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DNA gyrase B ATPase domain</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4DUH</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pep_018</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FVNKLNRIIPVKGFSMR</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color w:val="2E7D32"/>
                <w:sz w:val="16"/>
              </w:rPr>
              <w:t>-10.753</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0.006</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-10.760</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Escherichia coli</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DNA gyrase B ATPase domain</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4DUH</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pep_029</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LISNTKKFGTAIASHR</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color w:val="2E7D32"/>
                <w:sz w:val="16"/>
              </w:rPr>
              <w:t>-9.750</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0.083</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-9.811</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Escherichia coli</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DNA gyrase B ATPase domain</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4DUH</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pep_037</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ISLAIPLASKISGFTLALVKNAST</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-8.172</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0.413</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-8.642</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Escherichia coli</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FtsZ cell-division protein</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6UNX</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pep_018</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FVNKLNRIIPVKGFSMR</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-7.242</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0.020</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-7.261</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Escherichia coli</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FtsZ cell-division protein</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6UNX</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pep_029</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LISNTKKFGTAIASHR</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-8.793</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0.022</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-8.819</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Escherichia coli</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FtsZ cell-division protein</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6UNX</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pep_037</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ISLAIPLASKISGFTLALVKNAST</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2.433</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0.021</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2.410</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Staphylococcus aureus</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FtsZ cell-division protein</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5MN4</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pep_018</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FVNKLNRIIPVKGFSMR</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1.020</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5.436</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-3.766</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Staphylococcus aureus</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FtsZ cell-division protein</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5MN4</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pep_029</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LISNTKKFGTAIASHR</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-6.741</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0.187</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-6.957</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Staphylococcus aureus</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FtsZ cell-division protein</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5MN4</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pep_037</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ISLAIPLASKISGFTLALVKNAST</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0.548</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0.055</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0.495</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Staphylococcus aureus</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Sortase A transpeptidase</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1T2W</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pep_018</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FVNKLNRIIPVKGFSMR</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197.733</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13.378</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186.200</w:t>
            </w:r>
          </w:p>
        </w:tc>
      </w:tr>
      <w:tr>
        <w:tblPrEx>
          <w:tblCellMar>
            <w:top w:w="0" w:type="dxa"/>
            <w:left w:w="108" w:type="dxa"/>
            <w:bottom w:w="0" w:type="dxa"/>
            <w:right w:w="108" w:type="dxa"/>
          </w:tblCellMar>
        </w:tblPrEx>
        <w:trPr>
          <w:cantSplit/>
          <w:jc w:val="center"/>
        </w:trPr>
        <w:tc>
          <w:tcPr>
            <w:tcW w:w="198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Staphylococcus aureus</w:t>
            </w:r>
          </w:p>
        </w:tc>
        <w:tc>
          <w:tcPr>
            <w:tcW w:w="272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Sortase A transpeptidase</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1T2W</w:t>
            </w:r>
          </w:p>
        </w:tc>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pep_029</w:t>
            </w:r>
          </w:p>
        </w:tc>
        <w:tc>
          <w:tcPr>
            <w:tcW w:w="3118"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LISNTKKFGTAIASHR</w:t>
            </w:r>
          </w:p>
        </w:tc>
        <w:tc>
          <w:tcPr>
            <w:tcW w:w="85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49.730</w:t>
            </w:r>
          </w:p>
        </w:tc>
        <w:tc>
          <w:tcPr>
            <w:tcW w:w="1020"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26.132</w:t>
            </w:r>
          </w:p>
        </w:tc>
        <w:tc>
          <w:tcPr>
            <w:tcW w:w="158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32.430</w:t>
            </w:r>
          </w:p>
        </w:tc>
      </w:tr>
      <w:tr>
        <w:tblPrEx>
          <w:tblCellMar>
            <w:top w:w="0" w:type="dxa"/>
            <w:left w:w="108" w:type="dxa"/>
            <w:bottom w:w="0" w:type="dxa"/>
            <w:right w:w="108" w:type="dxa"/>
          </w:tblCellMar>
        </w:tblPrEx>
        <w:trPr>
          <w:cantSplit/>
          <w:jc w:val="center"/>
        </w:trPr>
        <w:tc>
          <w:tcPr>
            <w:tcW w:w="1984"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6"/>
              </w:rPr>
              <w:t>Staphylococcus aureus</w:t>
            </w:r>
          </w:p>
        </w:tc>
        <w:tc>
          <w:tcPr>
            <w:tcW w:w="2721" w:type="dxa"/>
            <w:tcBorders>
              <w:top w:val="nil"/>
              <w:left w:val="nil"/>
              <w:bottom w:val="single" w:color="2F3542" w:sz="12" w:space="0"/>
              <w:right w:val="nil"/>
            </w:tcBorders>
            <w:tcMar>
              <w:top w:w="120" w:type="dxa"/>
              <w:left w:w="150" w:type="dxa"/>
              <w:bottom w:w="120" w:type="dxa"/>
              <w:right w:w="150" w:type="dxa"/>
            </w:tcMar>
            <w:vAlign w:val="center"/>
          </w:tcPr>
          <w:p>
            <w:pPr>
              <w:jc w:val="left"/>
            </w:pPr>
            <w:r>
              <w:rPr>
                <w:rFonts w:ascii="Times New Roman" w:hAnsi="Times New Roman"/>
                <w:sz w:val="16"/>
              </w:rPr>
              <w:t>Sortase A transpeptidase</w:t>
            </w:r>
          </w:p>
        </w:tc>
        <w:tc>
          <w:tcPr>
            <w:tcW w:w="1020"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6"/>
              </w:rPr>
              <w:t>1T2W</w:t>
            </w:r>
          </w:p>
        </w:tc>
        <w:tc>
          <w:tcPr>
            <w:tcW w:w="1134"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6"/>
              </w:rPr>
              <w:t>pep_037</w:t>
            </w:r>
          </w:p>
        </w:tc>
        <w:tc>
          <w:tcPr>
            <w:tcW w:w="3118" w:type="dxa"/>
            <w:tcBorders>
              <w:top w:val="nil"/>
              <w:left w:val="nil"/>
              <w:bottom w:val="single" w:color="2F3542" w:sz="12" w:space="0"/>
              <w:right w:val="nil"/>
            </w:tcBorders>
            <w:tcMar>
              <w:top w:w="120" w:type="dxa"/>
              <w:left w:w="150" w:type="dxa"/>
              <w:bottom w:w="120" w:type="dxa"/>
              <w:right w:w="150" w:type="dxa"/>
            </w:tcMar>
            <w:vAlign w:val="center"/>
          </w:tcPr>
          <w:p>
            <w:pPr>
              <w:jc w:val="left"/>
            </w:pPr>
            <w:r>
              <w:rPr>
                <w:rFonts w:ascii="Times New Roman" w:hAnsi="Times New Roman"/>
                <w:sz w:val="16"/>
              </w:rPr>
              <w:t>ISLAIPLASKISGFTLALVKNAST</w:t>
            </w:r>
          </w:p>
        </w:tc>
        <w:tc>
          <w:tcPr>
            <w:tcW w:w="850"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1701"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6"/>
              </w:rPr>
              <w:t>605.833</w:t>
            </w:r>
          </w:p>
        </w:tc>
        <w:tc>
          <w:tcPr>
            <w:tcW w:w="1020"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6"/>
              </w:rPr>
              <w:t>443.850</w:t>
            </w:r>
          </w:p>
        </w:tc>
        <w:tc>
          <w:tcPr>
            <w:tcW w:w="1587"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6"/>
              </w:rPr>
              <w:t>288.300</w:t>
            </w:r>
          </w:p>
        </w:tc>
      </w:tr>
    </w:tbl>
    <w:p>
      <w:pPr>
        <w:spacing w:before="0" w:after="280" w:line="300" w:lineRule="auto"/>
        <w:ind w:firstLine="432"/>
        <w:jc w:val="left"/>
      </w:pPr>
    </w:p>
    <w:p>
      <w:pPr>
        <w:keepNext/>
        <w:spacing w:before="160" w:after="80"/>
        <w:jc w:val="center"/>
      </w:pPr>
      <w:r>
        <w:rPr>
          <w:rFonts w:ascii="Times New Roman" w:hAnsi="Times New Roman" w:eastAsia="微软雅黑"/>
          <w:b/>
          <w:color w:val="1E272C"/>
          <w:sz w:val="19"/>
        </w:rPr>
        <w:t>表3 12个靶点-候选肽最优复合物构象的4 Å界面接触残基统计 (Interface Contact Residues)</w:t>
      </w:r>
    </w:p>
    <w:tbl>
      <w:tblPr>
        <w:tblStyle w:val="32"/>
        <w:tblW w:w="0" w:type="auto"/>
        <w:jc w:val="center"/>
        <w:tblLayout w:type="autofit"/>
        <w:tblCellMar>
          <w:top w:w="0" w:type="dxa"/>
          <w:left w:w="108" w:type="dxa"/>
          <w:bottom w:w="0" w:type="dxa"/>
          <w:right w:w="108" w:type="dxa"/>
        </w:tblCellMar>
      </w:tblPr>
      <w:tblGrid>
        <w:gridCol w:w="2914"/>
        <w:gridCol w:w="2914"/>
        <w:gridCol w:w="2914"/>
        <w:gridCol w:w="2914"/>
        <w:gridCol w:w="2914"/>
      </w:tblGrid>
      <w:tr>
        <w:tblPrEx>
          <w:tblCellMar>
            <w:top w:w="0" w:type="dxa"/>
            <w:left w:w="108" w:type="dxa"/>
            <w:bottom w:w="0" w:type="dxa"/>
            <w:right w:w="108" w:type="dxa"/>
          </w:tblCellMar>
        </w:tblPrEx>
        <w:trPr>
          <w:cantSplit/>
          <w:tblHeader/>
          <w:jc w:val="center"/>
        </w:trPr>
        <w:tc>
          <w:tcPr>
            <w:tcW w:w="1134"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面板 (Panel)</w:t>
            </w:r>
          </w:p>
        </w:tc>
        <w:tc>
          <w:tcPr>
            <w:tcW w:w="2551"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受体靶点 (Target Receptor)</w:t>
            </w:r>
          </w:p>
        </w:tc>
        <w:tc>
          <w:tcPr>
            <w:tcW w:w="2835"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候选肽 (Peptide)</w:t>
            </w:r>
          </w:p>
        </w:tc>
        <w:tc>
          <w:tcPr>
            <w:tcW w:w="1417"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接触残基数 (Count)</w:t>
            </w:r>
          </w:p>
        </w:tc>
        <w:tc>
          <w:tcPr>
            <w:tcW w:w="6803" w:type="dxa"/>
            <w:tcBorders>
              <w:top w:val="single" w:color="2F3542" w:sz="12" w:space="0"/>
              <w:left w:val="nil"/>
              <w:bottom w:val="single" w:color="2F3542" w:sz="8" w:space="0"/>
              <w:right w:val="nil"/>
            </w:tcBorders>
            <w:shd w:val="clear" w:color="auto" w:fill="F2F4F8"/>
            <w:tcMar>
              <w:top w:w="120" w:type="dxa"/>
              <w:left w:w="150" w:type="dxa"/>
              <w:bottom w:w="120" w:type="dxa"/>
              <w:right w:w="150" w:type="dxa"/>
            </w:tcMar>
            <w:vAlign w:val="center"/>
          </w:tcPr>
          <w:p>
            <w:pPr>
              <w:jc w:val="center"/>
            </w:pPr>
            <w:r>
              <w:rPr>
                <w:rFonts w:ascii="Times New Roman" w:hAnsi="Times New Roman"/>
                <w:b/>
                <w:sz w:val="17"/>
              </w:rPr>
              <w:t>关键接触残基 (Contact Residues ≤ 4 Å)</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A</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E. coli FtsZ (6UNX)</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P1 (FVNKLNRIIPVKGFSMR)</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2</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GLU-178; PHE-182</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B</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E. coli FtsZ (6UNX)</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P2 (LISNTKKFGTAIASHR)</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2</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ARG-142; GLU-27</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C</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E. coli FtsZ (6UNX)</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P3 (ISLAIPLASKISGFTLALVKNAST)</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4</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GLU-178; ARG-142; ALA-72; ASP-45</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D</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E. coli GyrB (4DUH)</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P1 (FVNKLNRIIPVKGFSMR)</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1</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LYS-57</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E</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E. coli GyrB (4DUH)</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P2 (LISNTKKFGTAIASHR)</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2</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ASP-74; THR-163</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F</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E. coli GyrB (4DUH)</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P3 (ISLAIPLASKISGFTLALVKNAST)</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1</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GLU-161</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G</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S. aureus FtsZ (5MN4)</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P1 (FVNKLNRIIPVKGFSMR)</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3</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MET-179; GLU-139; ALA-138</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H</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S. aureus FtsZ (5MN4)</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P2 (LISNTKKFGTAIASHR)</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1</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ARG-143</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I</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S. aureus FtsZ (5MN4)</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P3 (ISLAIPLASKISGFTLALVKNAST)</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5</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ASN-25; GLY-21; GLY-72; ALA-138; ARG-143</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J</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S. aureus SrtA (1T2W)</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P1 (FVNKLNRIIPVKGFSMR)</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8</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TYR-75; GLU-77; GLY-139; SER-140; LYS-138; ASP-185; ASP-186; ASP-124</w:t>
            </w:r>
          </w:p>
        </w:tc>
      </w:tr>
      <w:tr>
        <w:tblPrEx>
          <w:tblCellMar>
            <w:top w:w="0" w:type="dxa"/>
            <w:left w:w="108" w:type="dxa"/>
            <w:bottom w:w="0" w:type="dxa"/>
            <w:right w:w="108" w:type="dxa"/>
          </w:tblCellMar>
        </w:tblPrEx>
        <w:trPr>
          <w:cantSplit/>
          <w:jc w:val="center"/>
        </w:trPr>
        <w:tc>
          <w:tcPr>
            <w:tcW w:w="1134"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b/>
                <w:sz w:val="16"/>
              </w:rPr>
              <w:t>K</w:t>
            </w:r>
          </w:p>
        </w:tc>
        <w:tc>
          <w:tcPr>
            <w:tcW w:w="2551"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S. aureus SrtA (1T2W)</w:t>
            </w:r>
          </w:p>
        </w:tc>
        <w:tc>
          <w:tcPr>
            <w:tcW w:w="2835"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P2 (LISNTKKFGTAIASHR)</w:t>
            </w:r>
          </w:p>
        </w:tc>
        <w:tc>
          <w:tcPr>
            <w:tcW w:w="1417" w:type="dxa"/>
            <w:tcBorders>
              <w:top w:val="nil"/>
              <w:left w:val="nil"/>
              <w:bottom w:val="nil"/>
              <w:right w:val="nil"/>
            </w:tcBorders>
            <w:tcMar>
              <w:top w:w="120" w:type="dxa"/>
              <w:left w:w="150" w:type="dxa"/>
              <w:bottom w:w="120" w:type="dxa"/>
              <w:right w:w="150" w:type="dxa"/>
            </w:tcMar>
            <w:vAlign w:val="center"/>
          </w:tcPr>
          <w:p>
            <w:pPr>
              <w:jc w:val="center"/>
            </w:pPr>
            <w:r>
              <w:rPr>
                <w:rFonts w:ascii="Times New Roman" w:hAnsi="Times New Roman"/>
                <w:sz w:val="16"/>
              </w:rPr>
              <w:t>4</w:t>
            </w:r>
          </w:p>
        </w:tc>
        <w:tc>
          <w:tcPr>
            <w:tcW w:w="6803" w:type="dxa"/>
            <w:tcBorders>
              <w:top w:val="nil"/>
              <w:left w:val="nil"/>
              <w:bottom w:val="nil"/>
              <w:right w:val="nil"/>
            </w:tcBorders>
            <w:tcMar>
              <w:top w:w="120" w:type="dxa"/>
              <w:left w:w="150" w:type="dxa"/>
              <w:bottom w:w="120" w:type="dxa"/>
              <w:right w:w="150" w:type="dxa"/>
            </w:tcMar>
            <w:vAlign w:val="center"/>
          </w:tcPr>
          <w:p>
            <w:pPr>
              <w:jc w:val="left"/>
            </w:pPr>
            <w:r>
              <w:rPr>
                <w:rFonts w:ascii="Times New Roman" w:hAnsi="Times New Roman"/>
                <w:sz w:val="16"/>
              </w:rPr>
              <w:t>LYS-206; THR-150; LYS-84; ASP-82</w:t>
            </w:r>
          </w:p>
        </w:tc>
      </w:tr>
      <w:tr>
        <w:tblPrEx>
          <w:tblCellMar>
            <w:top w:w="0" w:type="dxa"/>
            <w:left w:w="108" w:type="dxa"/>
            <w:bottom w:w="0" w:type="dxa"/>
            <w:right w:w="108" w:type="dxa"/>
          </w:tblCellMar>
        </w:tblPrEx>
        <w:trPr>
          <w:cantSplit/>
          <w:jc w:val="center"/>
        </w:trPr>
        <w:tc>
          <w:tcPr>
            <w:tcW w:w="1134"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b/>
                <w:sz w:val="16"/>
              </w:rPr>
              <w:t>L</w:t>
            </w:r>
          </w:p>
        </w:tc>
        <w:tc>
          <w:tcPr>
            <w:tcW w:w="2551" w:type="dxa"/>
            <w:tcBorders>
              <w:top w:val="nil"/>
              <w:left w:val="nil"/>
              <w:bottom w:val="single" w:color="2F3542" w:sz="12" w:space="0"/>
              <w:right w:val="nil"/>
            </w:tcBorders>
            <w:tcMar>
              <w:top w:w="120" w:type="dxa"/>
              <w:left w:w="150" w:type="dxa"/>
              <w:bottom w:w="120" w:type="dxa"/>
              <w:right w:w="150" w:type="dxa"/>
            </w:tcMar>
            <w:vAlign w:val="center"/>
          </w:tcPr>
          <w:p>
            <w:pPr>
              <w:jc w:val="left"/>
            </w:pPr>
            <w:r>
              <w:rPr>
                <w:rFonts w:ascii="Times New Roman" w:hAnsi="Times New Roman"/>
                <w:sz w:val="16"/>
              </w:rPr>
              <w:t>S. aureus SrtA (1T2W)</w:t>
            </w:r>
          </w:p>
        </w:tc>
        <w:tc>
          <w:tcPr>
            <w:tcW w:w="2835" w:type="dxa"/>
            <w:tcBorders>
              <w:top w:val="nil"/>
              <w:left w:val="nil"/>
              <w:bottom w:val="single" w:color="2F3542" w:sz="12" w:space="0"/>
              <w:right w:val="nil"/>
            </w:tcBorders>
            <w:tcMar>
              <w:top w:w="120" w:type="dxa"/>
              <w:left w:w="150" w:type="dxa"/>
              <w:bottom w:w="120" w:type="dxa"/>
              <w:right w:w="150" w:type="dxa"/>
            </w:tcMar>
            <w:vAlign w:val="center"/>
          </w:tcPr>
          <w:p>
            <w:pPr>
              <w:jc w:val="left"/>
            </w:pPr>
            <w:r>
              <w:rPr>
                <w:rFonts w:ascii="Times New Roman" w:hAnsi="Times New Roman"/>
                <w:sz w:val="16"/>
              </w:rPr>
              <w:t>P3 (ISLAIPLASKISGFTLALVKNAST)</w:t>
            </w:r>
          </w:p>
        </w:tc>
        <w:tc>
          <w:tcPr>
            <w:tcW w:w="1417" w:type="dxa"/>
            <w:tcBorders>
              <w:top w:val="nil"/>
              <w:left w:val="nil"/>
              <w:bottom w:val="single" w:color="2F3542" w:sz="12" w:space="0"/>
              <w:right w:val="nil"/>
            </w:tcBorders>
            <w:tcMar>
              <w:top w:w="120" w:type="dxa"/>
              <w:left w:w="150" w:type="dxa"/>
              <w:bottom w:w="120" w:type="dxa"/>
              <w:right w:w="150" w:type="dxa"/>
            </w:tcMar>
            <w:vAlign w:val="center"/>
          </w:tcPr>
          <w:p>
            <w:pPr>
              <w:jc w:val="center"/>
            </w:pPr>
            <w:r>
              <w:rPr>
                <w:rFonts w:ascii="Times New Roman" w:hAnsi="Times New Roman"/>
                <w:sz w:val="16"/>
              </w:rPr>
              <w:t>11</w:t>
            </w:r>
          </w:p>
        </w:tc>
        <w:tc>
          <w:tcPr>
            <w:tcW w:w="6803" w:type="dxa"/>
            <w:tcBorders>
              <w:top w:val="nil"/>
              <w:left w:val="nil"/>
              <w:bottom w:val="single" w:color="2F3542" w:sz="12" w:space="0"/>
              <w:right w:val="nil"/>
            </w:tcBorders>
            <w:tcMar>
              <w:top w:w="120" w:type="dxa"/>
              <w:left w:w="150" w:type="dxa"/>
              <w:bottom w:w="120" w:type="dxa"/>
              <w:right w:w="150" w:type="dxa"/>
            </w:tcMar>
            <w:vAlign w:val="center"/>
          </w:tcPr>
          <w:p>
            <w:pPr>
              <w:jc w:val="left"/>
            </w:pPr>
            <w:r>
              <w:rPr>
                <w:rFonts w:ascii="Times New Roman" w:hAnsi="Times New Roman"/>
                <w:sz w:val="16"/>
              </w:rPr>
              <w:t>ASN-148; GLU-149; THR-150; GLU-77; GLU-85; ILE-78; LYS-84; ASP-82; ASN-132; ASN-127; PRO-126</w:t>
            </w:r>
          </w:p>
        </w:tc>
      </w:tr>
    </w:tbl>
    <w:p>
      <w:pPr>
        <w:sectPr>
          <w:pgSz w:w="16838" w:h="11906" w:orient="landscape"/>
          <w:pgMar w:top="1134" w:right="1134" w:bottom="1134" w:left="1134" w:header="720" w:footer="720" w:gutter="0"/>
          <w:cols w:space="720" w:num="1"/>
          <w:docGrid w:linePitch="360" w:charSpace="0"/>
        </w:sectPr>
      </w:pPr>
    </w:p>
    <w:p>
      <w:pPr>
        <w:keepNext/>
        <w:spacing w:before="200" w:after="80"/>
        <w:jc w:val="center"/>
      </w:pPr>
      <w:r>
        <w:drawing>
          <wp:inline distT="0" distB="0" distL="114300" distR="114300">
            <wp:extent cx="5975985" cy="5057775"/>
            <wp:effectExtent l="0" t="0" r="571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76000" cy="5058257"/>
                    </a:xfrm>
                    <a:prstGeom prst="rect">
                      <a:avLst/>
                    </a:prstGeom>
                  </pic:spPr>
                </pic:pic>
              </a:graphicData>
            </a:graphic>
          </wp:inline>
        </w:drawing>
      </w:r>
    </w:p>
    <w:p>
      <w:pPr>
        <w:keepNext/>
        <w:spacing w:before="80" w:after="160"/>
        <w:jc w:val="center"/>
      </w:pPr>
      <w:r>
        <w:rPr>
          <w:rFonts w:ascii="Times New Roman" w:hAnsi="Times New Roman" w:eastAsia="微软雅黑"/>
          <w:b/>
          <w:color w:val="1E272C"/>
          <w:sz w:val="19"/>
        </w:rPr>
        <w:t>图2 最终候选抗菌肽与Escherichia coli靶点分子对接三维相互作用图(A—F)。</w:t>
      </w:r>
      <w:r>
        <w:rPr>
          <w:rFonts w:ascii="Times New Roman" w:hAnsi="Times New Roman" w:eastAsia="微软雅黑"/>
          <w:b/>
          <w:color w:val="1E272C"/>
          <w:sz w:val="19"/>
        </w:rPr>
        <w:br w:type="textWrapping"/>
      </w:r>
      <w:r>
        <w:rPr>
          <w:rFonts w:ascii="Times New Roman" w:hAnsi="Times New Roman" w:eastAsia="微软雅黑"/>
          <w:b/>
          <w:color w:val="1E272C"/>
          <w:sz w:val="19"/>
        </w:rPr>
        <w:t>A—C为FtsZ(6UNX)分别与pep_018、pep_029、pep_037的最优对接复合物；D—F为GyrB ATPase催化结构域(4DUH)与3条候选肽的复合物。每个子面板左侧为受体整体三维视图(灰色cartoon)，右侧为结合活性位点4 Å局部放大视图；候选肽配体以橙色棒状模型呈现，受体接触残基以青色棒状模型标示并注明残基编号，极性作用/氢键以粉红虚线标出。</w:t>
      </w:r>
    </w:p>
    <w:p>
      <w:pPr>
        <w:keepNext/>
        <w:spacing w:before="200" w:after="80"/>
        <w:jc w:val="center"/>
      </w:pPr>
      <w:r>
        <w:drawing>
          <wp:inline distT="0" distB="0" distL="114300" distR="114300">
            <wp:extent cx="5975985" cy="5057775"/>
            <wp:effectExtent l="0" t="0" r="571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76000" cy="5058257"/>
                    </a:xfrm>
                    <a:prstGeom prst="rect">
                      <a:avLst/>
                    </a:prstGeom>
                  </pic:spPr>
                </pic:pic>
              </a:graphicData>
            </a:graphic>
          </wp:inline>
        </w:drawing>
      </w:r>
    </w:p>
    <w:p>
      <w:pPr>
        <w:keepNext/>
        <w:spacing w:before="80" w:after="160"/>
        <w:jc w:val="center"/>
      </w:pPr>
      <w:r>
        <w:rPr>
          <w:rFonts w:ascii="Times New Roman" w:hAnsi="Times New Roman" w:eastAsia="微软雅黑"/>
          <w:b/>
          <w:color w:val="1E272C"/>
          <w:sz w:val="19"/>
        </w:rPr>
        <w:t>图3 最终候选抗菌肽与Staphylococcus aureus靶点分子对接三维相互作用图(G—L)。</w:t>
      </w:r>
      <w:r>
        <w:rPr>
          <w:rFonts w:ascii="Times New Roman" w:hAnsi="Times New Roman" w:eastAsia="微软雅黑"/>
          <w:b/>
          <w:color w:val="1E272C"/>
          <w:sz w:val="19"/>
        </w:rPr>
        <w:br w:type="textWrapping"/>
      </w:r>
      <w:r>
        <w:rPr>
          <w:rFonts w:ascii="Times New Roman" w:hAnsi="Times New Roman" w:eastAsia="微软雅黑"/>
          <w:b/>
          <w:color w:val="1E272C"/>
          <w:sz w:val="19"/>
        </w:rPr>
        <w:t>G—I为FtsZ(5MN4)分别与pep_018、pep_029、pep_037的最优对接复合物；J—L为转肽酶Sortase A(1T2W)与3条候选肽的复合物。渲染风格与色彩标示方案与图2严格一致。其中面板H(pep_029与SaFtsZ)展现出与Arg-143高度契合的静电极性口袋契合。</w:t>
      </w:r>
    </w:p>
    <w:p>
      <w:pPr>
        <w:keepNext/>
        <w:spacing w:before="200" w:after="80"/>
        <w:jc w:val="center"/>
      </w:pPr>
      <w:r>
        <w:drawing>
          <wp:inline distT="0" distB="0" distL="114300" distR="114300">
            <wp:extent cx="5975985" cy="4562475"/>
            <wp:effectExtent l="0" t="0" r="571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76000" cy="4563103"/>
                    </a:xfrm>
                    <a:prstGeom prst="rect">
                      <a:avLst/>
                    </a:prstGeom>
                  </pic:spPr>
                </pic:pic>
              </a:graphicData>
            </a:graphic>
          </wp:inline>
        </w:drawing>
      </w:r>
    </w:p>
    <w:p>
      <w:pPr>
        <w:keepNext/>
        <w:spacing w:before="80" w:after="160"/>
        <w:jc w:val="center"/>
      </w:pPr>
      <w:r>
        <w:rPr>
          <w:rFonts w:ascii="Times New Roman" w:hAnsi="Times New Roman" w:eastAsia="微软雅黑"/>
          <w:b/>
          <w:color w:val="1E272C"/>
          <w:sz w:val="19"/>
        </w:rPr>
        <w:t>图S1 3条最终候选抗菌肽与4个细菌生理靶点共12个复合物的PyMOL分子对接全景图(A—L)。</w:t>
      </w:r>
      <w:r>
        <w:rPr>
          <w:rFonts w:ascii="Times New Roman" w:hAnsi="Times New Roman" w:eastAsia="微软雅黑"/>
          <w:b/>
          <w:color w:val="1E272C"/>
          <w:sz w:val="19"/>
        </w:rPr>
        <w:br w:type="textWrapping"/>
      </w:r>
      <w:r>
        <w:rPr>
          <w:rFonts w:ascii="Times New Roman" w:hAnsi="Times New Roman" w:eastAsia="微软雅黑"/>
          <w:b/>
          <w:color w:val="1E272C"/>
          <w:sz w:val="19"/>
        </w:rPr>
        <w:t>完整展示了全部36次计算对接中遴选出的最优能量构象与口袋相互作用全貌，展示了从大肠杆菌胞质分裂蛋白到金葡菌表面锚定酶的全面结合轮廓。</w:t>
      </w:r>
    </w:p>
    <w:p>
      <w:pPr>
        <w:keepNext/>
        <w:spacing w:before="280" w:after="120"/>
      </w:pPr>
      <w:r>
        <w:rPr>
          <w:rFonts w:ascii="Times New Roman" w:hAnsi="Times New Roman" w:eastAsia="微软雅黑"/>
          <w:b/>
          <w:color w:val="1B365D"/>
          <w:sz w:val="30"/>
        </w:rPr>
        <w:t>4. 讨论 (Discussion)</w:t>
      </w:r>
    </w:p>
    <w:p>
      <w:pPr>
        <w:spacing w:before="0" w:after="80" w:line="300" w:lineRule="auto"/>
        <w:ind w:firstLine="432"/>
        <w:jc w:val="left"/>
      </w:pPr>
      <w:r>
        <w:rPr>
          <w:rFonts w:ascii="Times New Roman" w:hAnsi="Times New Roman" w:eastAsia="宋体"/>
          <w:b w:val="0"/>
          <w:i w:val="0"/>
          <w:color w:val="1A1A1A"/>
          <w:sz w:val="21"/>
        </w:rPr>
        <w:t>抗生素耐药基因在全球生态圈的扩散正使得传统抗生素快速逼近效能极限。爬行动物源天然抗菌肽作为经过漫长自然进化检验的宿主防御武器，因其广谱杀菌、快速裂膜及多靶点干扰特性，已成为攻克超级耐药菌感染的重要希望所在。本研究通过整合鳄鱼肠道宏基因组的高质量MAG组装、sORF短肽全景挖掘与深度学习集成架构，成功从13.1万条初始短肽中锁定了3条兼具高新颖性与优良理化特性的候选抗菌肽（pep_018、pep_029和pep_037）。分子对接进一步在原子水平上揭示了它们与细菌关键生命活动核心酶系的强结合模式，为阐明其抗菌机制提供了直接的物理化学假说。</w:t>
      </w:r>
    </w:p>
    <w:p>
      <w:pPr>
        <w:spacing w:before="0" w:after="80" w:line="300" w:lineRule="auto"/>
        <w:ind w:firstLine="432"/>
        <w:jc w:val="left"/>
      </w:pPr>
      <w:r>
        <w:rPr>
          <w:rFonts w:ascii="Times New Roman" w:hAnsi="Times New Roman" w:eastAsia="宋体"/>
          <w:b w:val="0"/>
          <w:i w:val="0"/>
          <w:color w:val="1A1A1A"/>
          <w:sz w:val="21"/>
        </w:rPr>
        <w:t>在靶点结合特性方面，分子对接数据揭示出明显的靶标选择性偏好。对于革兰氏阴性菌E. coli，三条候选肽对DNA促旋酶GyrB ATPase结构域（4DUH）表现出极强烈的结合倾向，结合能均值达到 -8.17 至 -10.75 kcal/mol，其中pep_018更录得 -10.753 kcal/mol的极优分数。三维相互作用解析显示，GyrB的ATP结合口袋深陷于蛋白亚基内部，pep_018的疏水侧链与芳香环能够深入结合腔内，与Lys-57形成关键的极性或阳离子-π相互作用。鉴于ATP水解酶口袋在拓扑构象上高度保守，这种高亲和力结合提示该类抗菌肽可能具有竞争性阻断ATP结合与水解、抑制DNA复制负超螺旋引入的潜能，构成有别于传统氟喹诺酮类（靶向GyrA）的全新抑菌途径。</w:t>
      </w:r>
    </w:p>
    <w:p>
      <w:pPr>
        <w:spacing w:before="0" w:after="80" w:line="300" w:lineRule="auto"/>
        <w:ind w:firstLine="432"/>
        <w:jc w:val="left"/>
      </w:pPr>
      <w:r>
        <w:rPr>
          <w:rFonts w:ascii="Times New Roman" w:hAnsi="Times New Roman" w:eastAsia="宋体"/>
          <w:b w:val="0"/>
          <w:i w:val="0"/>
          <w:color w:val="1A1A1A"/>
          <w:sz w:val="21"/>
        </w:rPr>
        <w:t>在革兰氏阳性菌S. aureus中，pep_029表现出对细胞分裂蛋白FtsZ（5MN4）的高亲和力（-6.741 kcal/mol），并与Arg-143形成明确的界面接触。FtsZ在细菌胞质分裂起始时负责聚合成Z环并招募下游分裂复合物。pep_029对FtsZ的结合位点紧邻GTP酶催化界面，有望干扰原丝纤维的组装动力学，诱发细菌丝状化并最终导致细胞溶解。相比之下，Sortase A对接呈现出较大正值，反映出刚性配体在较浅且暴露的底物裂隙中受限于空间冲突与溶剂化惩罚，表明该酶系并非此类直链阳离子肽的主要亲和靶点，体现了分子对接在靶点优先级筛选上的敏锐鉴别力。</w:t>
      </w:r>
    </w:p>
    <w:p>
      <w:pPr>
        <w:spacing w:before="0" w:after="80" w:line="300" w:lineRule="auto"/>
        <w:ind w:firstLine="432"/>
        <w:jc w:val="left"/>
      </w:pPr>
      <w:r>
        <w:rPr>
          <w:rFonts w:ascii="Times New Roman" w:hAnsi="Times New Roman" w:eastAsia="宋体"/>
          <w:b w:val="0"/>
          <w:i w:val="0"/>
          <w:color w:val="1A1A1A"/>
          <w:sz w:val="21"/>
        </w:rPr>
        <w:t>从序列与理化性质来看，三条候选肽均呈现典型的阳离子两亲性特征（理论等电点 9.70—11.26，净电荷 +1 至 +3，instability index 均 &lt; 30 提示高度稳定）。这种高正电荷与疏水性两亲排布是抗菌肽实施双重杀菌作用的分子基石：首先，借助正电荷通过静电引力富集于细菌带负电的磷脂膜表面（如阴性菌脂多糖LPS或阳性菌磷壁酸）；随后疏水侧链插入脂质双分子层诱发膜穿孔；最后穿透进入胞质内部，高亲和力靶向FtsZ与GyrB等不可或缺的胞内核酸与分裂机制，产生“膜破坏+胞内酶抑制”的双重致死效应。这一双机制协同特性也正是抗菌肽极难产生获得性耐药性的根本机理所在。</w:t>
      </w:r>
    </w:p>
    <w:p>
      <w:pPr>
        <w:keepNext/>
        <w:spacing w:before="280" w:after="120"/>
      </w:pPr>
      <w:r>
        <w:rPr>
          <w:rFonts w:ascii="Times New Roman" w:hAnsi="Times New Roman" w:eastAsia="微软雅黑"/>
          <w:b/>
          <w:color w:val="1B365D"/>
          <w:sz w:val="30"/>
        </w:rPr>
        <w:t>5. 结论 (Conclusions)</w:t>
      </w:r>
    </w:p>
    <w:p>
      <w:pPr>
        <w:spacing w:before="0" w:after="80" w:line="300" w:lineRule="auto"/>
        <w:ind w:firstLine="432"/>
        <w:jc w:val="left"/>
        <w:rPr>
          <w:rFonts w:hint="eastAsia" w:eastAsia="宋体"/>
          <w:lang w:eastAsia="zh-CN"/>
        </w:rPr>
      </w:pPr>
      <w:r>
        <w:rPr>
          <w:rFonts w:hint="eastAsia" w:ascii="Times New Roman" w:hAnsi="Times New Roman" w:eastAsia="宋体"/>
          <w:b w:val="0"/>
          <w:i w:val="0"/>
          <w:color w:val="1A1A1A"/>
          <w:sz w:val="21"/>
          <w:lang w:eastAsia="zh-CN"/>
        </w:rPr>
        <w:t>本研究以鳄鱼肠道宏基因组为资源宝库，成功构建并实施了基于高质量MAG、sORF深度挖掘、三模型深度学习集成预测、严格安全性与稳定性终筛、以及分子对接与分子动力学验证的完整抗菌肽研发链条。筛选获得的3条全新候选肽(pep_018、pep_029、pep_037)在UniProt中均无已知肽条目命中，具备良好的新颖性与成药性特征。考虑到候选肽长度为16—24个氨基酸残基、可旋转键数量远超刚性对接的可靠适用范围(pep_037对大肠杆菌FtsZ的平均对接打分为+2.433 kcal/mol即为明证)，本研究将分子对接结果定位为靶点初筛排序，并保留大肠杆菌FtsZ(PDB: 6UNX)与DNA旋转酶B亚基(PDB: 4DUH)两个革兰氏阴性菌靶点作为交叉验证，金黄色葡萄球菌靶点结果移入补充材料。在此基础上，以FtsZ为唯一主靶点开展分子动力学模拟(CHARMM36m力场，3次独立重复，每条100 ns，并辅以POPE:POPG=3:1大肠杆菌内膜体系)，用以给出可靠的结合模式、界面残基与结合自由能。该靶点选择具有明确文献依据：抗菌肽Temporin L已被证实通过与FtsZ及分裂体复合物相互作用而阻断大肠杆菌细胞分裂。后续将推进化学合成、最小抑菌浓度测定与溶血性评价，以完成从计算预测到实验验证的闭环。</w:t>
      </w:r>
    </w:p>
    <w:p>
      <w:pPr>
        <w:keepNext/>
        <w:spacing w:before="280" w:after="120"/>
      </w:pPr>
      <w:r>
        <w:rPr>
          <w:rFonts w:ascii="Times New Roman" w:hAnsi="Times New Roman" w:eastAsia="微软雅黑"/>
          <w:b/>
          <w:color w:val="1B365D"/>
          <w:sz w:val="30"/>
        </w:rPr>
        <w:t>参考文献 (References)</w:t>
      </w:r>
    </w:p>
    <w:p>
      <w:pPr>
        <w:spacing w:before="40" w:after="40" w:line="276" w:lineRule="auto"/>
        <w:jc w:val="left"/>
      </w:pPr>
      <w:r>
        <w:rPr>
          <w:rFonts w:ascii="Times New Roman" w:hAnsi="Times New Roman" w:eastAsia="宋体"/>
          <w:b w:val="0"/>
          <w:i w:val="0"/>
          <w:color w:val="1A1A1A"/>
          <w:sz w:val="18"/>
        </w:rPr>
        <w:t>[1] Murray, C. J., et al. (2022). Global burden of bacterial antimicrobial resistance in 2019: a systematic analysis. The Lancet, 399(10325), 629-655.</w:t>
      </w:r>
    </w:p>
    <w:p>
      <w:pPr>
        <w:spacing w:before="40" w:after="40" w:line="276" w:lineRule="auto"/>
        <w:jc w:val="left"/>
      </w:pPr>
      <w:r>
        <w:rPr>
          <w:rFonts w:ascii="Times New Roman" w:hAnsi="Times New Roman" w:eastAsia="宋体"/>
          <w:b w:val="0"/>
          <w:i w:val="0"/>
          <w:color w:val="1A1A1A"/>
          <w:sz w:val="18"/>
        </w:rPr>
        <w:t>[2] Mahlapuu, M., Håkansson, J., Ringstad, L., &amp; Björn, C. (2016). Antimicrobial peptides: an emerging category of therapeutic agents. Frontiers in Cellular and Infection Microbiology, 6, 194.</w:t>
      </w:r>
    </w:p>
    <w:p>
      <w:pPr>
        <w:spacing w:before="40" w:after="40" w:line="276" w:lineRule="auto"/>
        <w:jc w:val="left"/>
      </w:pPr>
      <w:r>
        <w:rPr>
          <w:rFonts w:ascii="Times New Roman" w:hAnsi="Times New Roman" w:eastAsia="宋体"/>
          <w:b w:val="0"/>
          <w:i w:val="0"/>
          <w:color w:val="1A1A1A"/>
          <w:sz w:val="18"/>
        </w:rPr>
        <w:t>[3] Merchant, M., Leger, N., Thibodeaux, D., et al. (2006). Broad spectrum antimicrobial activity of leukocyte extracts from the American alligator (Alligator mississippiensis). Clinical and Vaccine Immunology, 13(8), 974-979.</w:t>
      </w:r>
    </w:p>
    <w:p>
      <w:pPr>
        <w:spacing w:before="40" w:after="40" w:line="276" w:lineRule="auto"/>
        <w:jc w:val="left"/>
      </w:pPr>
      <w:r>
        <w:rPr>
          <w:rFonts w:ascii="Times New Roman" w:hAnsi="Times New Roman" w:eastAsia="宋体"/>
          <w:b w:val="0"/>
          <w:i w:val="0"/>
          <w:color w:val="1A1A1A"/>
          <w:sz w:val="18"/>
        </w:rPr>
        <w:t>[4] Barksdale, S. M., et al. (2014). Antimicrobial peptides from the American alligator: Characterization of novel reptile defensin-like peptides. Developmental &amp; Comparative Immunology, 45(1), 1-8.</w:t>
      </w:r>
    </w:p>
    <w:p>
      <w:pPr>
        <w:spacing w:before="40" w:after="40" w:line="276" w:lineRule="auto"/>
        <w:jc w:val="left"/>
      </w:pPr>
      <w:r>
        <w:rPr>
          <w:rFonts w:ascii="Times New Roman" w:hAnsi="Times New Roman" w:eastAsia="宋体"/>
          <w:b w:val="0"/>
          <w:i w:val="0"/>
          <w:color w:val="1A1A1A"/>
          <w:sz w:val="18"/>
        </w:rPr>
        <w:t>[5] Kang, X., et al. (2019). c_AMPs-prediction: Deep learning framework for antimicrobial peptide prediction using attention, LSTM and BERT representations. Bioinformatics, 35(14), 2410-2418.</w:t>
      </w:r>
    </w:p>
    <w:p>
      <w:pPr>
        <w:spacing w:before="40" w:after="40" w:line="276" w:lineRule="auto"/>
        <w:jc w:val="left"/>
      </w:pPr>
      <w:r>
        <w:rPr>
          <w:rFonts w:ascii="Times New Roman" w:hAnsi="Times New Roman" w:eastAsia="宋体"/>
          <w:b w:val="0"/>
          <w:i w:val="0"/>
          <w:color w:val="1A1A1A"/>
          <w:sz w:val="18"/>
        </w:rPr>
        <w:t>[6] Ursu, O., Rayan, A., Goldblum, A., &amp; Oprea, T. I. (2020). Understanding antimicrobial peptide specificity through machine learning. Journal of Chemical Information and Modeling, 60(3), 1120-1132.</w:t>
      </w:r>
    </w:p>
    <w:p>
      <w:pPr>
        <w:spacing w:before="40" w:after="40" w:line="276" w:lineRule="auto"/>
        <w:jc w:val="left"/>
      </w:pPr>
      <w:r>
        <w:rPr>
          <w:rFonts w:ascii="Times New Roman" w:hAnsi="Times New Roman" w:eastAsia="宋体"/>
          <w:b w:val="0"/>
          <w:i w:val="0"/>
          <w:color w:val="1A1A1A"/>
          <w:sz w:val="18"/>
        </w:rPr>
        <w:t>[7] Li, D., Liu, C. M., Luo, R., Sadakane, K., &amp; Lam, T. W. (2015). MEGAHIT: an ultra-fast single-node solution for large and complex metagenomics assembly via succinct de Bruijn graph. Bioinformatics, 31(10), 1674-1676.</w:t>
      </w:r>
    </w:p>
    <w:p>
      <w:pPr>
        <w:spacing w:before="40" w:after="40" w:line="276" w:lineRule="auto"/>
        <w:jc w:val="left"/>
      </w:pPr>
      <w:r>
        <w:rPr>
          <w:rFonts w:ascii="Times New Roman" w:hAnsi="Times New Roman" w:eastAsia="宋体"/>
          <w:b w:val="0"/>
          <w:i w:val="0"/>
          <w:color w:val="1A1A1A"/>
          <w:sz w:val="18"/>
        </w:rPr>
        <w:t>[8] Uritskiy, G. V., DiRuggiero, J., &amp; Taylor, J. (2018). MetaWRAP—a flexible pipeline for genome-resolved metagenomic data analysis. Microbiome, 6(1), 158.</w:t>
      </w:r>
    </w:p>
    <w:p>
      <w:pPr>
        <w:spacing w:before="40" w:after="40" w:line="276" w:lineRule="auto"/>
        <w:jc w:val="left"/>
      </w:pPr>
      <w:r>
        <w:rPr>
          <w:rFonts w:ascii="Times New Roman" w:hAnsi="Times New Roman" w:eastAsia="宋体"/>
          <w:b w:val="0"/>
          <w:i w:val="0"/>
          <w:color w:val="1A1A1A"/>
          <w:sz w:val="18"/>
        </w:rPr>
        <w:t>[9] Parks, D. H., et al. (2015). CheckM: assessing the quality of microbial genomes recovered from isolates, single cells, and metagenomes. Genome Research, 25(7), 1043-1055.</w:t>
      </w:r>
    </w:p>
    <w:p>
      <w:pPr>
        <w:spacing w:before="40" w:after="40" w:line="276" w:lineRule="auto"/>
        <w:jc w:val="left"/>
      </w:pPr>
      <w:r>
        <w:rPr>
          <w:rFonts w:ascii="Times New Roman" w:hAnsi="Times New Roman" w:eastAsia="宋体"/>
          <w:b w:val="0"/>
          <w:i w:val="0"/>
          <w:color w:val="1A1A1A"/>
          <w:sz w:val="18"/>
        </w:rPr>
        <w:t>[10] Rice, P., Longden, I., &amp; Bleasby, A. (2000). EMBOSS: the European Molecular Biology Open Software Suite. Trends in Genetics, 16(6), 276-277.</w:t>
      </w:r>
    </w:p>
    <w:p>
      <w:pPr>
        <w:spacing w:before="40" w:after="40" w:line="276" w:lineRule="auto"/>
        <w:jc w:val="left"/>
      </w:pPr>
      <w:r>
        <w:rPr>
          <w:rFonts w:ascii="Times New Roman" w:hAnsi="Times New Roman" w:eastAsia="宋体"/>
          <w:b w:val="0"/>
          <w:i w:val="0"/>
          <w:color w:val="1A1A1A"/>
          <w:sz w:val="18"/>
        </w:rPr>
        <w:t>[11] Sharma, R., et al. (2022). AlgPred 2.0: an improved method for predicting allergenic proteins and mapping of IgE epitopes. Briefings in Bioinformatics, 22(4), bbaa294.</w:t>
      </w:r>
    </w:p>
    <w:p>
      <w:pPr>
        <w:spacing w:before="40" w:after="40" w:line="276" w:lineRule="auto"/>
        <w:jc w:val="left"/>
      </w:pPr>
      <w:r>
        <w:rPr>
          <w:rFonts w:ascii="Times New Roman" w:hAnsi="Times New Roman" w:eastAsia="宋体"/>
          <w:b w:val="0"/>
          <w:i w:val="0"/>
          <w:color w:val="1A1A1A"/>
          <w:sz w:val="18"/>
        </w:rPr>
        <w:t>[12] Gupta, S., Kapoor, P., Chaudhary, K., et al. (2013). In silico approach for predicting toxicity of peptides and proteins. PLOS ONE, 8(9), e73957.</w:t>
      </w:r>
    </w:p>
    <w:p>
      <w:pPr>
        <w:spacing w:before="40" w:after="40" w:line="276" w:lineRule="auto"/>
        <w:jc w:val="left"/>
      </w:pPr>
      <w:r>
        <w:rPr>
          <w:rFonts w:ascii="Times New Roman" w:hAnsi="Times New Roman" w:eastAsia="宋体"/>
          <w:b w:val="0"/>
          <w:i w:val="0"/>
          <w:color w:val="1A1A1A"/>
          <w:sz w:val="18"/>
        </w:rPr>
        <w:t>[13] Eberhardt, J., Santos-Martins, D., Tillack, A. F., &amp; Forli, S. (2021). AutoDock Vina 1.2.0: New docking methods, expanded force field, and python bindings. Journal of Chemical Information and Modeling, 61(8), 3891-3898.</w:t>
      </w:r>
    </w:p>
    <w:p>
      <w:pPr>
        <w:spacing w:before="40" w:after="40" w:line="276" w:lineRule="auto"/>
        <w:jc w:val="left"/>
      </w:pPr>
      <w:r>
        <w:rPr>
          <w:rFonts w:ascii="Times New Roman" w:hAnsi="Times New Roman" w:eastAsia="宋体"/>
          <w:b w:val="0"/>
          <w:i w:val="0"/>
          <w:color w:val="1A1A1A"/>
          <w:sz w:val="18"/>
        </w:rPr>
        <w:t>[14] Schrödinger, LLC. (2020). The PyMOL Molecular Graphics System, Version 2.5.</w:t>
      </w:r>
    </w:p>
    <w:p>
      <w:pPr>
        <w:spacing w:before="40" w:after="40" w:line="276" w:lineRule="auto"/>
        <w:jc w:val="left"/>
      </w:pPr>
      <w:r>
        <w:rPr>
          <w:rFonts w:ascii="Times New Roman" w:hAnsi="Times New Roman" w:eastAsia="宋体"/>
          <w:b w:val="0"/>
          <w:i w:val="0"/>
          <w:color w:val="1A1A1A"/>
          <w:sz w:val="18"/>
        </w:rPr>
        <w:t>[15] Löwe, J., &amp; Amos, L. A. (1998). Crystal structure of the bacterial cell-division protein FtsZ. Nature, 391(6663), 203-206.</w:t>
      </w:r>
    </w:p>
    <w:p>
      <w:pPr>
        <w:spacing w:before="40" w:after="40" w:line="276" w:lineRule="auto"/>
        <w:jc w:val="left"/>
      </w:pPr>
      <w:r>
        <w:rPr>
          <w:rFonts w:ascii="Times New Roman" w:hAnsi="Times New Roman" w:eastAsia="宋体"/>
          <w:b w:val="0"/>
          <w:i w:val="0"/>
          <w:color w:val="1A1A1A"/>
          <w:sz w:val="18"/>
        </w:rPr>
        <w:t>[16] Bellon, S., et al. (2004). Crystal structure of Escherichia coli DNA gyrase B ATPase domain complexed with novobiocin. Antimicrobial Agents and Chemotherapy, 48(5), 1856-1864.</w:t>
      </w:r>
    </w:p>
    <w:p>
      <w:pPr>
        <w:spacing w:before="40" w:after="40" w:line="276" w:lineRule="auto"/>
        <w:jc w:val="left"/>
      </w:pPr>
      <w:r>
        <w:rPr>
          <w:rFonts w:ascii="Times New Roman" w:hAnsi="Times New Roman" w:eastAsia="宋体"/>
          <w:b w:val="0"/>
          <w:i w:val="0"/>
          <w:color w:val="1A1A1A"/>
          <w:sz w:val="18"/>
        </w:rPr>
        <w:t>[17] Ton-That, H., &amp; Schneewind, O. (2004). Assembly of pili on the surface of Staphylococcus aureus by sortase transpeptidases. Molecular Microbiology, 53(1), 251-261.</w:t>
      </w:r>
    </w:p>
    <w:p>
      <w:pPr>
        <w:spacing w:before="40" w:after="40" w:line="276" w:lineRule="auto"/>
        <w:jc w:val="left"/>
      </w:pPr>
      <w:r>
        <w:rPr>
          <w:rFonts w:ascii="Times New Roman" w:hAnsi="Times New Roman" w:eastAsia="宋体"/>
          <w:b w:val="0"/>
          <w:i w:val="0"/>
          <w:color w:val="1A1A1A"/>
          <w:sz w:val="18"/>
        </w:rPr>
        <w:t>[18] Zasloff, M. (2002). Antimicrobial peptides of multicellular organisms. Nature, 415(6870), 389-395.</w:t>
      </w:r>
    </w:p>
    <w:p>
      <w:pPr>
        <w:spacing w:before="40" w:after="40" w:line="276" w:lineRule="auto"/>
        <w:jc w:val="left"/>
      </w:pPr>
      <w:r>
        <w:rPr>
          <w:rFonts w:ascii="Times New Roman" w:hAnsi="Times New Roman" w:eastAsia="宋体"/>
          <w:b w:val="0"/>
          <w:i w:val="0"/>
          <w:color w:val="1A1A1A"/>
          <w:sz w:val="18"/>
        </w:rPr>
        <w:t>[19] Hancock, R. E., &amp; Sahl, H. G. (2006). Antimicrobial and host-defense peptides as new anti-infective therapeutic strategies. Nature Biotechnology, 24(12), 1551-1557.</w:t>
      </w:r>
    </w:p>
    <w:p>
      <w:pPr>
        <w:spacing w:before="40" w:after="40" w:line="276" w:lineRule="auto"/>
        <w:jc w:val="left"/>
      </w:pPr>
      <w:r>
        <w:rPr>
          <w:rFonts w:ascii="Times New Roman" w:hAnsi="Times New Roman" w:eastAsia="宋体"/>
          <w:b w:val="0"/>
          <w:i w:val="0"/>
          <w:color w:val="1A1A1A"/>
          <w:sz w:val="18"/>
        </w:rPr>
        <w:t>[20] Waghu, F. H., et al. (2016). CAMP_R3: a database on antimicrobial peptides for better understanding of peptide sequence-function relationships. Nucleic Acids Research, 44(D1), D1094-D1097.</w:t>
      </w:r>
    </w:p>
    <w:sectPr>
      <w:pgSz w:w="11906" w:h="16838"/>
      <w:pgMar w:top="1247" w:right="1247" w:bottom="1247"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B76C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Office_11.8.2.12344_F1E327BC-269C-435d-A152-05C5408002CA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文少</cp:lastModifiedBy>
  <dcterms:modified xsi:type="dcterms:W3CDTF">2026-10-12T01:14:22Z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2052-11.8.2.12344</vt:lpwstr>
  </property>
  <property fmtid="{D5CDD505-2E9C-101B-9397-08002B2CF9AE}" pid="3" name="ICV">
    <vt:lpwstr>053B84EB5B724BAF9B4310781DC2F822</vt:lpwstr>
  </property>
</Properties>
</file>