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分子动力学模拟方案（单一主靶点）</w:t>
      </w:r>
    </w:p>
    <w:p>
      <w:r>
        <w:rPr>
          <w:i/>
          <w:sz w:val="18"/>
        </w:rPr>
        <w:t>配套文件：`AMP_Pipeline_Reproduction_Method.md`、`AMP_Pipeline_Flowchart_20261012.svg`</w:t>
      </w:r>
    </w:p>
    <w:p>
      <w:r>
        <w:rPr>
          <w:i/>
          <w:sz w:val="18"/>
        </w:rPr>
        <w:t>适用对象：pep_018 / pep_029 / pep_037（鳄鱼肠道宏基因组来源新型抗菌肽）</w:t>
      </w:r>
    </w:p>
    <w:p>
      <w:pPr>
        <w:pStyle w:val="Heading2"/>
      </w:pPr>
      <w:r>
        <w:t>1. 为什么只保留一个靶点，并且为什么必须补做 MD</w:t>
      </w:r>
    </w:p>
    <w:p>
      <w:r>
        <w:t>前期对接覆盖了 4 个靶点（EcFtsZ 6UNX、EcGyrB 4DUH、SaFtsZ 5MN4、SaSrtA 1T2W）共 12 个复合物。存在两个方法学问题：</w:t>
      </w:r>
    </w:p>
    <w:p>
      <w:pPr>
        <w:pStyle w:val="ListNumber"/>
      </w:pPr>
      <w:r>
        <w:t>多靶点平行对接缺乏文献主线。抗菌肽的胞内蛋白靶点必须有明确的机制文献支撑，否则属于"广撒网"。</w:t>
      </w:r>
    </w:p>
    <w:p>
      <w:pPr>
        <w:pStyle w:val="ListNumber"/>
      </w:pPr>
      <w:r>
        <w:t>肽链过长，刚性对接不可靠。本研究 3 条候选肽长度为 16–24 残基，自由度远超 AutoDock Vina 的适用范围（经验上 &gt; 10 个可旋转键即显著降低打分可靠性）。对接给出的结合能只能作为初筛排序，不能作为结合模式的结论。打分数据本身也印证了这一点：pep_037 对 6UNX 的平均打分为 +2.433 kcal/mol（正值，说明刚性对接根本没能放下这条 24 肽）。</w:t>
      </w:r>
    </w:p>
    <w:p>
      <w:r>
        <w:t>结论：保留 大肠杆菌细胞分裂蛋白 FtsZ（PDB: 6UNX） 作为唯一主靶点，对接仅作初筛呈现，结合模式与稳定性结论全部由分子动力学给出。</w:t>
      </w:r>
    </w:p>
    <w:p>
      <w:pPr>
        <w:pStyle w:val="Heading3"/>
      </w:pPr>
      <w:r>
        <w:t>1.1 主靶点选择依据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必需性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FtsZ 是细菌胞质分裂环（Z-ring）的核心骨架蛋白，在大肠杆菌中为必需基因，抑制后直接导致细胞丝状化与分裂失败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抗菌肽直接文献证据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Temporin L 已被证实通过与 FtsZ 及分裂体复合物相互作用而阻断大肠杆菌细胞分裂——这是"AMP 以 FtsZ 为胞内靶点"最直接的实验先例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结构质量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6UNX 为 *E. coli* FtsZ(L178E)–GTP 复合物晶体结构（Schumacher 等, 2020, *Acta Crystallogr F* 76:94-102, doi:10.1107/S2053230X20001132），含完整 GTP 结合位点与 T7 loop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本研究对接支持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pep_018 对 6UNX 平均 −7.242 kcal/mol、pep_029 −8.793 kcal/mol，二者均落在合理区间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物种一致性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bin.1 鉴定为 *Aeromonas dhakensis*（γ-变形菌纲），与大肠杆菌同属革兰氏阴性菌，靶点同源性与生态学相关性均成立</w:t>
            </w:r>
          </w:p>
        </w:tc>
      </w:tr>
    </w:tbl>
    <w:p>
      <w:pPr>
        <w:pStyle w:val="Heading3"/>
      </w:pPr>
      <w:r>
        <w:t>1.2 靶点保留策略（对接 vs 动力学）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保留靶点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分子对接（虚拟筛选）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EcFtsZ 6UNX + EcGyrB 4DUH 两个大肠杆菌靶点均保留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作为交叉验证，说明候选肽并非只对单一口袋有打分偏好；金黄色葡萄球菌的 SaFtsZ 5MN4 与 SaSrtA 1T2W 移入补充材料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分子动力学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只做 EcFtsZ 6UNX 一个靶点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MD 成本高，结论要深不要广；FtsZ 有 Temporin L 的 AMP 直接实验先例，而 GyrB 仅有小分子抑制剂文献，缺乏"抗菌肽作用于 ATP 酶口袋"的机制支撑——pep_018 对 GyrB 的 −10.753 kcal/mol 更可能是长肽落入大口袋造成的打分虚高</w:t>
            </w:r>
          </w:p>
        </w:tc>
      </w:tr>
    </w:tbl>
    <w:p>
      <w:r>
        <w:t>因此正文主线为：对接给出两靶点初筛排序 → 动力学只对 FtsZ 给出结合模式与稳定性结论。</w:t>
      </w:r>
    </w:p>
    <w:p>
      <w:pPr>
        <w:pStyle w:val="Heading2"/>
      </w:pPr>
      <w:r>
        <w:t>2. 模拟体系设计</w:t>
      </w:r>
    </w:p>
    <w:p>
      <w:r>
        <w:t>共三类体系，每类 3 次独立重复（不同初始速度种子），合计 9 条轨迹，每条 100 ns。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体系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组成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目的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S1 肽–FtsZ 复合物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FtsZ (6UNX) + 肽，显式水 + 0.15 M NaCl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验证对接姿势能否稳定维持，给出真实结合界面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× 100 ns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S2 自由肽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单肽 + 水 + 0.15 M NaCl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二级结构倾向（螺旋度）基线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× 100 ns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S3 肽–膜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肽 + POPE:POPG = 3:1 双层膜（模拟大肠杆菌内膜）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膜作用机制（吸附 / 插入 / 变薄）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× 100 ns</w:t>
            </w:r>
          </w:p>
        </w:tc>
      </w:tr>
    </w:tbl>
    <w:p>
      <w:r>
        <w:rPr>
          <w:i/>
          <w:sz w:val="18"/>
        </w:rPr>
        <w:t>S3 是抗菌肽研究的标准配置：革兰氏阴性菌内膜以 PE/PG 为主，阴离子 PG 组分是阳离子 AMP 选择性的来源。</w:t>
      </w:r>
    </w:p>
    <w:p>
      <w:pPr>
        <w:pStyle w:val="Heading2"/>
      </w:pPr>
      <w:r>
        <w:t>3. 力场与参数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设置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软件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GROMACS 2023 及以上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力场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CHARMM36m（蛋白与肽）+ CHARMM36 脂质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水模型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TIP3P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离子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0.15 M NaCl，并中和体系净电荷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盒子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立方盒（S1/S2，边界距溶质 ≥ 1.2 nm）；膜体系用 CHARMM-GUI Membrane Builder 构建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积分步长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 fs，LINCS 约束所有含氢键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非键截断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 nm，范德华力 force-switch 自 1.0 nm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静电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PME，傅里叶间距 0.12 nm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控温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Nosé-Hoover，310 K，τ = 1.0 ps；蛋白/脂质、溶剂分别耦合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控压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Parrinello-Rahman，1 bar；S1/S2 各向同性，S3 半各向同性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周期性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三维周期性边界</w:t>
            </w:r>
          </w:p>
        </w:tc>
      </w:tr>
    </w:tbl>
    <w:p>
      <w:pPr>
        <w:pStyle w:val="Heading2"/>
      </w:pPr>
      <w:r>
        <w:t>4. 执行流程（GROMACS 命令）</w:t>
      </w:r>
    </w:p>
    <w:p>
      <w:r>
        <w:rPr>
          <w:rFonts w:ascii="Consolas" w:hAnsi="Consolas"/>
          <w:sz w:val="17"/>
        </w:rPr>
        <w:t># ---------- 0. 输入准备 ----------</w:t>
        <w:br/>
        <w:t># 受体：6UNX 去水、去配体冗余链，保留 GTP 与 Mg2+；用 pdb2gmx 加氢</w:t>
        <w:br/>
        <w:t># 配体肽：取对接最优构象（pep_018 对 6UNX）</w:t>
        <w:br/>
        <w:br/>
        <w:t>gmx pdb2gmx -f complex.pdb -o complex.gro -water tip3p -ff charmm36m -ignh</w:t>
        <w:br/>
        <w:br/>
        <w:t># ---------- 1. 盒子与溶剂 ----------</w:t>
        <w:br/>
        <w:t>gmx editconf -f complex.gro -o box.gro -c -d 1.2 -bt cubic</w:t>
        <w:br/>
        <w:t>gmx solvate  -cp box.gro -cs spc216.gro -o solv.gro -p topol.top</w:t>
        <w:br/>
        <w:t>gmx grompp   -f ions.mdp -c solv.gro -p topol.top -o ions.tpr -maxwarn 2</w:t>
        <w:br/>
        <w:t>gmx genion   -s ions.tpr -o ions.gro -p topol.top -pname NA -nname CL -neutral -conc 0.15</w:t>
        <w:br/>
        <w:br/>
        <w:t># ---------- 2. 能量最小化 ----------</w:t>
        <w:br/>
        <w:t>gmx grompp -f em.mdp -c ions.gro -p topol.top -o em.tpr</w:t>
        <w:br/>
        <w:t>gmx mdrun  -v -deffnm em           # 收敛标准：Fmax &lt; 1000 kJ/mol/nm</w:t>
        <w:br/>
        <w:br/>
        <w:t># ---------- 3. 两步平衡 ----------</w:t>
        <w:br/>
        <w:t>gmx grompp -f nvt.mdp -c em.gro  -r em.gro  -p topol.top -o nvt.tpr</w:t>
        <w:br/>
        <w:t>gmx mdrun  -deffnm nvt             # NVT 100 ps，位置限制 1000 kJ/mol/nm^2</w:t>
        <w:br/>
        <w:t>gmx grompp -f npt.mdp -c nvt.gro -r nvt.gro -t nvt.cpt -p topol.top -o npt.tpr</w:t>
        <w:br/>
        <w:t>gmx mdrun  -deffnm npt             # NPT 1 ns，逐步释放限制</w:t>
        <w:br/>
        <w:br/>
        <w:t># ---------- 4. 成产轨迹（3 次重复，改 gen_seed） ----------</w:t>
        <w:br/>
        <w:t>for r in 1 2 3 ; do</w:t>
        <w:br/>
        <w:t xml:space="preserve">  gmx grompp -f md.mdp -c npt.gro -t npt.cpt -p topol.top -o md_r${r}.tpr</w:t>
        <w:br/>
        <w:t xml:space="preserve">  gmx mdrun  -deffnm md_r${r} -nb gpu -bonded gpu -pme gpu</w:t>
        <w:br/>
        <w:t>done</w:t>
      </w:r>
    </w:p>
    <w:p>
      <w:r>
        <w:t>md.mdp 关键项：integrator = md，nsteps = 50000000（100 ns），dt = 0.002，nstxout-compressed = 5000（每 10 ps 存一帧）。</w:t>
      </w:r>
    </w:p>
    <w:p>
      <w:pPr>
        <w:pStyle w:val="Heading2"/>
      </w:pPr>
      <w:r>
        <w:t>5. 分析指标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复合物 RMSD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rms -s md.tpr -f md.xtc -n index.ndx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后 50 ns 平台且波动 &lt; 0.3 nm 视为稳定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残基 RMSF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rmsf -res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定位柔性界面残基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回转半径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gyrate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肽的紧致度变化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氢键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hbond -num -dist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统计肽–FtsZ 平均氢键数及寿命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接触面积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sasa 计算 ΔSASA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埋藏面积反映界面规模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二级结构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dssp（或 DSSP）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螺旋度随时间演化，对照 S2 自由肽基线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结合自由能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gmx_MMPBSA（MM-PBSA / MM-GBSA）取后 30 ns，每 100 ps 取一帧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给出 ΔG_bind 及按残基能量分解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主成分分析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covar + gmx anaeig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前两个主成分的自由能景观（FEL）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膜体系专用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gmx density（质量密度沿 z）、gmx order（脂质尾链序参数 S_CD）、每脂面积 APL、膜厚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判断插入深度与膜扰动程度</w:t>
            </w:r>
          </w:p>
        </w:tc>
      </w:tr>
    </w:tbl>
    <w:p>
      <w:r>
        <w:t>结果呈现：每个指标给出 3 次重复的均值 ± 标准差；关键构象用 PyMOL 出图并标注相互作用残基，风格沿用既有 SCI 组图套件。</w:t>
      </w:r>
    </w:p>
    <w:p>
      <w:pPr>
        <w:pStyle w:val="Heading2"/>
      </w:pPr>
      <w:r>
        <w:t>6. 计算量与可行性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体系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原子数（估）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单条 100 ns 用时（RTX 级单卡）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S1 肽–FtsZ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~60,000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约 1–1.5 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S2 自由肽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~15,000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约 5 小时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S3 肽–膜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~90,000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约 2–2.5 天</w:t>
            </w:r>
          </w:p>
        </w:tc>
      </w:tr>
    </w:tbl>
    <w:p>
      <w:r>
        <w:t>若算力受限，建议的最小可发表方案：只做 S1 与 S3，各 3 × 100 ns，并以 MM-PBSA 结合能 + 氢键占据率 + DSSP 螺旋度三项作为核心证据。</w:t>
      </w:r>
    </w:p>
    <w:p>
      <w:pPr>
        <w:pStyle w:val="Heading2"/>
      </w:pPr>
      <w:r>
        <w:t>7. 方法学文献支撑</w:t>
      </w:r>
    </w:p>
    <w:p>
      <w:pPr>
        <w:pStyle w:val="ListNumber"/>
      </w:pPr>
      <w:r>
        <w:t>Di Somma A, et al. The antimicrobial peptide Temporin L impairs *E. coli* cell division by interacting with FtsZ and the divisome complex. *Biochim Biophys Acta Gen Subj*. 2020;1864:129606.</w:t>
      </w:r>
    </w:p>
    <w:p>
      <w:pPr>
        <w:pStyle w:val="ListNumber"/>
      </w:pPr>
      <w:r>
        <w:t>Schumacher MA, et al. Structures of *Escherichia coli* FtsZ. *Acta Crystallogr F Struct Biol Commun*. 2020;76:94-102. doi:10.1107/S2053230X20001132</w:t>
      </w:r>
    </w:p>
    <w:p>
      <w:pPr>
        <w:pStyle w:val="ListNumber"/>
      </w:pPr>
      <w:r>
        <w:t>Huang J, et al. CHARMM36m: an improved force field for folded and intrinsically disordered proteins. *Nat Methods*. 2017;14:71-73.</w:t>
      </w:r>
    </w:p>
    <w:p>
      <w:pPr>
        <w:pStyle w:val="ListNumber"/>
      </w:pPr>
      <w:r>
        <w:t>Abraham MJ, et al. GROMACS: High performance molecular simulations through multi-level parallelism from laptops to supercomputers. *SoftwareX*. 2015;1-2:19-25.</w:t>
      </w:r>
    </w:p>
    <w:p>
      <w:pPr>
        <w:pStyle w:val="ListNumber"/>
      </w:pPr>
      <w:r>
        <w:t>Jo S, Kim T, Iyer VG, Im W. CHARMM-GUI: a web-based graphical user interface for CHARMM. *J Comput Chem*. 2008;29:1859-1865.</w:t>
      </w:r>
    </w:p>
    <w:p>
      <w:pPr>
        <w:pStyle w:val="ListNumber"/>
      </w:pPr>
      <w:r>
        <w:t>Kumari R, Kumar R, Lynn A. g_mmpbsa — A GROMACS tool for high-throughput MM-PBSA calculations. *J Chem Inf Model*. 2014;54:1951-1962.</w:t>
      </w:r>
    </w:p>
    <w:p>
      <w:pPr>
        <w:pStyle w:val="ListNumber"/>
      </w:pPr>
      <w:r>
        <w:t>Wang Y, et al. Molecular dynamics simulations of human antimicrobial peptide LL-37 in model POPC and POPG lipid bilayers. *Int J Mol Sci*. 2018;19:1186.</w:t>
      </w:r>
    </w:p>
    <w:p>
      <w:pPr>
        <w:pStyle w:val="ListNumber"/>
      </w:pPr>
      <w:r>
        <w:t>Vesicle protrusion induced by antimicrobial peptides suggests common carpet mechanism for short antimicrobial peptides. *Sci Rep*. 2024;14:9668.</w:t>
      </w:r>
    </w:p>
    <w:p>
      <w:pPr>
        <w:pStyle w:val="ListNumber"/>
      </w:pPr>
      <w:r>
        <w:t>Trott O, Olson AJ. AutoDock Vina. *J Comput Chem*. 2010;31:455-461.（对接仅用于初筛排序）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