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707"/>
        <w:gridCol w:w="2707"/>
        <w:gridCol w:w="2707"/>
        <w:gridCol w:w="2707"/>
      </w:tblGrid>
      <w:tr>
        <w:trPr>
          <w:trHeight w:hRule="exact" w:val="39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 of 32 - Cover Page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850" w:after="0"/>
        <w:ind w:left="4" w:right="0" w:firstLine="0"/>
        <w:jc w:val="left"/>
      </w:pPr>
      <w:r>
        <w:rPr>
          <w:rFonts w:ascii="Lexend Deca SemiBold" w:hAnsi="Lexend Deca SemiBold" w:eastAsia="Lexend Deca SemiBold"/>
          <w:b/>
          <w:i w:val="0"/>
          <w:color w:val="191919"/>
          <w:sz w:val="40"/>
        </w:rPr>
        <w:t>Test Author</w:t>
      </w:r>
    </w:p>
    <w:p>
      <w:pPr>
        <w:autoSpaceDN w:val="0"/>
        <w:autoSpaceDE w:val="0"/>
        <w:widowControl/>
        <w:spacing w:line="240" w:lineRule="auto" w:before="160" w:after="76"/>
        <w:ind w:left="4" w:right="0" w:firstLine="0"/>
        <w:jc w:val="left"/>
      </w:pPr>
      <w:r>
        <w:rPr>
          <w:rFonts w:ascii="Lexend Deca Medium" w:hAnsi="Lexend Deca Medium" w:eastAsia="Lexend Deca Medium"/>
          <w:b w:val="0"/>
          <w:i w:val="0"/>
          <w:color w:val="191919"/>
          <w:sz w:val="34"/>
        </w:rPr>
        <w:t>English.docx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620"/>
        </w:trPr>
        <w:tc>
          <w:tcPr>
            <w:tcW w:type="dxa" w:w="32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8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36363"/>
                <w:sz w:val="16"/>
              </w:rPr>
              <w:t>Universidad Javeriana - Académico</w:t>
            </w:r>
          </w:p>
        </w:tc>
      </w:tr>
    </w:tbl>
    <w:p>
      <w:pPr>
        <w:autoSpaceDN w:val="0"/>
        <w:autoSpaceDE w:val="0"/>
        <w:widowControl/>
        <w:spacing w:line="240" w:lineRule="auto" w:before="366" w:after="0"/>
        <w:ind w:left="4" w:right="0" w:firstLine="0"/>
        <w:jc w:val="left"/>
      </w:pPr>
      <w:r>
        <w:rPr>
          <w:rFonts w:ascii="Noto Sans SemiBold" w:hAnsi="Noto Sans SemiBold" w:eastAsia="Noto Sans SemiBold"/>
          <w:b/>
          <w:i w:val="0"/>
          <w:color w:val="191919"/>
          <w:sz w:val="20"/>
        </w:rPr>
        <w:t>Document Details</w:t>
      </w:r>
    </w:p>
    <w:p>
      <w:pPr>
        <w:autoSpaceDN w:val="0"/>
        <w:autoSpaceDE w:val="0"/>
        <w:widowControl/>
        <w:spacing w:line="242" w:lineRule="auto" w:before="312" w:after="24"/>
        <w:ind w:left="4" w:right="0" w:firstLine="0"/>
        <w:jc w:val="left"/>
      </w:pPr>
      <w:r>
        <w:rPr>
          <w:rFonts w:ascii="Noto Sans SemiBold" w:hAnsi="Noto Sans SemiBold" w:eastAsia="Noto Sans SemiBold"/>
          <w:b/>
          <w:i w:val="0"/>
          <w:color w:val="636363"/>
          <w:sz w:val="14"/>
        </w:rPr>
        <w:t>Submission 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414"/>
        <w:gridCol w:w="5414"/>
      </w:tblGrid>
      <w:tr>
        <w:trPr>
          <w:trHeight w:hRule="exact" w:val="1156"/>
        </w:trPr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64" w:after="0"/>
              <w:ind w:left="20" w:right="5472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81818"/>
                <w:sz w:val="14"/>
              </w:rPr>
              <w:t xml:space="preserve">trn:oid:::6:262983049 </w:t>
            </w:r>
            <w:r>
              <w:br/>
            </w:r>
            <w:r>
              <w:rPr>
                <w:rFonts w:ascii="Noto Sans SemiBold" w:hAnsi="Noto Sans SemiBold" w:eastAsia="Noto Sans SemiBold"/>
                <w:b/>
                <w:i w:val="0"/>
                <w:color w:val="636363"/>
                <w:sz w:val="14"/>
              </w:rPr>
              <w:t xml:space="preserve">Submission Date </w:t>
            </w:r>
            <w:r>
              <w:br/>
            </w: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Sep 28, 2026, 9:17 AM GMT</w:t>
            </w:r>
          </w:p>
        </w:tc>
        <w:tc>
          <w:tcPr>
            <w:tcW w:type="dxa" w:w="178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9" w:lineRule="auto" w:before="24" w:after="0"/>
              <w:ind w:left="240" w:right="288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 xml:space="preserve">30 Pages </w:t>
            </w:r>
            <w:r>
              <w:br/>
            </w: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 xml:space="preserve">5,791 Words </w:t>
            </w:r>
            <w:r>
              <w:br/>
            </w:r>
            <w:r>
              <w:rPr>
                <w:rFonts w:ascii="Noto Sans SemiBold" w:hAnsi="Noto Sans SemiBold" w:eastAsia="Noto Sans SemiBold"/>
                <w:b/>
                <w:i w:val="0"/>
                <w:color w:val="191919"/>
                <w:sz w:val="14"/>
              </w:rPr>
              <w:t>33,564 Characters</w:t>
            </w:r>
          </w:p>
        </w:tc>
      </w:tr>
    </w:tbl>
    <w:p>
      <w:pPr>
        <w:autoSpaceDN w:val="0"/>
        <w:autoSpaceDE w:val="0"/>
        <w:widowControl/>
        <w:spacing w:line="298" w:lineRule="auto" w:before="68" w:after="0"/>
        <w:ind w:left="4" w:right="8928" w:firstLine="0"/>
        <w:jc w:val="left"/>
      </w:pPr>
      <w:r>
        <w:rPr>
          <w:rFonts w:ascii="Noto Sans SemiBold" w:hAnsi="Noto Sans SemiBold" w:eastAsia="Noto Sans SemiBold"/>
          <w:b/>
          <w:i w:val="0"/>
          <w:color w:val="636363"/>
          <w:sz w:val="14"/>
        </w:rPr>
        <w:t xml:space="preserve">Download Date </w:t>
      </w:r>
      <w:r>
        <w:br/>
      </w:r>
      <w:r>
        <w:rPr>
          <w:rFonts w:ascii="Noto Sans SemiBold" w:hAnsi="Noto Sans SemiBold" w:eastAsia="Noto Sans SemiBold"/>
          <w:b/>
          <w:i w:val="0"/>
          <w:color w:val="191919"/>
          <w:sz w:val="14"/>
        </w:rPr>
        <w:t>Sep 28, 2026, 9:18 AM GMT</w:t>
      </w:r>
    </w:p>
    <w:p>
      <w:pPr>
        <w:autoSpaceDN w:val="0"/>
        <w:autoSpaceDE w:val="0"/>
        <w:widowControl/>
        <w:spacing w:line="298" w:lineRule="auto" w:before="248" w:after="0"/>
        <w:ind w:left="4" w:right="9936" w:firstLine="0"/>
        <w:jc w:val="left"/>
      </w:pPr>
      <w:r>
        <w:rPr>
          <w:rFonts w:ascii="Noto Sans SemiBold" w:hAnsi="Noto Sans SemiBold" w:eastAsia="Noto Sans SemiBold"/>
          <w:b/>
          <w:i w:val="0"/>
          <w:color w:val="636363"/>
          <w:sz w:val="14"/>
        </w:rPr>
        <w:t xml:space="preserve">File Name </w:t>
      </w:r>
      <w:r>
        <w:br/>
      </w:r>
      <w:r>
        <w:rPr>
          <w:rFonts w:ascii="Noto Sans SemiBold" w:hAnsi="Noto Sans SemiBold" w:eastAsia="Noto Sans SemiBold"/>
          <w:b/>
          <w:i w:val="0"/>
          <w:color w:val="191919"/>
          <w:sz w:val="14"/>
        </w:rPr>
        <w:t>English.docx</w:t>
      </w:r>
    </w:p>
    <w:p>
      <w:pPr>
        <w:autoSpaceDN w:val="0"/>
        <w:autoSpaceDE w:val="0"/>
        <w:widowControl/>
        <w:spacing w:line="298" w:lineRule="auto" w:before="248" w:after="2098"/>
        <w:ind w:left="0" w:right="10224" w:firstLine="0"/>
        <w:jc w:val="center"/>
      </w:pPr>
      <w:r>
        <w:rPr>
          <w:rFonts w:ascii="Noto Sans SemiBold" w:hAnsi="Noto Sans SemiBold" w:eastAsia="Noto Sans SemiBold"/>
          <w:b/>
          <w:i w:val="0"/>
          <w:color w:val="636363"/>
          <w:sz w:val="14"/>
        </w:rPr>
        <w:t xml:space="preserve">File Size </w:t>
      </w:r>
      <w:r>
        <w:br/>
      </w:r>
      <w:r>
        <w:rPr>
          <w:rFonts w:ascii="Noto Sans SemiBold" w:hAnsi="Noto Sans SemiBold" w:eastAsia="Noto Sans SemiBold"/>
          <w:b/>
          <w:i w:val="0"/>
          <w:color w:val="191919"/>
          <w:sz w:val="14"/>
        </w:rPr>
        <w:t>772.1 KB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707"/>
        <w:gridCol w:w="2707"/>
        <w:gridCol w:w="2707"/>
        <w:gridCol w:w="2707"/>
      </w:tblGrid>
      <w:tr>
        <w:trPr>
          <w:trHeight w:hRule="exact" w:val="37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 of 32 - Cover Page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696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1"/>
        <w:gridCol w:w="2721"/>
        <w:gridCol w:w="2721"/>
        <w:gridCol w:w="2721"/>
      </w:tblGrid>
      <w:tr>
        <w:trPr>
          <w:trHeight w:hRule="exact" w:val="700"/>
        </w:trPr>
        <w:tc>
          <w:tcPr>
            <w:tcW w:type="dxa" w:w="126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0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 of 32 - AI Writing Overview</w:t>
            </w:r>
          </w:p>
        </w:tc>
        <w:tc>
          <w:tcPr>
            <w:tcW w:type="dxa" w:w="3540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4"/>
            <w:tcBorders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416"/>
        <w:ind w:left="0" w:right="0"/>
      </w:pPr>
    </w:p>
    <w:p>
      <w:pPr>
        <w:sectPr>
          <w:pgSz w:w="12240" w:h="15840"/>
          <w:pgMar w:top="240" w:right="640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" w:right="144" w:firstLine="0"/>
        <w:jc w:val="left"/>
      </w:pPr>
      <w:r>
        <w:rPr>
          <w:rFonts w:ascii="Lexend Deca Medium" w:hAnsi="Lexend Deca Medium" w:eastAsia="Lexend Deca Medium"/>
          <w:b w:val="0"/>
          <w:i w:val="0"/>
          <w:color w:val="191919"/>
          <w:sz w:val="34"/>
        </w:rPr>
        <w:t xml:space="preserve">*% detected as AI </w:t>
      </w:r>
      <w:r>
        <w:br/>
      </w:r>
      <w:r>
        <w:rPr>
          <w:rFonts w:ascii="Noto Sans" w:hAnsi="Noto Sans" w:eastAsia="Noto Sans"/>
          <w:b w:val="0"/>
          <w:i w:val="0"/>
          <w:color w:val="191919"/>
          <w:sz w:val="14"/>
        </w:rPr>
        <w:t xml:space="preserve">AI detection includes the possibility of false positives. Although some text in </w:t>
      </w:r>
      <w:r>
        <w:rPr>
          <w:rFonts w:ascii="Noto Sans" w:hAnsi="Noto Sans" w:eastAsia="Noto Sans"/>
          <w:b w:val="0"/>
          <w:i w:val="0"/>
          <w:color w:val="191919"/>
          <w:sz w:val="14"/>
        </w:rPr>
        <w:t xml:space="preserve">this submission is likely AI generated, scores below the 20% threshold are not </w:t>
      </w:r>
      <w:r>
        <w:rPr>
          <w:rFonts w:ascii="Noto Sans" w:hAnsi="Noto Sans" w:eastAsia="Noto Sans"/>
          <w:b w:val="0"/>
          <w:i w:val="0"/>
          <w:color w:val="191919"/>
          <w:sz w:val="14"/>
        </w:rPr>
        <w:t>surfaced because they have a higher likelihood of false positives.</w:t>
      </w:r>
    </w:p>
    <w:p>
      <w:pPr>
        <w:sectPr>
          <w:type w:val="continuous"/>
          <w:pgSz w:w="12240" w:h="15840"/>
          <w:pgMar w:top="240" w:right="640" w:bottom="276" w:left="716" w:header="720" w:footer="720" w:gutter="0"/>
          <w:cols w:num="2" w:equalWidth="0">
            <w:col w:w="5256" w:space="0"/>
            <w:col w:w="5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55" w:type="dxa"/>
      </w:tblPr>
      <w:tblGrid>
        <w:gridCol w:w="10884"/>
      </w:tblGrid>
      <w:tr>
        <w:trPr>
          <w:trHeight w:hRule="exact" w:val="416"/>
        </w:trPr>
        <w:tc>
          <w:tcPr>
            <w:tcW w:type="dxa" w:w="5460"/>
            <w:tcBorders/>
            <w:shd w:fill="d0e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240" w:right="0" w:firstLine="0"/>
              <w:jc w:val="left"/>
            </w:pPr>
            <w:r>
              <w:rPr>
                <w:rFonts w:ascii="Noto Sans SemiBold" w:hAnsi="Noto Sans SemiBold" w:eastAsia="Noto Sans SemiBold"/>
                <w:b/>
                <w:i w:val="0"/>
                <w:color w:val="2D2D2D"/>
                <w:sz w:val="12"/>
              </w:rPr>
              <w:t>Caution: Review required.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55" w:type="dxa"/>
      </w:tblPr>
      <w:tblGrid>
        <w:gridCol w:w="10884"/>
      </w:tblGrid>
      <w:tr>
        <w:trPr>
          <w:trHeight w:hRule="exact" w:val="584"/>
        </w:trPr>
        <w:tc>
          <w:tcPr>
            <w:tcW w:type="dxa" w:w="5220"/>
            <w:tcBorders/>
            <w:shd w:fill="d0e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00" w:right="144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2D2D2D"/>
                <w:sz w:val="12"/>
              </w:rPr>
              <w:t xml:space="preserve">It is essential to understand the limitations of AI detection before making decisions </w:t>
            </w:r>
            <w:r>
              <w:rPr>
                <w:rFonts w:ascii="Noto Sans" w:hAnsi="Noto Sans" w:eastAsia="Noto Sans"/>
                <w:b w:val="0"/>
                <w:i w:val="0"/>
                <w:color w:val="2D2D2D"/>
                <w:sz w:val="12"/>
              </w:rPr>
              <w:t xml:space="preserve">about a student’s work. We encourage you to learn more about Turnitin’s AI detection </w:t>
            </w:r>
            <w:r>
              <w:rPr>
                <w:rFonts w:ascii="Noto Sans" w:hAnsi="Noto Sans" w:eastAsia="Noto Sans"/>
                <w:b w:val="0"/>
                <w:i w:val="0"/>
                <w:color w:val="2D2D2D"/>
                <w:sz w:val="12"/>
              </w:rPr>
              <w:t>capabilities before using the tool.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316"/>
        <w:ind w:left="0" w:right="0"/>
      </w:pPr>
    </w:p>
    <w:p>
      <w:pPr>
        <w:sectPr>
          <w:type w:val="nextColumn"/>
          <w:pgSz w:w="12240" w:h="15840"/>
          <w:pgMar w:top="240" w:right="640" w:bottom="276" w:left="716" w:header="720" w:footer="720" w:gutter="0"/>
          <w:cols w:num="2" w:equalWidth="0">
            <w:col w:w="5256" w:space="0"/>
            <w:col w:w="562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356" w:after="278"/>
        <w:ind w:left="4" w:right="0" w:firstLine="0"/>
        <w:jc w:val="left"/>
      </w:pPr>
      <w:r>
        <w:rPr>
          <w:rFonts w:ascii="Noto Sans SemiBold" w:hAnsi="Noto Sans SemiBold" w:eastAsia="Noto Sans SemiBold"/>
          <w:b/>
          <w:i w:val="0"/>
          <w:color w:val="636363"/>
          <w:sz w:val="12"/>
        </w:rPr>
        <w:t xml:space="preserve">Disclaimer </w:t>
      </w:r>
      <w:r>
        <w:br/>
      </w:r>
      <w:r>
        <w:rPr>
          <w:rFonts w:ascii="Noto Sans" w:hAnsi="Noto Sans" w:eastAsia="Noto Sans"/>
          <w:b w:val="0"/>
          <w:i w:val="0"/>
          <w:color w:val="636363"/>
          <w:sz w:val="12"/>
        </w:rPr>
        <w:t xml:space="preserve">Our AI writing assessment is designed to help educators identify text that might be prepared by a generative AI tool. Our AI writing assessment may not always be accurate (it may misidentify </w:t>
      </w:r>
      <w:r>
        <w:rPr>
          <w:rFonts w:ascii="Noto Sans" w:hAnsi="Noto Sans" w:eastAsia="Noto Sans"/>
          <w:b w:val="0"/>
          <w:i w:val="0"/>
          <w:color w:val="636363"/>
          <w:sz w:val="12"/>
        </w:rPr>
        <w:t xml:space="preserve">writing that is likely human generated as AI generated and likely AI generated as human generated) so it should not be used as the sole basis for adverse actions against a student. It takes </w:t>
      </w:r>
      <w:r>
        <w:rPr>
          <w:rFonts w:ascii="Noto Sans" w:hAnsi="Noto Sans" w:eastAsia="Noto Sans"/>
          <w:b w:val="0"/>
          <w:i w:val="0"/>
          <w:color w:val="636363"/>
          <w:sz w:val="12"/>
        </w:rPr>
        <w:t>further scrutiny and human judgment in conjunction with an organization's application of its specific academic policies to determine whether any academic misconduct has occurred.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1"/>
        <w:gridCol w:w="2721"/>
        <w:gridCol w:w="2721"/>
        <w:gridCol w:w="2721"/>
      </w:tblGrid>
      <w:tr>
        <w:trPr>
          <w:trHeight w:hRule="exact" w:val="11030"/>
        </w:trPr>
        <w:tc>
          <w:tcPr>
            <w:tcW w:type="dxa" w:w="1264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16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0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86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 of 32 - AI Writing Overview</w:t>
            </w:r>
          </w:p>
        </w:tc>
        <w:tc>
          <w:tcPr>
            <w:tcW w:type="dxa" w:w="3540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86" w:after="0"/>
              <w:ind w:left="0" w:right="32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64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86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40" w:right="640" w:bottom="2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332" w:lineRule="exact" w:before="8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Periodontitis oral smORFs yield micropeptides that occupy the AChE </w:t>
      </w:r>
    </w:p>
    <w:p>
      <w:pPr>
        <w:autoSpaceDN w:val="0"/>
        <w:autoSpaceDE w:val="0"/>
        <w:widowControl/>
        <w:spacing w:line="332" w:lineRule="exact" w:before="358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peripheral site: 22-task UniDL4BioPep scoring, docking, and 100-ns </w:t>
      </w:r>
    </w:p>
    <w:p>
      <w:pPr>
        <w:autoSpaceDN w:val="0"/>
        <w:autoSpaceDE w:val="0"/>
        <w:widowControl/>
        <w:spacing w:line="332" w:lineRule="exact" w:before="358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dynamics</w:t>
      </w:r>
    </w:p>
    <w:p>
      <w:pPr>
        <w:autoSpaceDN w:val="0"/>
        <w:autoSpaceDE w:val="0"/>
        <w:widowControl/>
        <w:spacing w:line="310" w:lineRule="exact" w:before="598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552" w:lineRule="exact" w:before="166" w:after="1484"/>
        <w:ind w:left="72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Periodontitis has been tied to Alzheimer’s disease (AD) in clinical and experimental work, yet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peptide-level ligand that could act on a synaptic enzyme is still missing. Here we scored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already-processed oral small open reading frames (smORFs) with UniDL4BioPep, docked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twelve 7–9-residue peptides into human acetylcholinesterase (AChE, PDB 4EY6), and ran 100-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ns molecular dynamics (MD) on apo AChE and three complexes. The healthy-labelled library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(11,269,961 sequences) and the periodontitis-labelled library (11,721,988 sequences)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both passed through 22 UniDL4BioPep classifiers at ≥0.80. Only the periodontitis branch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matched to oral genomic and metaproteomic catalogues. Blood–brain-barrier (BBB) hits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numbered 1,095,861 (9.72%) in the healthy library and 1,125,832 (9.60%) in the periodontitis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library. Intersection of the periodontitis BBB set with 33,786 unique, catalogue-supported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peptides left 3,518 sequences; NTxPred2, mebipred and AnOxPePred reduced that list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twelve explicit peptides. All twelve carry a net positive charge at pH 7.4. Local AutoDock Vina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(three runs) gave best poses between −8.25 and −9.60 kcal/mol. FLLHTTR, YLSLLQR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LLHPLRL contact the peripheral anionic site (PAS). Over 100 ns the FLLHTTR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complexes stay more compact than apo AChE (backbone RMSD 0.1640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0.1625 nm versus 0.1897 nm). FLLHTTR keeps a dense hydrogen-bond net (7.03 ± 1.28); only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shrinks solvent-accessible surface area. These calculations outline a possible route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which oral micropeptides sit on the same PAS that accelerates amyloid-β (Aβ) assembly.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4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67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Keywords: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Alzheimer’s disease;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Porphyromonas gingivalis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periodontitis; smORF;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micropeptide; acetylcholinesterase; peripheral anionic site; UniDL4BioPep;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docking; molecular dynamics</w:t>
      </w:r>
    </w:p>
    <w:p>
      <w:pPr>
        <w:autoSpaceDN w:val="0"/>
        <w:autoSpaceDE w:val="0"/>
        <w:widowControl/>
        <w:spacing w:line="310" w:lineRule="exact" w:before="528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552" w:lineRule="exact" w:before="166" w:after="0"/>
        <w:ind w:left="722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Alzheimer’s disease (AD) combines amyloid deposition, tau pathology, synaptic failure,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immune activation and vascular injury over a long preclinical course [1]. Sequential cleavage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APP by β- and γ-secretases releases Aβ40 and Aβ42; soluble oligomers injure synapses;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familial APP/PSEN mutations change peptide length and amount [2]. Amyloid load does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explain the spatial or clinical heterogeneity of the disease, so peripheral inflammatory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exposures have been examined as possible modifiers of vulnerability rather than as single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sufficient causes.</w:t>
      </w:r>
    </w:p>
    <w:p>
      <w:pPr>
        <w:autoSpaceDN w:val="0"/>
        <w:autoSpaceDE w:val="0"/>
        <w:widowControl/>
        <w:spacing w:line="552" w:lineRule="exact" w:before="0" w:after="0"/>
        <w:ind w:left="722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Loss of basal-forebrain acetylcholine accounts for a large fraction of the cognitive picture,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why AChE inhibitors remain in routine use [3]. Catalysis is only part of the enzyme’s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role. AChE accelerates Aβ fibril growth through the peripheral anionic site (PAS), and AChE–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Aβ particles are more toxic than free peptide [4]. A short hydrophobic PAS motif is sufficient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that chaperone effect [5]. PAS-directed small molecules can block AChE-induced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aggregation in biochemical assays [19]. The same protein surface therefore joins cholinergic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failure to amyloid deposition.</w:t>
      </w:r>
    </w:p>
    <w:p>
      <w:pPr>
        <w:autoSpaceDN w:val="0"/>
        <w:autoSpaceDE w:val="0"/>
        <w:widowControl/>
        <w:spacing w:line="552" w:lineRule="exact" w:before="0" w:after="1034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Chronic periodontitis maintains a low-grade inflammatory load at a disrupted mucosal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barrier and allows microbial products into blood [6]. Oral activity is species- and site-specific,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 16S abundance cannot stand in for a molecular ligand [7]. Meta-analyses report associations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periodontal disease and cognitive disorders, although effect sizes move with case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definitions [10]. In an AD cohort, periodontitis tracked later decline [11]. A two-sample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Mendelian randomization analysis did not support a genetic causal effect of periodontal disease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4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5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AD [14]. Epidemiology therefore motivates a molecular search; it does not identify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ligand.</w:t>
      </w:r>
    </w:p>
    <w:p>
      <w:pPr>
        <w:autoSpaceDN w:val="0"/>
        <w:autoSpaceDE w:val="0"/>
        <w:widowControl/>
        <w:spacing w:line="552" w:lineRule="exact" w:before="0" w:after="0"/>
        <w:ind w:left="722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Gingipains and outer-membrane vesicles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Porphyromonas gingivalis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supply 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mapped virulence pair [8–9]. The organism and gingipains have been reported in AD brains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[12], and repeated oral infection in mice produces neuroinflammation and Aβ-related changes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[13]. Those observations justify looking at oral products. They do not, by themselves, name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peptide that occupies AChE.</w:t>
      </w:r>
    </w:p>
    <w:p>
      <w:pPr>
        <w:autoSpaceDN w:val="0"/>
        <w:autoSpaceDE w:val="0"/>
        <w:widowControl/>
        <w:spacing w:line="552" w:lineRule="exact" w:before="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Microbiome smORFs encode a large pool of uncharted small proteins [15–16]. Mining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microbiomes for peptide antibiotics first scored millions of translated open reading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frames and then applied experimental filters [31]. UniDL4BioPep supplies more than twenty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binary bioactivity heads on ESM-2 embeddings [23]. That order—predict, then match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catalogues—is the order used here. Classifier scores do not answer the structural question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whether a 7–9-aa periodontitis peptide can occupy the Aβ-binding PAS.</w:t>
      </w:r>
    </w:p>
    <w:p>
      <w:pPr>
        <w:autoSpaceDN w:val="0"/>
        <w:autoSpaceDE w:val="0"/>
        <w:widowControl/>
        <w:spacing w:line="552" w:lineRule="exact" w:before="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Accelerated MD places Aβ on the AChE surface and treats the enzyme as a nucleation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centre [17]. A 1-μs PAS-centred AChE–Aβ trajectory remains bound, with the main residence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residues 344–361 [18]. PDB 4EY6 gives a 2.40 Å human AChE frame for docking [20].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aromatic gorge that joins the catalytic triad to the PAS was mapped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Torpedo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AChE [36].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What remains missing is a peptide-level ligand drawn from oral smORFs and tested on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 PAS.</w:t>
      </w:r>
    </w:p>
    <w:p>
      <w:pPr>
        <w:autoSpaceDN w:val="0"/>
        <w:autoSpaceDE w:val="0"/>
        <w:widowControl/>
        <w:spacing w:line="552" w:lineRule="exact" w:before="0" w:after="934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Here we scored already-processed oral smORF libraries from PRJNA678453 with 22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UniDL4BioPep heads, compared healthy and periodontitis hit rates, matched the periodontitis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branch to oral genomic and metaproteomic catalogues, and reduced the list with NTxPred2,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mebipred and AnOxPePred. Twelve 7–9-aa peptides were docked into human AChE.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complexes, together with apo enzyme, were simulated for 100 ns to test whether the peptides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remain at the PAS without unfolding the fold.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5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6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310" w:lineRule="exact" w:before="582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Materials and methods</w:t>
      </w:r>
    </w:p>
    <w:p>
      <w:pPr>
        <w:autoSpaceDN w:val="0"/>
        <w:autoSpaceDE w:val="0"/>
        <w:widowControl/>
        <w:spacing w:line="266" w:lineRule="exact" w:before="512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Study design</w:t>
      </w:r>
    </w:p>
    <w:p>
      <w:pPr>
        <w:autoSpaceDN w:val="0"/>
        <w:autoSpaceDE w:val="0"/>
        <w:widowControl/>
        <w:spacing w:line="552" w:lineRule="exact" w:before="6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 is computational. No new patients, specimens, sequencing runs or wet assays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added. Healthy and periodontitis tags are library labels; they are not peptide-level clinical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diagnoses. Docking used local three-run AutoDock Vina poses. MD used 100-ns GROMACS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trajectories of apo AChE and three peptide complexes.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Source libraries</w:t>
      </w:r>
    </w:p>
    <w:p>
      <w:pPr>
        <w:autoSpaceDN w:val="0"/>
        <w:autoSpaceDE w:val="0"/>
        <w:widowControl/>
        <w:spacing w:line="552" w:lineRule="exact" w:before="6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Translated smORFs of 4–50 aa were taken as already-processed peptide strings. We did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reassemble reads or call genes de novo. The public source of the paired oral metagenomes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metatranscriptomes is PRJNA678453 [7]. A derived MGnify third-party assembly,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PRJEB65451 (metaSPAdes v3.15.3), exists for that BioProject; it is not a second clinical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cohort. Library sizes were 11,269,961 healthy-labelled and 11,721,988 periodontitis-labelled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sequences.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UniDL4BioPep (22 tasks)</w:t>
      </w:r>
    </w:p>
    <w:p>
      <w:pPr>
        <w:autoSpaceDN w:val="0"/>
        <w:autoSpaceDE w:val="0"/>
        <w:widowControl/>
        <w:spacing w:line="552" w:lineRule="exact" w:before="60" w:after="666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UniDL4BioPep was applied first to both full libraries, following the predict-then-filter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order used when mining microbiome peptide antibiotics [23,31]. Du et al. freeze ESM-2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shd w:val="clear" w:color="auto" w:fill="f2f4f7"/>
          <w:rFonts w:ascii="DejaVu Sans Mono" w:hAnsi="DejaVu Sans Mono" w:eastAsia="DejaVu Sans Mono"/>
          <w:b w:val="0"/>
          <w:i w:val="0"/>
          <w:color w:val="000000"/>
          <w:sz w:val="24"/>
        </w:rPr>
        <w:t>esm2_t6_8M_UR50D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6 layers, 8 million parameters, 320-dimensional residue states)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average residue embeddings so that peptides of any length collapse to one fixed vector.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convolutional classifier is then trained, per bioactivity, on that vector; the same backbone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reused across datasets rather than designing a new network for each endpoint. In the original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 the architecture beat the previous state of the art on 15 of 20 binary peptide tasks. We did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retrain the networks. We scored 22 published heads: ACE inhibitory, DPP-IV inhibitory,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Bitter, Umami, Antimicrobial, Antimalarial (alternative), Antimalarial (main), Quorum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sensing, Anticancer (main), Anticancer (alternative), Anti-MRSA, TTCA, BBB (BBP), Anti-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6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7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parasitic (APP), NeuroPred, Antibacterial, Antifungal, Antiviral, Toxicity, Antioxidant FRS,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Allergenicity, and cell-penetrating peptide (CPP). Every head used a score cut of ≥0.80. “BBB-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high” is that operational cut on the BBP head, not measured transcytosis. Other BBB peptide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tools (for example Augur) are trained on different positives and encodings, so their published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AUCs do not transfer to these 4–50-aa oral strings [35].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Catalogue matching (periodontitis branch only)</w:t>
      </w:r>
    </w:p>
    <w:p>
      <w:pPr>
        <w:autoSpaceDN w:val="0"/>
        <w:autoSpaceDE w:val="0"/>
        <w:widowControl/>
        <w:spacing w:line="552" w:lineRule="exact" w:before="6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scoring, only periodontitis-labelled sequences were exact-matched to oral genomic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metaproteomic resources and collapsed to unique peptides. HOMD and eHOMD supply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curated aerodigestive genomes [21,32]. Salivary metaproteomes record peptides inside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own false-discovery framework [22]. Further oral metaproteomic sets add sequence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observations from other clinical contexts [33–34]. A match supports prior observation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string; it does not prove expression in PRJNA678453 samples. The periodontitis library yielded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33,786 unique catalogue-supported peptides. Intersection with the 1,125,832 periodontitis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BBB (BBP) hits recovered 3,518 sequences (3,446 of 5–30 aa; 72 of 31–50 aa). The healthy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library was left at the 22-task score tables and was not dereplicated.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NTxPred2</w:t>
      </w:r>
    </w:p>
    <w:p>
      <w:pPr>
        <w:autoSpaceDN w:val="0"/>
        <w:autoSpaceDE w:val="0"/>
        <w:widowControl/>
        <w:spacing w:line="552" w:lineRule="exact" w:before="60" w:after="1006"/>
        <w:ind w:left="722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NTxPred2 trains separate peptide and protein models because a single neurotoxin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classifier does not transfer between length classes [24]. The peptide set has 877 neurotoxic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877 non-toxic sequences; the protein set has 775 of each. Composition and binary-profile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machine-learning models reach AUC 0.97 (peptides) and 0.85 (proteins). Fine-tuning ESM2-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t30 on the peptide set raises independent-set AUC to 0.98 (MCC 0.90). The public server uses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ESM2-t30 for 7–50-aa inputs (default probability 0.5) and an extra-trees model for sequences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≥51 aa. We used the peptide (ESM2-t30) mode on 7–50-aa members of the 3,518-set.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positive call is a classifier label, not a neuronal assay.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7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8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66" w:lineRule="exact" w:before="580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mebipred</w:t>
      </w:r>
    </w:p>
    <w:p>
      <w:pPr>
        <w:autoSpaceDN w:val="0"/>
        <w:autoSpaceDE w:val="0"/>
        <w:widowControl/>
        <w:spacing w:line="552" w:lineRule="exact" w:before="60" w:after="0"/>
        <w:ind w:left="722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mebipred predicts metal-binding from sequence alone, without alignments, so it can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applied to short translated fragments [25]. Inputs are 219 sequence features: amino-acid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composition, physicochemical descriptors, and counts of metal-binding 5-mers. A first feed-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forward net (two hidden layers of 219 ReLU units, dropout 0.2, RMSprop) separates metal-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binding from non-binding proteins; a second tier names 11 ions. The authors report &gt;80%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accuracy for ligand presence and an area under the precision–recall curve of 0.91. Default 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probability is 0.5; raising it to 0.9 increases precision at some cost in recall. We kept Cu-, Fe-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Zn-related scores at 0.50. The output is not a measured Kd and does not assign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coordination geometry.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AnOxPePred</w:t>
      </w:r>
    </w:p>
    <w:p>
      <w:pPr>
        <w:autoSpaceDN w:val="0"/>
        <w:autoSpaceDE w:val="0"/>
        <w:widowControl/>
        <w:spacing w:line="552" w:lineRule="exact" w:before="6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AnOxPePred is a one-dimensional CNN with two heads, trained to score free-radical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scavenging (FRS) and metal chelation (CHEL) from one-hot peptide sequences [26]. Positives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taken from BIOPEP-UWM and from antioxidant-peptide papers; each sequence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labelled FRS, chelator, or both. Reported FRS performance exceeds a k-NN baseline;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chelator head is weaker because that training subset is small. Both heads emit a score in [0, 1].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Serial cuts here were CHEL≥0.25, then CHEL≥0.25 with FRS&lt;0.50, then CHEL≥0.25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FRS&lt;0.45. Concordance among UniDL4BioPep, NTxPred2, mebipred and AnOxPePred 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filter stack, not independent experimental replication.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Physicochemical descriptors</w:t>
      </w:r>
    </w:p>
    <w:p>
      <w:pPr>
        <w:autoSpaceDN w:val="0"/>
        <w:autoSpaceDE w:val="0"/>
        <w:widowControl/>
        <w:spacing w:line="552" w:lineRule="exact" w:before="60" w:after="1498"/>
        <w:ind w:left="722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twelve unique 7–9-aa strings we recalculated length, histidine, cysteine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Arg+Lys counts, average molecular weight, isoelectric point, net charge at pH 7.4, Kyte–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Doolittle GRAVY, Ikai aliphatic index, hydrophobic residue fraction (A, I, L, M, F, V, W, Y),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8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9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Boman index. Scales were applied to the amino-acid strings only; no experimental HPLC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 CD was performed.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Molecular docking</w:t>
      </w:r>
    </w:p>
    <w:p>
      <w:pPr>
        <w:autoSpaceDN w:val="0"/>
        <w:autoSpaceDE w:val="0"/>
        <w:widowControl/>
        <w:spacing w:line="552" w:lineRule="exact" w:before="60" w:after="0"/>
        <w:ind w:left="722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recombinant AChE (PDB 4EY6, 2.40 Å) was stripped of galantamine and crystal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waters, chain breaks were repaired, and protonation was set at pH 7.4 [20]. The twelve ligands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ALLLHRC, FCLHLQLR, FLLHTTR, HLLTLKKHV, HLPLLHRCC, HVLLLRQCA,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LLHLPKRTT, LLHPLRC, LLHPLRL, WLLVHLKK, YHHLLCRR and YLSLLQR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docked with AutoDock Vina, exhaustiveness 32 [27–28]. The grid was centred on the PAS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(Tyr72, Asp74, Thr75, Leu76, Trp286, His287, Tyr341) and covered the gorge neck (Phe295),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choline subsite (Trp86, Glu202, Tyr337) and the catalytic triad (Ser203, His447, Glu334).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ligand was run three times. We report best-run affinity, three-run mean ± SD, hydrogen-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bond count and PAS contact from the single best pose. Vina scores rank poses; they are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experimental free energies.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Molecular dynamics</w:t>
      </w:r>
    </w:p>
    <w:p>
      <w:pPr>
        <w:autoSpaceDN w:val="0"/>
        <w:autoSpaceDE w:val="0"/>
        <w:widowControl/>
        <w:spacing w:line="552" w:lineRule="exact" w:before="6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Four explicit-solvent systems were built in GROMACS with Amber99SB-ILDN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TIP3P water at 0.15 M NaCl [29–30]: apo AChE (chain A) and the ALLLHRC, FLLHTTR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complexes. Each box was triclinic with a 1.0 nm solute-to-wall buffer.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Equilibration was 2,000 steps of steepest descent, 1.0 ns restrained NVT to 300 K, 1.0 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restrained NPT, and 1.0 ns free NPT. Production was 100 ns (dt = 2.0 fs) at 300 K and 1.0 bar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LINCS, 1.2 nm cut-offs and particle-mesh Ewald. Frames were stored every 20 ps.</w:t>
      </w:r>
    </w:p>
    <w:p>
      <w:pPr>
        <w:autoSpaceDN w:val="0"/>
        <w:autoSpaceDE w:val="0"/>
        <w:widowControl/>
        <w:spacing w:line="554" w:lineRule="exact" w:before="0" w:after="155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Metrics matched Figures 5–7: Cα RMSD, per-residue RMSF, SASA, Rg, DSSP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occupancy, and intermolecular hydrogen bonds (</w:t>
      </w:r>
      <w:r>
        <w:rPr>
          <w:shd w:val="clear" w:color="auto" w:fill="f2f4f7"/>
          <w:rFonts w:ascii="DejaVu Sans Mono" w:hAnsi="DejaVu Sans Mono" w:eastAsia="DejaVu Sans Mono"/>
          <w:b w:val="0"/>
          <w:i w:val="0"/>
          <w:color w:val="000000"/>
          <w:sz w:val="24"/>
        </w:rPr>
        <w:t>gmx hbond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donor–acceptor ≤ 3.0 Å).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 self-fit RMSD and persistent contacts (7.0 Å) were stored as extras. Means ± SD use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9 of 32 - AI Writing Submission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10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last 20 ns (80–100 ns). The design follows the AChE–Aβ MD logic of Atanasova et al., at 100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ns rather than 1 μs [18].</w:t>
      </w:r>
    </w:p>
    <w:p>
      <w:pPr>
        <w:autoSpaceDN w:val="0"/>
        <w:autoSpaceDE w:val="0"/>
        <w:widowControl/>
        <w:spacing w:line="310" w:lineRule="exact" w:before="528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Results</w:t>
      </w:r>
    </w:p>
    <w:p>
      <w:pPr>
        <w:autoSpaceDN w:val="0"/>
        <w:autoSpaceDE w:val="0"/>
        <w:widowControl/>
        <w:spacing w:line="266" w:lineRule="exact" w:before="512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Twenty-two UniDL4BioPep tasks on both libraries</w:t>
      </w:r>
    </w:p>
    <w:p>
      <w:pPr>
        <w:autoSpaceDN w:val="0"/>
        <w:autoSpaceDE w:val="0"/>
        <w:widowControl/>
        <w:spacing w:line="552" w:lineRule="exact" w:before="6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Figure 1 summarises the cascade. Both libraries were scored at ≥0.80 on all 22 heads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(Tables 1 and 2). Hit rates sit close to each other. Antimicrobial called 10,302,093/11,721,988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periodontitis sequences (87.89%) and 9,882,657/11,269,961 healthy sequences (87.69%). BBB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(BBP) called 1,125,832 (9.60%) versus 1,095,861 (9.72%). Anti-parasitic (APP) and quorum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sensing were the next largest heads; DPP-IV inhibitory was the smallest in both libraries.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Labels overlap, so one peptide can sit in several rows. Because the two BBB rates differ by only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0.12 percentage points, BBB-high is not a periodontitis-specific stamp. The two libraries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close on most of the 22 heads (Table 3). Periodontitis exceeds healthy by ≥1 percentage point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for quorum sensing (+1.39). Healthy exceeds periodontitis by ≥1 point for antifungal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(−2.50), anti-parasitic (−2.36), antioxidant FRS (−1.95), antiviral (−1.89), antibacterial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(−1.42), CPP (−1.24), anticancer-main (−1.22) and umami (−1.00). Antimicrobial is essentially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tied (87.89% vs 87.69%). These are library-wide score rates, not sequence-level differential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peptides: we do not have a row-wise overlap map, so we cannot say that the twelve docking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sequences are absent from the healthy library. Downstream docking used the periodontitis,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catalogue-matched branch only.</w:t>
      </w:r>
    </w:p>
    <w:p>
      <w:pPr>
        <w:autoSpaceDN w:val="0"/>
        <w:autoSpaceDE w:val="0"/>
        <w:widowControl/>
        <w:spacing w:line="222" w:lineRule="exact" w:before="404" w:after="8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1. UniDL4BioPep counts for the periodontitis-labelled library (11,721,988 smORFs; ≥0.80).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8"/>
        </w:trPr>
        <w:tc>
          <w:tcPr>
            <w:tcW w:type="dxa" w:w="126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No.</w:t>
            </w:r>
          </w:p>
        </w:tc>
        <w:tc>
          <w:tcPr>
            <w:tcW w:type="dxa" w:w="3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4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1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1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ACE inhibitory</w:t>
            </w:r>
          </w:p>
        </w:tc>
        <w:tc>
          <w:tcPr>
            <w:tcW w:type="dxa" w:w="1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1,236,442</w:t>
            </w:r>
          </w:p>
        </w:tc>
        <w:tc>
          <w:tcPr>
            <w:tcW w:type="dxa" w:w="1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10.55</w:t>
            </w:r>
          </w:p>
        </w:tc>
        <w:tc>
          <w:tcPr>
            <w:tcW w:type="dxa" w:w="104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3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DPP-IV inhibitory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139,056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1.19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4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Bitter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1,831,185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15.62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Umami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3,100,811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26.45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2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6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7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Antimicrobial</w:t>
            </w:r>
          </w:p>
        </w:tc>
        <w:tc>
          <w:tcPr>
            <w:tcW w:type="dxa" w:w="19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10,302,093</w:t>
            </w:r>
          </w:p>
        </w:tc>
        <w:tc>
          <w:tcPr>
            <w:tcW w:type="dxa" w:w="130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87.89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1078"/>
        </w:trPr>
        <w:tc>
          <w:tcPr>
            <w:tcW w:type="dxa" w:w="12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5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4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10 of 32 - AI Writing Submission</w:t>
            </w:r>
          </w:p>
        </w:tc>
        <w:tc>
          <w:tcPr>
            <w:tcW w:type="dxa" w:w="19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4" w:after="0"/>
              <w:ind w:left="18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4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976"/>
        </w:trPr>
        <w:tc>
          <w:tcPr>
            <w:tcW w:type="dxa" w:w="12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11 of 32 - AI Writing Submission</w:t>
            </w:r>
          </w:p>
        </w:tc>
        <w:tc>
          <w:tcPr>
            <w:tcW w:type="dxa" w:w="16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8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96"/>
        </w:trPr>
        <w:tc>
          <w:tcPr>
            <w:tcW w:type="dxa" w:w="126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No.</w:t>
            </w:r>
          </w:p>
        </w:tc>
        <w:tc>
          <w:tcPr>
            <w:tcW w:type="dxa" w:w="39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16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13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0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Antimalarial (alternative)</w:t>
            </w:r>
          </w:p>
        </w:tc>
        <w:tc>
          <w:tcPr>
            <w:tcW w:type="dxa" w:w="1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695,608</w:t>
            </w:r>
          </w:p>
        </w:tc>
        <w:tc>
          <w:tcPr>
            <w:tcW w:type="dxa" w:w="1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5.93</w:t>
            </w:r>
          </w:p>
        </w:tc>
        <w:tc>
          <w:tcPr>
            <w:tcW w:type="dxa" w:w="10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5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Antimalarial (main)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2,010,724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17.15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8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Quorum sensing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4,491,507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38.32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6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Anticancer (main)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2,357,718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20.11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2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Anticancer (alternative)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2,015,652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17.20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11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Anti-MRSA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843,977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7.20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16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TTCA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2,666,759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22.75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1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BBB (BBP)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1,125,832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9.60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4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Anti-parasitic (APP)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5,462,493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46.60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2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NeuroPred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1,714,373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14.63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1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Antibacterial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2,597,877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22.16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12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Antifungal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2,960,118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25.25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4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Antiviral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3,275,203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27.94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4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Toxicity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1,714,299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14.62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7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Antioxidant FRS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2,521,106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21.51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0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Allergenicity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1,713,798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14.62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26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Cell-penetrating peptide 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925,627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7.90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748"/>
            <w:vMerge/>
            <w:tcBorders>
              <w:bottom w:sz="12.0" w:val="single" w:color="#000000"/>
            </w:tcBorders>
          </w:tcPr>
          <w:p/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16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(CPP)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694" w:after="76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2. UniDL4BioPep counts for the healthy-labelled library (11,269,961 smORFs; ≥0.80).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80"/>
        </w:trPr>
        <w:tc>
          <w:tcPr>
            <w:tcW w:type="dxa" w:w="126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No.</w:t>
            </w:r>
          </w:p>
        </w:tc>
        <w:tc>
          <w:tcPr>
            <w:tcW w:type="dxa" w:w="3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1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9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ACE inhibitory</w:t>
            </w:r>
          </w:p>
        </w:tc>
        <w:tc>
          <w:tcPr>
            <w:tcW w:type="dxa" w:w="1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1,237,451</w:t>
            </w:r>
          </w:p>
        </w:tc>
        <w:tc>
          <w:tcPr>
            <w:tcW w:type="dxa" w:w="1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10.98</w:t>
            </w:r>
          </w:p>
        </w:tc>
        <w:tc>
          <w:tcPr>
            <w:tcW w:type="dxa" w:w="104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6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DPP-IV inhibitory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131,426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1.17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16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Bitter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1,840,368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16.33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5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Umami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3,094,287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27.46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0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Antimicrobial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9,882,657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87.69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Antimalarial (alternative)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703,632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6.24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5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Antimalarial (main)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1,954,667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17.34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8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Quorum sensing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4,161,825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36.93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6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Anticancer (main)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2,404,084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21.33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2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Anticancer (alternative)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1,979,643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17.57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1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Anti-MRSA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769,955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6.83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6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TTCA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2,618,849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23.24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1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BBB (BBP)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1,095,861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9.72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4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Anti-parasitic (APP)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5,517,278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48.96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9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12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NeuroPred</w:t>
            </w:r>
          </w:p>
        </w:tc>
        <w:tc>
          <w:tcPr>
            <w:tcW w:type="dxa" w:w="16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1,690,436</w:t>
            </w:r>
          </w:p>
        </w:tc>
        <w:tc>
          <w:tcPr>
            <w:tcW w:type="dxa" w:w="13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15.00</w:t>
            </w:r>
          </w:p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908"/>
        </w:trPr>
        <w:tc>
          <w:tcPr>
            <w:tcW w:type="dxa" w:w="12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2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11 of 32 - AI Writing Submission</w:t>
            </w:r>
          </w:p>
        </w:tc>
        <w:tc>
          <w:tcPr>
            <w:tcW w:type="dxa" w:w="16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2" w:after="0"/>
              <w:ind w:left="18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2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976"/>
        </w:trPr>
        <w:tc>
          <w:tcPr>
            <w:tcW w:type="dxa" w:w="12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12 of 32 - AI Writing Submission</w:t>
            </w:r>
          </w:p>
        </w:tc>
        <w:tc>
          <w:tcPr>
            <w:tcW w:type="dxa" w:w="16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8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  <w:tr>
        <w:trPr>
          <w:trHeight w:hRule="exact" w:val="396"/>
        </w:trPr>
        <w:tc>
          <w:tcPr>
            <w:tcW w:type="dxa" w:w="126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No.</w:t>
            </w:r>
          </w:p>
        </w:tc>
        <w:tc>
          <w:tcPr>
            <w:tcW w:type="dxa" w:w="390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7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168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13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4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10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10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Antibacterial</w:t>
            </w:r>
          </w:p>
        </w:tc>
        <w:tc>
          <w:tcPr>
            <w:tcW w:type="dxa" w:w="1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2,658,234</w:t>
            </w:r>
          </w:p>
        </w:tc>
        <w:tc>
          <w:tcPr>
            <w:tcW w:type="dxa" w:w="1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23.59</w:t>
            </w:r>
          </w:p>
        </w:tc>
        <w:tc>
          <w:tcPr>
            <w:tcW w:type="dxa" w:w="10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12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Antifungal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3,128,057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27.76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3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Antiviral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3,362,295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29.83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4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Toxicity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1,725,268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15.31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7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Antioxidant FRS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2,643,538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23.46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10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Allergenicity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1,635,019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14.51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26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Cell-penetrating peptide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1,029,770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9.14</w:t>
            </w:r>
          </w:p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24"/>
        </w:trPr>
        <w:tc>
          <w:tcPr>
            <w:tcW w:type="dxa" w:w="1748"/>
            <w:vMerge/>
            <w:tcBorders>
              <w:bottom w:sz="12.0" w:val="single" w:color="#000000"/>
            </w:tcBorders>
          </w:tcPr>
          <w:p/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6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(CPP)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  <w:tc>
          <w:tcPr>
            <w:tcW w:type="dxa" w:w="1748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69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Table 3. Score-rate difference between libraries (periodontitis % minus healthy %). BBB is shown for </w:t>
      </w:r>
    </w:p>
    <w:p>
      <w:pPr>
        <w:autoSpaceDN w:val="0"/>
        <w:autoSpaceDE w:val="0"/>
        <w:widowControl/>
        <w:spacing w:line="222" w:lineRule="exact" w:before="8" w:after="92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reference.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rPr>
          <w:trHeight w:hRule="exact" w:val="379"/>
        </w:trPr>
        <w:tc>
          <w:tcPr>
            <w:tcW w:type="dxa" w:w="29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7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1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Healthy %</w:t>
            </w:r>
          </w:p>
        </w:tc>
        <w:tc>
          <w:tcPr>
            <w:tcW w:type="dxa" w:w="2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5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Periodontitis %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Δ pp</w:t>
            </w:r>
          </w:p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29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Quorum sensing</w:t>
            </w:r>
          </w:p>
        </w:tc>
        <w:tc>
          <w:tcPr>
            <w:tcW w:type="dxa" w:w="1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36.93</w:t>
            </w:r>
          </w:p>
        </w:tc>
        <w:tc>
          <w:tcPr>
            <w:tcW w:type="dxa" w:w="2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38.32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+1.39</w:t>
            </w:r>
          </w:p>
        </w:tc>
        <w:tc>
          <w:tcPr>
            <w:tcW w:type="dxa" w:w="102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vMerge w:val="restart"/>
            <w:tcBorders>
              <w:top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5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Umami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27.46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26.45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−1.00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6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Anticancer (main)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21.33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1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20.11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−1.22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8" w:after="0"/>
              <w:ind w:left="8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Cell-penetrating peptide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(CPP)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9.14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13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7.90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−1.24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10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Antibacterial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23.59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1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22.16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−1.42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3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Antiviral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29.83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27.94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−1.89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Antioxidant FRS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23.46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1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21.51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−1.95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4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Anti-parasitic (APP)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48.96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1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46.60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−2.36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Antifungal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27.76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25.25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−2.50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2920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1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BBB (BBP)</w:t>
            </w:r>
          </w:p>
        </w:tc>
        <w:tc>
          <w:tcPr>
            <w:tcW w:type="dxa" w:w="16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9.72</w:t>
            </w:r>
          </w:p>
        </w:tc>
        <w:tc>
          <w:tcPr>
            <w:tcW w:type="dxa" w:w="24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3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9.60</w:t>
            </w:r>
          </w:p>
        </w:tc>
        <w:tc>
          <w:tcPr>
            <w:tcW w:type="dxa" w:w="114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−0.12</w:t>
            </w:r>
          </w:p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  <w:tc>
          <w:tcPr>
            <w:tcW w:type="dxa" w:w="1498"/>
            <w:vMerge/>
            <w:tcBorders>
              <w:top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5998"/>
        </w:trPr>
        <w:tc>
          <w:tcPr>
            <w:tcW w:type="dxa" w:w="11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60"/>
            <w:gridSpan w:val="2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44" w:after="0"/>
              <w:ind w:left="28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12 of 32 - AI Writing Submission</w:t>
            </w:r>
          </w:p>
        </w:tc>
        <w:tc>
          <w:tcPr>
            <w:tcW w:type="dxa" w:w="24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44" w:after="0"/>
              <w:ind w:left="166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44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13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0700" cy="75996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59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404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1. Screening cascade.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UniDL4BioPep (22 tasks) was applied to both libraries. Catalogue matching and </w:t>
      </w:r>
    </w:p>
    <w:p>
      <w:pPr>
        <w:autoSpaceDN w:val="0"/>
        <w:autoSpaceDE w:val="0"/>
        <w:widowControl/>
        <w:spacing w:line="222" w:lineRule="exact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later filters were applied only to the periodontitis branch, ending in twelve 7–9-aa peptides for docking and three </w:t>
      </w:r>
    </w:p>
    <w:p>
      <w:pPr>
        <w:autoSpaceDN w:val="0"/>
        <w:autoSpaceDE w:val="0"/>
        <w:widowControl/>
        <w:spacing w:line="222" w:lineRule="exact" w:before="8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complexes for 100-ns MD.</w:t>
      </w:r>
    </w:p>
    <w:p>
      <w:pPr>
        <w:autoSpaceDN w:val="0"/>
        <w:autoSpaceDE w:val="0"/>
        <w:widowControl/>
        <w:spacing w:line="264" w:lineRule="exact" w:before="192" w:after="946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Periodontitis funnel to twelve sequences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13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14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Catalogue matching of the periodontitis library kept 33,786 unique peptides. Intersection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BBB-high gave 3,518 sequences. NTxPred2 scored 3,299/3,518 (93.77%) and called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923/3,299 (27.98%) positive. Later cuts left 111 mebipred-positive peptides, 15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CHEL≥0.25, 12 with CHEL≥0.25 and FRS&lt;0.50, and 8 with the stricter FRS&lt;0.45 (Table 4).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923 NTxPred2-positive peptides were ≤30 aa, so the metal/CHEL/FRS steps kept short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peptides only.</w:t>
      </w:r>
    </w:p>
    <w:p>
      <w:pPr>
        <w:autoSpaceDN w:val="0"/>
        <w:autoSpaceDE w:val="0"/>
        <w:widowControl/>
        <w:spacing w:line="222" w:lineRule="exact" w:before="404" w:after="6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4. Periodontitis branch after UniDL4BioPep scoring.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2621"/>
        <w:gridCol w:w="2621"/>
        <w:gridCol w:w="2621"/>
        <w:gridCol w:w="2621"/>
      </w:tblGrid>
      <w:tr>
        <w:trPr>
          <w:trHeight w:hRule="exact" w:val="396"/>
        </w:trPr>
        <w:tc>
          <w:tcPr>
            <w:tcW w:type="dxa" w:w="2156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Stage</w:t>
            </w:r>
          </w:p>
        </w:tc>
        <w:tc>
          <w:tcPr>
            <w:tcW w:type="dxa" w:w="200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Rule</w:t>
            </w:r>
          </w:p>
        </w:tc>
        <w:tc>
          <w:tcPr>
            <w:tcW w:type="dxa" w:w="202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288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Denominator</w:t>
            </w:r>
          </w:p>
        </w:tc>
      </w:tr>
      <w:tr>
        <w:trPr>
          <w:trHeight w:hRule="exact" w:val="366"/>
        </w:trPr>
        <w:tc>
          <w:tcPr>
            <w:tcW w:type="dxa" w:w="2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Periodontitis smORFs</w:t>
            </w:r>
          </w:p>
        </w:tc>
        <w:tc>
          <w:tcPr>
            <w:tcW w:type="dxa" w:w="2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4–50 aa</w:t>
            </w:r>
          </w:p>
        </w:tc>
        <w:tc>
          <w:tcPr>
            <w:tcW w:type="dxa" w:w="2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11,721,988</w:t>
            </w:r>
          </w:p>
        </w:tc>
        <w:tc>
          <w:tcPr>
            <w:tcW w:type="dxa" w:w="2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Library</w:t>
            </w:r>
          </w:p>
        </w:tc>
      </w:tr>
      <w:tr>
        <w:trPr>
          <w:trHeight w:hRule="exact" w:val="38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BBB (BBP)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score ≥0.80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1,125,832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11,721,988</w:t>
            </w:r>
          </w:p>
        </w:tc>
      </w:tr>
      <w:tr>
        <w:trPr>
          <w:trHeight w:hRule="exact" w:val="30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Catalogue-supported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Exact match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33,786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11,721,988</w:t>
            </w:r>
          </w:p>
        </w:tc>
      </w:tr>
      <w:tr>
        <w:trPr>
          <w:trHeight w:hRule="exact" w:val="30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unique peptides</w:t>
            </w:r>
          </w:p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BBB-high ∩ catalogue-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Intersection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3,518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1,125,832 ∩ 33,786</w:t>
            </w:r>
          </w:p>
        </w:tc>
      </w:tr>
      <w:tr>
        <w:trPr>
          <w:trHeight w:hRule="exact" w:val="30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supported</w:t>
            </w:r>
          </w:p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Short (5–30 aa)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Length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3,446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3,518</w:t>
            </w:r>
          </w:p>
        </w:tc>
      </w:tr>
      <w:tr>
        <w:trPr>
          <w:trHeight w:hRule="exact" w:val="36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Long (31–50 aa)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Length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72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3,518</w:t>
            </w:r>
          </w:p>
        </w:tc>
      </w:tr>
      <w:tr>
        <w:trPr>
          <w:trHeight w:hRule="exact" w:val="38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NTxPred2 scored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7–50 aa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3,299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3,518</w:t>
            </w:r>
          </w:p>
        </w:tc>
      </w:tr>
      <w:tr>
        <w:trPr>
          <w:trHeight w:hRule="exact" w:val="36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NTxPred2-positive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Model label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923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3,299</w:t>
            </w:r>
          </w:p>
        </w:tc>
      </w:tr>
      <w:tr>
        <w:trPr>
          <w:trHeight w:hRule="exact" w:val="38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mebipred-positive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≥0.50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111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38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CHEL-priority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CHEL≥0.25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111</w:t>
            </w:r>
          </w:p>
        </w:tc>
      </w:tr>
      <w:tr>
        <w:trPr>
          <w:trHeight w:hRule="exact" w:val="300"/>
        </w:trPr>
        <w:tc>
          <w:tcPr>
            <w:tcW w:type="dxa" w:w="21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Main set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CHEL≥0.25 and 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111</w:t>
            </w:r>
          </w:p>
        </w:tc>
      </w:tr>
      <w:tr>
        <w:trPr>
          <w:trHeight w:hRule="exact" w:val="300"/>
        </w:trPr>
        <w:tc>
          <w:tcPr>
            <w:tcW w:type="dxa" w:w="2621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FRS&lt;0.50</w:t>
            </w:r>
          </w:p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156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Stricter subset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CHEL≥0.25 and </w:t>
            </w:r>
          </w:p>
        </w:tc>
        <w:tc>
          <w:tcPr>
            <w:tcW w:type="dxa" w:w="202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4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88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6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316"/>
        </w:trPr>
        <w:tc>
          <w:tcPr>
            <w:tcW w:type="dxa" w:w="2621"/>
            <w:vMerge/>
            <w:tcBorders>
              <w:bottom w:sz="12.0" w:val="single" w:color="#000000"/>
            </w:tcBorders>
          </w:tcPr>
          <w:p/>
        </w:tc>
        <w:tc>
          <w:tcPr>
            <w:tcW w:type="dxa" w:w="200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FRS&lt;0.45</w:t>
            </w:r>
          </w:p>
        </w:tc>
        <w:tc>
          <w:tcPr>
            <w:tcW w:type="dxa" w:w="2621"/>
            <w:vMerge/>
            <w:tcBorders>
              <w:bottom w:sz="12.0" w:val="single" w:color="#000000"/>
            </w:tcBorders>
          </w:tcPr>
          <w:p/>
        </w:tc>
        <w:tc>
          <w:tcPr>
            <w:tcW w:type="dxa" w:w="2621"/>
            <w:vMerge/>
            <w:tcBorders>
              <w:bottom w:sz="12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742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Physicochemical profile of the twelve peptides</w:t>
      </w:r>
    </w:p>
    <w:p>
      <w:pPr>
        <w:autoSpaceDN w:val="0"/>
        <w:tabs>
          <w:tab w:pos="1202" w:val="left"/>
        </w:tabs>
        <w:autoSpaceDE w:val="0"/>
        <w:widowControl/>
        <w:spacing w:line="552" w:lineRule="exact" w:before="60" w:after="0"/>
        <w:ind w:left="722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descriptors characterise the twelve docking ligands. They are not a comparison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healthy and periodontitis libraries.</w:t>
      </w:r>
    </w:p>
    <w:p>
      <w:pPr>
        <w:autoSpaceDN w:val="0"/>
        <w:autoSpaceDE w:val="0"/>
        <w:widowControl/>
        <w:spacing w:line="552" w:lineRule="exact" w:before="0" w:after="528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twelve strings are unique 7–9-aa peptides of standard residues (Table 5). Eleven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contain histidine; six contain cysteine; every sequence has at least one Arg or Lys.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weights fall between 825.03 and 1,097.30 Da. Isoelectric points are alkaline (8.28–11.54). Net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charge at pH 7.4 is positive for all twelve (0.85–2.08). GRAVY is positive for ten sequences, 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14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15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line with leucine-rich cores; LLHLPKRTT (−0.36) and YHHLLCRR (−0.95) are the two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hydrophilic exceptions. Aliphatic indices run from 97.5 (YHHLLCRR) to 222.9 (LLHPLRL).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is the only peptide without histidine. These numbers describe composition; they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 HPLC or CD measurements.</w:t>
      </w:r>
    </w:p>
    <w:p>
      <w:pPr>
        <w:autoSpaceDN w:val="0"/>
        <w:autoSpaceDE w:val="0"/>
        <w:widowControl/>
        <w:spacing w:line="222" w:lineRule="exact" w:before="404" w:after="64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5. Composition and calculated physicochemical descriptors of the twelve 7–9-aa peptides.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304"/>
        </w:trPr>
        <w:tc>
          <w:tcPr>
            <w:tcW w:type="dxa" w:w="896"/>
            <w:vMerge w:val="restart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Peptide</w:t>
            </w:r>
          </w:p>
        </w:tc>
        <w:tc>
          <w:tcPr>
            <w:tcW w:type="dxa" w:w="640"/>
            <w:vMerge w:val="restart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aa</w:t>
            </w:r>
          </w:p>
        </w:tc>
        <w:tc>
          <w:tcPr>
            <w:tcW w:type="dxa" w:w="11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MW </w:t>
            </w:r>
          </w:p>
        </w:tc>
        <w:tc>
          <w:tcPr>
            <w:tcW w:type="dxa" w:w="800"/>
            <w:vMerge w:val="restart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pI</w:t>
            </w:r>
          </w:p>
        </w:tc>
        <w:tc>
          <w:tcPr>
            <w:tcW w:type="dxa" w:w="9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z (pH </w:t>
            </w:r>
          </w:p>
        </w:tc>
        <w:tc>
          <w:tcPr>
            <w:tcW w:type="dxa" w:w="1020"/>
            <w:vMerge w:val="restart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GRAVY</w:t>
            </w:r>
          </w:p>
        </w:tc>
        <w:tc>
          <w:tcPr>
            <w:tcW w:type="dxa" w:w="760"/>
            <w:vMerge w:val="restart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820"/>
            <w:vMerge w:val="restart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His</w:t>
            </w:r>
          </w:p>
        </w:tc>
        <w:tc>
          <w:tcPr>
            <w:tcW w:type="dxa" w:w="920"/>
            <w:vMerge w:val="restart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Cys</w:t>
            </w:r>
          </w:p>
        </w:tc>
        <w:tc>
          <w:tcPr>
            <w:tcW w:type="dxa" w:w="1140"/>
            <w:vMerge w:val="restart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4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R+K</w:t>
            </w:r>
          </w:p>
        </w:tc>
      </w:tr>
      <w:tr>
        <w:trPr>
          <w:trHeight w:hRule="exact" w:val="322"/>
        </w:trPr>
        <w:tc>
          <w:tcPr>
            <w:tcW w:type="dxa" w:w="1049"/>
            <w:vMerge/>
            <w:tcBorders>
              <w:top w:sz="12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8.0" w:val="single" w:color="#000000"/>
            </w:tcBorders>
          </w:tcPr>
          <w:p/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(Da)</w:t>
            </w:r>
          </w:p>
        </w:tc>
        <w:tc>
          <w:tcPr>
            <w:tcW w:type="dxa" w:w="1049"/>
            <w:vMerge/>
            <w:tcBorders>
              <w:top w:sz="12.0" w:val="single" w:color="#000000"/>
              <w:bottom w:sz="8.0" w:val="single" w:color="#000000"/>
            </w:tcBorders>
          </w:tcPr>
          <w:p/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3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7.4)</w:t>
            </w:r>
          </w:p>
        </w:tc>
        <w:tc>
          <w:tcPr>
            <w:tcW w:type="dxa" w:w="1049"/>
            <w:vMerge/>
            <w:tcBorders>
              <w:top w:sz="12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12.0" w:val="single" w:color="#000000"/>
              <w:bottom w:sz="8.0" w:val="single" w:color="#000000"/>
            </w:tcBorders>
          </w:tcPr>
          <w:p/>
        </w:tc>
      </w:tr>
      <w:tr>
        <w:trPr>
          <w:trHeight w:hRule="exact" w:val="298"/>
        </w:trPr>
        <w:tc>
          <w:tcPr>
            <w:tcW w:type="dxa" w:w="8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ALLLH</w:t>
            </w:r>
          </w:p>
        </w:tc>
        <w:tc>
          <w:tcPr>
            <w:tcW w:type="dxa" w:w="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1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2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825.03</w:t>
            </w:r>
          </w:p>
        </w:tc>
        <w:tc>
          <w:tcPr>
            <w:tcW w:type="dxa" w:w="8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9.00</w:t>
            </w:r>
          </w:p>
        </w:tc>
        <w:tc>
          <w:tcPr>
            <w:tcW w:type="dxa" w:w="9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0.92</w:t>
            </w:r>
          </w:p>
        </w:tc>
        <w:tc>
          <w:tcPr>
            <w:tcW w:type="dxa" w:w="10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1.14</w:t>
            </w:r>
          </w:p>
        </w:tc>
        <w:tc>
          <w:tcPr>
            <w:tcW w:type="dxa" w:w="7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181.4</w:t>
            </w:r>
          </w:p>
        </w:tc>
        <w:tc>
          <w:tcPr>
            <w:tcW w:type="dxa" w:w="8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RC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FCLHL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1029.26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9.00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0.92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0.69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146.2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QLR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FLLHT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0" w:right="2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887.04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11.09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1.04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0.19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111.4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HLLTL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1088.35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10.63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2.08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0.08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162.2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KKHV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HLPLL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1091.35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8.28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0.85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0.43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130.0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HRCC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HVLLL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1052.30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9.00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0.92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0.97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173.3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RQCA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LLHLP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1078.32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11.54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2.04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−0.36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130.0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KRTT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LLHPL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0" w:right="2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851.07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9.00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0.92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0.66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167.1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RC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LLHPL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2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861.09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11.09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1.04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0.84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222.9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RL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WLLVH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1036.32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10.63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2.04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0.46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182.5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LKK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YHHLL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1097.30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9.91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1.96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−0.95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97.5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CRR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YLSLL</w:t>
            </w:r>
          </w:p>
        </w:tc>
        <w:tc>
          <w:tcPr>
            <w:tcW w:type="dxa" w:w="6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1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2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892.06</w:t>
            </w:r>
          </w:p>
        </w:tc>
        <w:tc>
          <w:tcPr>
            <w:tcW w:type="dxa" w:w="80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9.89</w:t>
            </w:r>
          </w:p>
        </w:tc>
        <w:tc>
          <w:tcPr>
            <w:tcW w:type="dxa" w:w="92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3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0.99</w:t>
            </w:r>
          </w:p>
        </w:tc>
        <w:tc>
          <w:tcPr>
            <w:tcW w:type="dxa" w:w="102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0.04</w:t>
            </w:r>
          </w:p>
        </w:tc>
        <w:tc>
          <w:tcPr>
            <w:tcW w:type="dxa" w:w="76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167.1</w:t>
            </w:r>
          </w:p>
        </w:tc>
        <w:tc>
          <w:tcPr>
            <w:tcW w:type="dxa" w:w="82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4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2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1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7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30"/>
        </w:trPr>
        <w:tc>
          <w:tcPr>
            <w:tcW w:type="dxa" w:w="89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QR</w:t>
            </w:r>
          </w:p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  <w:tc>
          <w:tcPr>
            <w:tcW w:type="dxa" w:w="1049"/>
            <w:vMerge/>
            <w:tcBorders>
              <w:bottom w:sz="12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4" w:lineRule="exact" w:before="742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Docking to human AChE</w:t>
      </w:r>
    </w:p>
    <w:p>
      <w:pPr>
        <w:autoSpaceDN w:val="0"/>
        <w:autoSpaceDE w:val="0"/>
        <w:widowControl/>
        <w:spacing w:line="552" w:lineRule="exact" w:before="60" w:after="658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twelve ligands produced favourable Vina scores (Table 6, Figure 2). Best-run values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 from −8.25 to −9.60 kcal/mol; three-run means ran from −8.07 ± 0.16 to −9.44 ± 0.09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kcal/mol. Best-pose order was FLLHTTR (−9.60), YLSLLQR (−9.49), ALLLHRC (−9.29).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Mean order put YLSLLQR first (−9.44 ± 0.09) and ALLLHRC second (−9.18 ± 0.11).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15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16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66" w:lineRule="exact" w:before="58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FLLHTTR has the strongest single pose and the largest SD (−8.77 ± 1.41). Best poses made 3–</w:t>
      </w:r>
    </w:p>
    <w:p>
      <w:pPr>
        <w:autoSpaceDN w:val="0"/>
        <w:autoSpaceDE w:val="0"/>
        <w:widowControl/>
        <w:spacing w:line="266" w:lineRule="exact" w:before="286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 hydrogen bonds (mean length 2.83–3.28 Å; Figures 3 and 4).</w:t>
      </w:r>
    </w:p>
    <w:p>
      <w:pPr>
        <w:autoSpaceDN w:val="0"/>
        <w:autoSpaceDE w:val="0"/>
        <w:widowControl/>
        <w:spacing w:line="222" w:lineRule="exact" w:before="404" w:after="94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6. Three-run AutoDock Vina scores against human AChE (PDB 4EY6).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292"/>
        </w:trPr>
        <w:tc>
          <w:tcPr>
            <w:tcW w:type="dxa" w:w="214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Peptide</w:t>
            </w:r>
          </w:p>
        </w:tc>
        <w:tc>
          <w:tcPr>
            <w:tcW w:type="dxa" w:w="1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H-bonds</w:t>
            </w:r>
          </w:p>
        </w:tc>
        <w:tc>
          <w:tcPr>
            <w:tcW w:type="dxa" w:w="11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Best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2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Mean ± SD </w:t>
            </w:r>
          </w:p>
        </w:tc>
        <w:tc>
          <w:tcPr>
            <w:tcW w:type="dxa" w:w="1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Principal </w:t>
            </w:r>
          </w:p>
        </w:tc>
      </w:tr>
      <w:tr>
        <w:trPr>
          <w:trHeight w:hRule="exact" w:val="318"/>
        </w:trPr>
        <w:tc>
          <w:tcPr>
            <w:tcW w:type="dxa" w:w="2622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311"/>
            <w:vMerge/>
            <w:tcBorders>
              <w:bottom w:sz="8.0" w:val="single" w:color="#000000"/>
            </w:tcBorders>
          </w:tcPr>
          <w:p/>
        </w:tc>
        <w:tc>
          <w:tcPr>
            <w:tcW w:type="dxa" w:w="1311"/>
            <w:vMerge/>
            <w:tcBorders>
              <w:bottom w:sz="8.0" w:val="single" w:color="#000000"/>
            </w:tcBorders>
          </w:tcPr>
          <w:p/>
        </w:tc>
        <w:tc>
          <w:tcPr>
            <w:tcW w:type="dxa" w:w="1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8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(n=3)</w:t>
            </w:r>
          </w:p>
        </w:tc>
        <w:tc>
          <w:tcPr>
            <w:tcW w:type="dxa" w:w="1311"/>
            <w:vMerge/>
            <w:tcBorders>
              <w:bottom w:sz="8.0" w:val="single" w:color="#000000"/>
            </w:tcBorders>
          </w:tcPr>
          <w:p/>
        </w:tc>
        <w:tc>
          <w:tcPr>
            <w:tcW w:type="dxa" w:w="2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contacts</w:t>
            </w:r>
          </w:p>
        </w:tc>
      </w:tr>
      <w:tr>
        <w:trPr>
          <w:trHeight w:hRule="exact" w:val="302"/>
        </w:trPr>
        <w:tc>
          <w:tcPr>
            <w:tcW w:type="dxa" w:w="214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4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ALLLHRC</w:t>
            </w:r>
          </w:p>
        </w:tc>
        <w:tc>
          <w:tcPr>
            <w:tcW w:type="dxa" w:w="15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−9.29</w:t>
            </w:r>
          </w:p>
        </w:tc>
        <w:tc>
          <w:tcPr>
            <w:tcW w:type="dxa" w:w="17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−9.18 ± 0.11</w:t>
            </w:r>
          </w:p>
        </w:tc>
        <w:tc>
          <w:tcPr>
            <w:tcW w:type="dxa" w:w="13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5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Ser125, Ser203,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311"/>
            <w:vMerge/>
            <w:tcBorders>
              <w:top w:sz="8.0" w:val="single" w:color="#000000"/>
            </w:tcBorders>
          </w:tcPr>
          <w:p/>
        </w:tc>
        <w:tc>
          <w:tcPr>
            <w:tcW w:type="dxa" w:w="1311"/>
            <w:vMerge/>
            <w:tcBorders>
              <w:top w:sz="8.0" w:val="single" w:color="#000000"/>
            </w:tcBorders>
          </w:tcPr>
          <w:p/>
        </w:tc>
        <w:tc>
          <w:tcPr>
            <w:tcW w:type="dxa" w:w="1311"/>
            <w:vMerge/>
            <w:tcBorders>
              <w:top w:sz="8.0" w:val="single" w:color="#000000"/>
            </w:tcBorders>
          </w:tcPr>
          <w:p/>
        </w:tc>
        <w:tc>
          <w:tcPr>
            <w:tcW w:type="dxa" w:w="1311"/>
            <w:vMerge/>
            <w:tcBorders>
              <w:top w:sz="8.0" w:val="single" w:color="#000000"/>
            </w:tcBorders>
          </w:tcPr>
          <w:p/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Tyr124</w:t>
            </w:r>
          </w:p>
        </w:tc>
      </w:tr>
      <w:tr>
        <w:trPr>
          <w:trHeight w:hRule="exact" w:val="300"/>
        </w:trPr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FCLHLQLR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−9.27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−8.96 ± 0.48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2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Ser203, Thr75,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Tyr341</w:t>
            </w:r>
          </w:p>
        </w:tc>
      </w:tr>
      <w:tr>
        <w:trPr>
          <w:trHeight w:hRule="exact" w:val="300"/>
        </w:trPr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0" w:right="4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FLLHTTR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−9.60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−8.77 ± 1.41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4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Asp74, Tyr72,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His287</w:t>
            </w:r>
          </w:p>
        </w:tc>
      </w:tr>
      <w:tr>
        <w:trPr>
          <w:trHeight w:hRule="exact" w:val="380"/>
        </w:trPr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HLLTLKKHV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−8.88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−8.69 ± 0.20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Tyr72, Phe346</w:t>
            </w:r>
          </w:p>
        </w:tc>
      </w:tr>
      <w:tr>
        <w:trPr>
          <w:trHeight w:hRule="exact" w:val="300"/>
        </w:trPr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0" w:right="1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HLPLLHRCC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−8.35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−8.28 ± 0.07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Ser125, Tyr124,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Tyr337</w:t>
            </w:r>
          </w:p>
        </w:tc>
      </w:tr>
      <w:tr>
        <w:trPr>
          <w:trHeight w:hRule="exact" w:val="380"/>
        </w:trPr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HVLLLRQCA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−8.25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−8.07 ± 0.16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Thr75</w:t>
            </w:r>
          </w:p>
        </w:tc>
      </w:tr>
      <w:tr>
        <w:trPr>
          <w:trHeight w:hRule="exact" w:val="360"/>
        </w:trPr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LLHLPKRTT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−9.01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−8.89 ± 0.16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Adjacent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Ser203, Val340</w:t>
            </w:r>
          </w:p>
        </w:tc>
      </w:tr>
      <w:tr>
        <w:trPr>
          <w:trHeight w:hRule="exact" w:val="380"/>
        </w:trPr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4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LLHPLRC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−8.91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−8.78 ± 0.11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Ser125, Ser293</w:t>
            </w:r>
          </w:p>
        </w:tc>
      </w:tr>
      <w:tr>
        <w:trPr>
          <w:trHeight w:hRule="exact" w:val="300"/>
        </w:trPr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4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LLHPLRL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−8.94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−8.91 ± 0.05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Trp286, Tyr341, </w:t>
            </w:r>
          </w:p>
        </w:tc>
      </w:tr>
      <w:tr>
        <w:trPr>
          <w:trHeight w:hRule="exact" w:val="300"/>
        </w:trPr>
        <w:tc>
          <w:tcPr>
            <w:tcW w:type="dxa" w:w="2622"/>
            <w:gridSpan w:val="2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1311"/>
            <w:vMerge/>
            <w:tcBorders/>
          </w:tcPr>
          <w:p/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His447</w:t>
            </w:r>
          </w:p>
        </w:tc>
      </w:tr>
      <w:tr>
        <w:trPr>
          <w:trHeight w:hRule="exact" w:val="360"/>
        </w:trPr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2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WLLVHLKK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−8.94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−8.64 ± 0.26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Asn283, Gln279</w:t>
            </w:r>
          </w:p>
        </w:tc>
      </w:tr>
      <w:tr>
        <w:trPr>
          <w:trHeight w:hRule="exact" w:val="380"/>
        </w:trPr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YHHLLCRR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−9.03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−8.62 ± 0.43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Trp86, Ser203</w:t>
            </w:r>
          </w:p>
        </w:tc>
      </w:tr>
      <w:tr>
        <w:trPr>
          <w:trHeight w:hRule="exact" w:val="300"/>
        </w:trPr>
        <w:tc>
          <w:tcPr>
            <w:tcW w:type="dxa" w:w="2140"/>
            <w:gridSpan w:val="2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4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YLSLLQR</w:t>
            </w:r>
          </w:p>
        </w:tc>
        <w:tc>
          <w:tcPr>
            <w:tcW w:type="dxa" w:w="152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12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−9.49</w:t>
            </w:r>
          </w:p>
        </w:tc>
        <w:tc>
          <w:tcPr>
            <w:tcW w:type="dxa" w:w="178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−9.44 ± 0.09</w:t>
            </w:r>
          </w:p>
        </w:tc>
        <w:tc>
          <w:tcPr>
            <w:tcW w:type="dxa" w:w="136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Tyr72, Thr75, </w:t>
            </w:r>
          </w:p>
        </w:tc>
      </w:tr>
      <w:tr>
        <w:trPr>
          <w:trHeight w:hRule="exact" w:val="322"/>
        </w:trPr>
        <w:tc>
          <w:tcPr>
            <w:tcW w:type="dxa" w:w="2622"/>
            <w:gridSpan w:val="2"/>
            <w:vMerge/>
            <w:tcBorders>
              <w:bottom w:sz="12.0" w:val="single" w:color="#000000"/>
            </w:tcBorders>
          </w:tcPr>
          <w:p/>
        </w:tc>
        <w:tc>
          <w:tcPr>
            <w:tcW w:type="dxa" w:w="1311"/>
            <w:vMerge/>
            <w:tcBorders>
              <w:bottom w:sz="12.0" w:val="single" w:color="#000000"/>
            </w:tcBorders>
          </w:tcPr>
          <w:p/>
        </w:tc>
        <w:tc>
          <w:tcPr>
            <w:tcW w:type="dxa" w:w="1311"/>
            <w:vMerge/>
            <w:tcBorders>
              <w:bottom w:sz="12.0" w:val="single" w:color="#000000"/>
            </w:tcBorders>
          </w:tcPr>
          <w:p/>
        </w:tc>
        <w:tc>
          <w:tcPr>
            <w:tcW w:type="dxa" w:w="1311"/>
            <w:vMerge/>
            <w:tcBorders>
              <w:bottom w:sz="12.0" w:val="single" w:color="#000000"/>
            </w:tcBorders>
          </w:tcPr>
          <w:p/>
        </w:tc>
        <w:tc>
          <w:tcPr>
            <w:tcW w:type="dxa" w:w="1311"/>
            <w:vMerge/>
            <w:tcBorders>
              <w:bottom w:sz="12.0" w:val="single" w:color="#000000"/>
            </w:tcBorders>
          </w:tcPr>
          <w:p/>
        </w:tc>
        <w:tc>
          <w:tcPr>
            <w:tcW w:type="dxa" w:w="2540"/>
            <w:gridSpan w:val="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Glu202</w:t>
            </w:r>
          </w:p>
        </w:tc>
      </w:tr>
      <w:tr>
        <w:trPr>
          <w:trHeight w:hRule="exact" w:val="6806"/>
        </w:trPr>
        <w:tc>
          <w:tcPr>
            <w:tcW w:type="dxa" w:w="12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0"/>
            <w:gridSpan w:val="2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5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16 of 32 - AI Writing Submission</w:t>
            </w:r>
          </w:p>
        </w:tc>
        <w:tc>
          <w:tcPr>
            <w:tcW w:type="dxa" w:w="112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5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5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17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3442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42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40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2. Three-run Vina scores against human AChE (PDB 4EY6).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Blue circles, mean; whiskers, SD; </w:t>
      </w:r>
    </w:p>
    <w:p>
      <w:pPr>
        <w:autoSpaceDN w:val="0"/>
        <w:autoSpaceDE w:val="0"/>
        <w:widowControl/>
        <w:spacing w:line="222" w:lineRule="exact" w:before="8" w:after="8178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orange diamonds, best run. Order follows best-run rank.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17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18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520573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520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40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3. Best docking poses, peptides 1–6 (A–F).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Peptide, orange; contacting residues, cyan. FLLHTTR (C) </w:t>
      </w:r>
    </w:p>
    <w:p>
      <w:pPr>
        <w:autoSpaceDN w:val="0"/>
        <w:autoSpaceDE w:val="0"/>
        <w:widowControl/>
        <w:spacing w:line="222" w:lineRule="exact" w:before="8" w:after="5402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is the densest PAS 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18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19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520573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520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exact" w:before="398" w:after="0"/>
        <w:ind w:left="722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4. Best docking poses, peptides 7–12 (G–L).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LLHPLRL (I) spans PAS Trp286/Tyr341 to catalytic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His447. YLSLLQR (L) bridges PAS and the gorge mouth.</w:t>
      </w:r>
    </w:p>
    <w:p>
      <w:pPr>
        <w:autoSpaceDN w:val="0"/>
        <w:autoSpaceDE w:val="0"/>
        <w:widowControl/>
        <w:spacing w:line="516" w:lineRule="exact" w:before="0" w:after="2306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 contacts in the best pose were seen for FLLHTTR (Figure 3C), YLSLLQR (Figure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4L), FCLHLQLR, HVLLLRQCA, HLLTLKKHV and LLHPLRL (Figure 4I). ALLLHRC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binds catalytic Ser203 with the shortest mean hydrogen bond (2.83 Å) rather than the outer PAS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aromatics (Figure 3A). Three-run means separate ligands that stay strong across runs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(YLSLLQR, ALLLHRC, LLHPLRL) from ligands whose best pose is better than the run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average (FLLHTTR, FCLHLQLR, YHHLLCRR).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19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20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66" w:lineRule="exact" w:before="580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100-ns dynamics of apo AChE and three complexes</w:t>
      </w:r>
    </w:p>
    <w:p>
      <w:pPr>
        <w:autoSpaceDN w:val="0"/>
        <w:autoSpaceDE w:val="0"/>
        <w:widowControl/>
        <w:spacing w:line="552" w:lineRule="exact" w:before="60" w:after="11914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Production runs finished for apo AChE and the ALLLHRC, FLLHTTR and YLSLLQR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complexes (Table 7, Figures 5–7). Each six-panel figure compares apo with one complex: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RMSD (A), RMSF (B), SASA (C), Rg (D), last-20-ns DSSP (E) and intermolecular hydrogen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bonds (F).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20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21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34696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6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40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5. Apo AChE versus AChE–ALLLHRC.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Panels A–F match Table 7. Complex RMSD (A) tracks apo; </w:t>
      </w:r>
    </w:p>
    <w:p>
      <w:pPr>
        <w:autoSpaceDN w:val="0"/>
        <w:autoSpaceDE w:val="0"/>
        <w:widowControl/>
        <w:spacing w:line="222" w:lineRule="exact" w:before="8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hydrogen bonds (F) fall from early occupancy to about two in the last 20 ns.</w:t>
      </w:r>
    </w:p>
    <w:p>
      <w:pPr>
        <w:autoSpaceDN w:val="0"/>
        <w:autoSpaceDE w:val="0"/>
        <w:widowControl/>
        <w:spacing w:line="240" w:lineRule="auto" w:before="6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347090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40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6. Apo AChE versus AChE–FLLHTTR.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After ~50 ns, complex RMSD (A) lies below apo. Hydrogen-</w:t>
      </w:r>
    </w:p>
    <w:p>
      <w:pPr>
        <w:autoSpaceDN w:val="0"/>
        <w:autoSpaceDE w:val="0"/>
        <w:widowControl/>
        <w:spacing w:line="222" w:lineRule="exact" w:before="10" w:after="1752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bond counts (F) stay in the 6–10 range for the full 100 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21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22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49340" cy="34696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6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exact" w:before="398" w:after="0"/>
        <w:ind w:left="722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Figure 7. Apo AChE versus AChE–YLSLLQR.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Late RMSD (A) is below apo. SASA (C) is the only complex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that contracts relative to apo.</w:t>
      </w:r>
    </w:p>
    <w:p>
      <w:pPr>
        <w:autoSpaceDN w:val="0"/>
        <w:autoSpaceDE w:val="0"/>
        <w:widowControl/>
        <w:spacing w:line="222" w:lineRule="exact" w:before="130" w:after="58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Table 7. Last-20-ns metrics (mean ± SD) for apo AChE and three complexes.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2097"/>
        <w:gridCol w:w="2097"/>
        <w:gridCol w:w="2097"/>
        <w:gridCol w:w="2097"/>
        <w:gridCol w:w="2097"/>
      </w:tblGrid>
      <w:tr>
        <w:trPr>
          <w:trHeight w:hRule="exact" w:val="398"/>
        </w:trPr>
        <w:tc>
          <w:tcPr>
            <w:tcW w:type="dxa" w:w="1716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74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apo AChE</w:t>
            </w:r>
          </w:p>
        </w:tc>
        <w:tc>
          <w:tcPr>
            <w:tcW w:type="dxa" w:w="180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2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ALLLHRC</w:t>
            </w:r>
          </w:p>
        </w:tc>
        <w:tc>
          <w:tcPr>
            <w:tcW w:type="dxa" w:w="180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FLLHTTR</w:t>
            </w:r>
          </w:p>
        </w:tc>
        <w:tc>
          <w:tcPr>
            <w:tcW w:type="dxa" w:w="2000"/>
            <w:tcBorders>
              <w:top w:sz="12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YLSLLQR</w:t>
            </w:r>
          </w:p>
        </w:tc>
      </w:tr>
      <w:tr>
        <w:trPr>
          <w:trHeight w:hRule="exact" w:val="374"/>
        </w:trPr>
        <w:tc>
          <w:tcPr>
            <w:tcW w:type="dxa" w:w="17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Cα RMSD (nm)</w:t>
            </w:r>
          </w:p>
        </w:tc>
        <w:tc>
          <w:tcPr>
            <w:tcW w:type="dxa" w:w="1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0.1897 ± 0.0090</w:t>
            </w:r>
          </w:p>
        </w:tc>
        <w:tc>
          <w:tcPr>
            <w:tcW w:type="dxa" w:w="1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0.1916 ± 0.0092</w:t>
            </w:r>
          </w:p>
        </w:tc>
        <w:tc>
          <w:tcPr>
            <w:tcW w:type="dxa" w:w="1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0.1640 ± 0.0080</w:t>
            </w:r>
          </w:p>
        </w:tc>
        <w:tc>
          <w:tcPr>
            <w:tcW w:type="dxa" w:w="2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0.1625 ± 0.0078</w:t>
            </w:r>
          </w:p>
        </w:tc>
      </w:tr>
      <w:tr>
        <w:trPr>
          <w:trHeight w:hRule="exact" w:val="30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Peptide self-fit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0.2518 ± 0.0136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0.1752 ± 0.0111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0.0911 ± 0.0098</w:t>
            </w:r>
          </w:p>
        </w:tc>
      </w:tr>
      <w:tr>
        <w:trPr>
          <w:trHeight w:hRule="exact" w:val="30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RMSD (nm)</w:t>
            </w:r>
          </w:p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RMSF mean (nm)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0.0835 ± 0.0659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0.0876 ± 0.0581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0.0778 ± 0.0504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0.0771 ± 0.0498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SASA (nm²)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212.25 ± 2.89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217.47 ± 2.49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213.88 ± 2.36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209.71 ± 2.35</w:t>
            </w:r>
          </w:p>
        </w:tc>
      </w:tr>
      <w:tr>
        <w:trPr>
          <w:trHeight w:hRule="exact" w:val="38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Rg (nm)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2.3045 ± 0.0056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2.3107 ± 0.0052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2.2967 ± 0.0047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2.3028 ± 0.0051</w:t>
            </w:r>
          </w:p>
        </w:tc>
      </w:tr>
      <w:tr>
        <w:trPr>
          <w:trHeight w:hRule="exact" w:val="30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Intermolecular H-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2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2.19 ± 0.80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7.03 ± 1.28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4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2.93 ± 1.14</w:t>
            </w:r>
          </w:p>
        </w:tc>
      </w:tr>
      <w:tr>
        <w:trPr>
          <w:trHeight w:hRule="exact" w:val="30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bonds</w:t>
            </w:r>
          </w:p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Persistent contact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2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6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30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pairs</w:t>
            </w:r>
          </w:p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  <w:tc>
          <w:tcPr>
            <w:tcW w:type="dxa" w:w="209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DSSP α-helix / β-</w:t>
            </w:r>
          </w:p>
        </w:tc>
        <w:tc>
          <w:tcPr>
            <w:tcW w:type="dxa" w:w="17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33.44 / 17.35</w:t>
            </w:r>
          </w:p>
        </w:tc>
        <w:tc>
          <w:tcPr>
            <w:tcW w:type="dxa" w:w="180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2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33.66 / 16.76</w:t>
            </w:r>
          </w:p>
        </w:tc>
        <w:tc>
          <w:tcPr>
            <w:tcW w:type="dxa" w:w="180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32.92 / 17.52</w:t>
            </w:r>
          </w:p>
        </w:tc>
        <w:tc>
          <w:tcPr>
            <w:tcW w:type="dxa" w:w="200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33.31 / 17.02</w:t>
            </w:r>
          </w:p>
        </w:tc>
      </w:tr>
      <w:tr>
        <w:trPr>
          <w:trHeight w:hRule="exact" w:val="322"/>
        </w:trPr>
        <w:tc>
          <w:tcPr>
            <w:tcW w:type="dxa" w:w="171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sheet (%)</w:t>
            </w:r>
          </w:p>
        </w:tc>
        <w:tc>
          <w:tcPr>
            <w:tcW w:type="dxa" w:w="2097"/>
            <w:vMerge/>
            <w:tcBorders>
              <w:bottom w:sz="12.0" w:val="single" w:color="#000000"/>
            </w:tcBorders>
          </w:tcPr>
          <w:p/>
        </w:tc>
        <w:tc>
          <w:tcPr>
            <w:tcW w:type="dxa" w:w="2097"/>
            <w:vMerge/>
            <w:tcBorders>
              <w:bottom w:sz="12.0" w:val="single" w:color="#000000"/>
            </w:tcBorders>
          </w:tcPr>
          <w:p/>
        </w:tc>
        <w:tc>
          <w:tcPr>
            <w:tcW w:type="dxa" w:w="2097"/>
            <w:vMerge/>
            <w:tcBorders>
              <w:bottom w:sz="12.0" w:val="single" w:color="#000000"/>
            </w:tcBorders>
          </w:tcPr>
          <w:p/>
        </w:tc>
        <w:tc>
          <w:tcPr>
            <w:tcW w:type="dxa" w:w="2097"/>
            <w:vMerge/>
            <w:tcBorders>
              <w:bottom w:sz="12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552" w:lineRule="exact" w:before="316" w:after="858"/>
        <w:ind w:left="722" w:right="678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Apo RMSD levels near 0.19 nm (Figures 5A–7A). ALLLHRC follows that control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(complex 0.1916 nm). FLLHTTR and YLSLLQR drop below apo after 50–70 ns (0.1640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0.1625 nm), which reads as rigidification, not unfolding. Peptide self-fit RMSD is highest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ALLLHRC (0.2518 nm) and lowest for YLSLLQR (0.0911 nm). Catalytic-core RMSF stays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22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23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low; mean RMSF is below apo for FLLHTTR and YLSLLQR. Rg remains 2.30–2.31 nm.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SASA rises for ALLLHRC (217.47 nm²), sits near apo for FLLHTTR (213.88 nm²), and falls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for YLSLLQR (209.71 nm²; Figure 7C). Hydrogen-bond histories differ: ALLLHRC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decays to 2.19 ± 0.80; FLLHTTR holds 7.03 ± 1.28 for the whole run (Figure 6F); YLSLLQR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averages 2.93 ± 1.14. Helix (~33%) and sheet (~17%) overlay the apo bars. Each complex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keeps seven persistent contact pairs. Centre-of-mass RDF peaks lie at 1.22 nm (ALLLHRC),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1.80 nm (FLLHTTR) and 1.62 nm (YLSLLQR), i.e. surface residence rather than bulk solvent.</w:t>
      </w:r>
    </w:p>
    <w:p>
      <w:pPr>
        <w:autoSpaceDN w:val="0"/>
        <w:autoSpaceDE w:val="0"/>
        <w:widowControl/>
        <w:spacing w:line="310" w:lineRule="exact" w:before="528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Discussion</w:t>
      </w:r>
    </w:p>
    <w:p>
      <w:pPr>
        <w:autoSpaceDN w:val="0"/>
        <w:autoSpaceDE w:val="0"/>
        <w:widowControl/>
        <w:spacing w:line="266" w:lineRule="exact" w:before="512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Principal findings</w:t>
      </w:r>
    </w:p>
    <w:p>
      <w:pPr>
        <w:autoSpaceDN w:val="0"/>
        <w:autoSpaceDE w:val="0"/>
        <w:widowControl/>
        <w:spacing w:line="552" w:lineRule="exact" w:before="6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Twenty-two UniDL4BioPep heads scored 11.27 million healthy-labelled and 11.72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million periodontitis-labelled oral smORFs at ≥0.80. Catalogue matching, NTxPred2,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mebipred and AnOxPePred then reduced the periodontitis branch to twelve explicit 7–9-aa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peptides. All twelve docked to human AChE with best-run Vina affinities between −8.25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−9.60 kcal/mol (Figure 2, Table 6). FLLHTTR, YLSLLQR and LLHPLRL contact the PAS.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100 ns, apo AChE and the ALLLHRC, FLLHTTR and YLSLLQR complexes remain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globular; FLLHTTR and YLSLLQR become more compact than apo, and FLLHTTR keeps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densest intermolecular hydrogen-bond net (Table 7, Figures 5–7). These objects define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ligand set for the same PAS that accelerates Aβ assembly [4,18]. They do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demonstrate transport, expression or disease causality.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How the two libraries differ</w:t>
      </w:r>
    </w:p>
    <w:p>
      <w:pPr>
        <w:autoSpaceDN w:val="0"/>
        <w:autoSpaceDE w:val="0"/>
        <w:widowControl/>
        <w:spacing w:line="552" w:lineRule="exact" w:before="60" w:after="674"/>
        <w:ind w:left="722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healthy and periodontitis libraries are close on most UniDL4BioPep heads (Tables 1–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3). BBB (BBP) rates differ by 0.12 percentage points (9.72% versus 9.60%), so a BBB-high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call is not a periodontitis stamp. Periodontitis exceeds healthy by ≥1 percentage point only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quorum sensing (+1.39). Healthy is higher for antifungal (−2.50), anti-parasitic (−2.36),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23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24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antioxidant FRS (−1.95), antiviral (−1.89), antibacterial (−1.42), CPP (−1.24), anticancer-main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(−1.22) and umami (−1.00). Antimicrobial is essentially tied (87.89% versus 87.69%). Those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percentages are library-wide score rates. Without a row-wise overlap map, the twelve docking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sequences cannot be shown to be absent from the healthy library, and the periodontitis label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cannot be transferred to an individual peptide. Physicochemical descriptors in Table 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characterise the docking ligands; they are not a disease contrast.</w:t>
      </w:r>
    </w:p>
    <w:p>
      <w:pPr>
        <w:autoSpaceDN w:val="0"/>
        <w:autoSpaceDE w:val="0"/>
        <w:widowControl/>
        <w:spacing w:line="552" w:lineRule="exact" w:before="0" w:after="0"/>
        <w:ind w:left="722" w:right="576" w:firstLine="4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Serial agreement among UniDL4BioPep, NTxPred2, mebipred and AnOxPePred is a filter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stack. ESM embeddings, composition features and task-specific training sets can share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correlated errors [23–26]. Near-universal antimicrobial positivity in both libraries illustrates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point: a score above 0.80 ranks sequences, it does not establish BBB transport,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neurotoxicity, metal binding or redox chemistry. The same predict-then-filter order used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mine microbiome peptide antibiotics [31] is therefore retained as triage. Catalogue matches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 HOMD, eHOMD and oral metaproteomes support prior observation of a string [21–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22,32–34]; they do not prove translation in PRJNA678453 samples [7,15–16].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A possible PAS-centred path from oral peptides to AD</w:t>
      </w:r>
    </w:p>
    <w:p>
      <w:pPr>
        <w:autoSpaceDN w:val="0"/>
        <w:autoSpaceDE w:val="0"/>
        <w:widowControl/>
        <w:spacing w:line="552" w:lineRule="exact" w:before="60" w:after="694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 pairs amyloid deposition with cholinergic failure [2–3]. Independently of catalysis,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AChE accelerates Aβ fibril assembly through the PAS, and AChE–Aβ complexes are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neurotoxic than Aβ alone [4]. A hydrophobic PAS motif is sufficient to promote that chaperone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activity [5]. PAS-directed ligands suppress AChE-induced aggregation in biochemical assays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[19]. Accelerated MD places Aβ on the AChE surface as a nucleation centre [17]. A 1-μs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trajectory keeps Aβ at the PAS, with principal residence at residues 344–361 [18]. Periodontitis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P. gingivalis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supply an exposure context: the organism and gingipains have been reported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 brains, and repeated oral infection in mice produces neuroinflammation and Aβ-related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[6,12–13]. Docking and 100-ns trajectories indicate that periodontitis-derived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micropeptides can occupy that same PAS. Four linked steps outline a possible mechanism.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24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25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266" w:lineRule="exact" w:before="58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PAS recognition and gorge-entrance occupancy.</w:t>
      </w:r>
    </w:p>
    <w:p>
      <w:pPr>
        <w:autoSpaceDN w:val="0"/>
        <w:autoSpaceDE w:val="0"/>
        <w:widowControl/>
        <w:spacing w:line="552" w:lineRule="exact" w:before="0" w:after="0"/>
        <w:ind w:left="722" w:right="576" w:firstLine="63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Best poses of the twelve peptides concentrate at the PAS and gorge mouth of human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AChE (PDB 4EY6; Figures 2–4). FLLHTTR anchors the canonical PAS residues Asp74,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Tyr72 and His287 (best-run −9.60 kcal/mol; Figure 3C). YLSLLQR contacts PAS (Tyr72,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Thr75) and the catalytic entrance (three-run mean −9.44 ± 0.09 kcal/mol; Figure 4L).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LLHPLRL spans the PAS gatekeepers Trp286/Tyr341 to catalytic His447 (Figure 4I).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HLLTLKKHV reaches Tyr72 and Phe346 in the 344–361 residence zone reported for Aβ.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geometry is the PAS Inestrosa identified as the pro-fibrillar site and that Atanasova occupied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Aβ. The aromatic gorge that joins the triad to the PAS was mapped 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Torpedo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[20,36]. Vina ranks poses inside a fixed grid; the scores are not experimental free energies [27–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28].</w:t>
      </w:r>
    </w:p>
    <w:p>
      <w:pPr>
        <w:autoSpaceDN w:val="0"/>
        <w:autoSpaceDE w:val="0"/>
        <w:widowControl/>
        <w:spacing w:line="266" w:lineRule="exact" w:before="286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A surface-bound enzyme–peptide complex.</w:t>
      </w:r>
    </w:p>
    <w:p>
      <w:pPr>
        <w:autoSpaceDN w:val="0"/>
        <w:autoSpaceDE w:val="0"/>
        <w:widowControl/>
        <w:spacing w:line="552" w:lineRule="exact" w:before="0" w:after="0"/>
        <w:ind w:left="722" w:right="676" w:firstLine="56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Over 100 ns the enzyme remains globular (RMSD 0.16–0.19 nm, Rg 2.30–2.31 nm, helix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~33% / sheet ~17%; Figures 5–7). FLLHTTR and YLSLLQR complexes become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compact than apo in late RMSD (0.1640 and 0.1625 nm versus 0.1897 nm), so the peptide stays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the surface and stiffens the fold. Intermolecular hydrogen bonds persist: FLLHTTR holds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dense polar net throughout (7.03 ± 1.28; Figure 6F), YLSLLQR averages 2.93 ± 1.14,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ALLLHRC retains seven contact pairs after early rearrangement. Peptide self-fit RMSD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lowest for YLSLLQR (0.0911 nm) and highest for ALLLHRC (0.2518 nm). Centre-of-mass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RDF peaks lie at 1.22–1.80 nm, consistent with surface residence rather than bulk solvent.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Lushchekina and Atanasova described a surface-bound, non-dissociating AChE–Aβ complex;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same occupancy pattern appears here for oral micropeptides, on a 100-ns rather than 1-μs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window.</w:t>
      </w:r>
    </w:p>
    <w:p>
      <w:pPr>
        <w:autoSpaceDN w:val="0"/>
        <w:autoSpaceDE w:val="0"/>
        <w:widowControl/>
        <w:spacing w:line="266" w:lineRule="exact" w:before="286" w:after="1486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Restricted acetylcholine access.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25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26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676" w:firstLine="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PAS sits at the mouth of the 20-Å gorge that feeds the catalytic triad [3,20]. Physical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occupancy of Asp74/Tyr72/Trp286/Tyr341 can hinder substrate entry even while the catalytic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core remains folded (low RMSF in panels B of Figures 5–7). A pose that docks to the PAS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 intersects the cholinergic axis of AD: reduced access of acetylcholine at synapses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already depleted after basal-forebrain loss.</w:t>
      </w:r>
    </w:p>
    <w:p>
      <w:pPr>
        <w:autoSpaceDN w:val="0"/>
        <w:autoSpaceDE w:val="0"/>
        <w:widowControl/>
        <w:spacing w:line="266" w:lineRule="exact" w:before="286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Pathological chaperone activity.</w:t>
      </w:r>
    </w:p>
    <w:p>
      <w:pPr>
        <w:autoSpaceDN w:val="0"/>
        <w:autoSpaceDE w:val="0"/>
        <w:widowControl/>
        <w:spacing w:line="552" w:lineRule="exact" w:before="0" w:after="0"/>
        <w:ind w:left="722" w:right="676" w:firstLine="6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Because the PAS is a documented pro-fibrillar site [4–5], a heterologous peptide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remains there can lower the nucleation barrier for endogenous Aβ. FLLHTTR supplies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persistent polar net on the PAS (Figure 6F) that matches its docking pose (Figure 3C).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YLSLLQR buries surface (SASA 209.71 versus 212.25 nm²; Figure 7C) and is the most rigid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bound peptide. Folded AChE then presents a peptide-coated PAS on which Aβ oligomers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co-assemble, which is Lushchekina’s nucleation-centre picture applied to an oral ligand.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AChE–Aβ assemblies are already more synaptotoxic than free Aβ [4]. A bacterial micropeptide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the same site is a possible route to hybrid nuclei.</w:t>
      </w:r>
    </w:p>
    <w:p>
      <w:pPr>
        <w:autoSpaceDN w:val="0"/>
        <w:autoSpaceDE w:val="0"/>
        <w:widowControl/>
        <w:spacing w:line="266" w:lineRule="exact" w:before="466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From the oral cavity to cortical AChE</w:t>
      </w:r>
    </w:p>
    <w:p>
      <w:pPr>
        <w:autoSpaceDN w:val="0"/>
        <w:autoSpaceDE w:val="0"/>
        <w:widowControl/>
        <w:spacing w:line="552" w:lineRule="exact" w:before="60" w:after="694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Chronic periodontitis can move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P. gingivalis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products into blood through a disrupted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epithelium, gingipains and outer-membrane vesicles [8–9]. Systemic cytokines and proteases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increase BBB leakiness [6]. Short, leucine-rich, cationic peptides that scored BBB-high—a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label almost as common in the healthy library—could in principle reach interstitial fluid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[12,35]. PAS docking then supplies a landing site on an enzyme that is both a cholinergic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hydrolase and an amyloid chaperone. Meta-analyses link periodontal disease to cognitive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disorders, although effect sizes move with case definitions [10], and periodontitis tracked later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decline in an AD cohort [11]. A two-sample Mendelian randomization analysis did not support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genetic causal effect of periodontal disease on AD [14]. The twelve sequences are treated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pathogenic candidates because they occupy the experimentally mapped Aβ-binding PAS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26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27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722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 bound for 100 ns. Complex RMSD that stays at or below apo is local adaptation of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folded enzyme, not evidence that the peptide is harmless or that it is proven to seed amyloid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tissue.</w:t>
      </w:r>
    </w:p>
    <w:p>
      <w:pPr>
        <w:autoSpaceDN w:val="0"/>
        <w:autoSpaceDE w:val="0"/>
        <w:widowControl/>
        <w:spacing w:line="552" w:lineRule="exact" w:before="0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calculation therefore connects three literatures that are usually kept apart: oral smORF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peptide space [15,31], the PAS chaperone activity of AChE [4,18], and the periodontitis–AD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exposure context [12–13]. What it supports is a bounded structural hypothesis. What it does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replace is measured expression, transport, affinity or an Aβ-aggregation assay.</w:t>
      </w:r>
    </w:p>
    <w:p>
      <w:pPr>
        <w:autoSpaceDN w:val="0"/>
        <w:autoSpaceDE w:val="0"/>
        <w:widowControl/>
        <w:spacing w:line="310" w:lineRule="exact" w:before="528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Conclusions</w:t>
      </w:r>
    </w:p>
    <w:p>
      <w:pPr>
        <w:autoSpaceDN w:val="0"/>
        <w:autoSpaceDE w:val="0"/>
        <w:widowControl/>
        <w:spacing w:line="552" w:lineRule="exact" w:before="166" w:after="0"/>
        <w:ind w:left="722" w:right="676" w:firstLine="4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Twelve 7–9-aa peptides from a periodontitis-labelled oral smORF library dock to human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AChE. FLLHTTR, YLSLLQR and ALLLHRC remain on the surface for 100 ns 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unfolding the enzyme. FLLHTTR forms the densest PAS hydrogen-bond net; YLSLLQR is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complex that buries solvent-accessible surface. Healthy and periodontitis libraries differ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little on BBB-high rate; quorum sensing is the only head at which periodontitis is higher by ≥1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percentage point. Read against the amyloid cascade [2], the cholinergic hypothesis [3],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 chaperone work of Inestrosa, Lushchekina and Atanasova, the calculations support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possible mechanism in which oral pathogenic peptides occupy AChE, hinder acetylcholine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access, and co-nucleate Aβ on the same PAS.</w:t>
      </w:r>
    </w:p>
    <w:p>
      <w:pPr>
        <w:autoSpaceDN w:val="0"/>
        <w:autoSpaceDE w:val="0"/>
        <w:widowControl/>
        <w:spacing w:line="310" w:lineRule="exact" w:before="528" w:after="0"/>
        <w:ind w:left="7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References</w:t>
      </w:r>
    </w:p>
    <w:p>
      <w:pPr>
        <w:autoSpaceDN w:val="0"/>
        <w:autoSpaceDE w:val="0"/>
        <w:widowControl/>
        <w:spacing w:line="266" w:lineRule="exact" w:before="452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Scheltens P, De Strooper B, Kivipelto M, et al. Alzheimer’s disease.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Lancet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2021;397(10284):1577–1590. doi:10.1016/S0140-6736(20)32205-4.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1686"/>
        <w:ind w:left="722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Selkoe DJ, Hardy J. The amyloid hypothesis of Alzheimer’s disease at 25 years.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EMBO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Mol Med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2016;8(6):595–608. doi:10.15252/emmm.201606210.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27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28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1082" w:right="86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Hampel H, Mesulam MM, Cuello AC, et al. The cholinergic system in the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pathophysiology and treatment of Alzheimer’s disease.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Brain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2018;141(7):1917–1933.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doi:10.1093/brain/awy132.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Inestrosa NC, Alvarez A, Pérez CA, et al. Acetylcholinesterase accelerates assembly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amyloid-β-peptides into Alzheimer’s fibrils.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Neuron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1996;16(4):881–891.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doi:10.1016/s0896-6273(00)80108-7.</w:t>
      </w:r>
    </w:p>
    <w:p>
      <w:pPr>
        <w:autoSpaceDN w:val="0"/>
        <w:autoSpaceDE w:val="0"/>
        <w:widowControl/>
        <w:spacing w:line="552" w:lineRule="exact" w:before="0" w:after="0"/>
        <w:ind w:left="1082" w:right="86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De Ferrari GV, Canales MA, Shin I, et al. A structural motif of acetylcholinesterase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promotes amyloid β-peptide fibril formation.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Biochemistry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2001;40(35):10447–10457.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doi:10.1021/bi0101392.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Chalmers JC, Hernandez-Kapila YL. The role of the oral microbiome, host response,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periodontal disease treatment in Alzheimer’s disease: a primer.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Periodontol 2000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2025;98(1):220–227. doi:10.1111/prd.12631.</w:t>
      </w:r>
    </w:p>
    <w:p>
      <w:pPr>
        <w:autoSpaceDN w:val="0"/>
        <w:autoSpaceDE w:val="0"/>
        <w:widowControl/>
        <w:spacing w:line="552" w:lineRule="exact" w:before="0" w:after="0"/>
        <w:ind w:left="1082" w:right="86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Belstrøm D, Constancias F, Drautz-Moses DI, et al. Periodontitis associates with species-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 gene expression of the oral microbiota.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npj Biofilms Microbiomes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2021;7:76.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doi:10.1038/s41522-021-00247-y.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Guo Y, Nguyen KA, Potempa J. Dichotomy of gingipains action as virulence factors.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Periodontol 2000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2010;54(1):15–44. doi:10.1111/j.1600-0757.2010.00377.x.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Ho MH, Chen CH, Goodwin JS, et al. Functional advantages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Porphyromonas gingivalis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vesicles.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PLoS 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2015;10(4):e0123448. doi:10.1371/journal.pone.0123448.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Larvin H, Gao C, Kang J, et al. The impact of study factors in the association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periodontal disease and cognitive disorders.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Age Ageing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2023;52(2):afad015.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doi:10.1093/ageing/afad015.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1486"/>
        <w:ind w:left="72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 Ide M, Harris M, Stevens A, et al. Periodontitis and cognitive decline in Alzheimer’s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disease.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PLoS 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2016;11(3):e0151081. doi:10.1371/journal.pone.0151081.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28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29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tabs>
          <w:tab w:pos="1082" w:val="left"/>
        </w:tabs>
        <w:autoSpaceDE w:val="0"/>
        <w:widowControl/>
        <w:spacing w:line="552" w:lineRule="exact" w:before="294" w:after="0"/>
        <w:ind w:left="72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 Dominy SS, Lynch C, Ermini F, et al.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Porphyromonas gingivalis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Alzheimer’s disease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brains.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Sci Adv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2019;5(1):eaau3333. doi:10.1126/sciadv.aau3333.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 Ilievski V, Zuchowska PK, Green SJ, et al. Chronic oral application of a periodontal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pathogen results in brain inflammation, neurodegeneration and amyloid beta production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wild type mice.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PLoS 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2018;13(10):e0204941. doi:10.1371/journal.pone.0204941.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 Hu C, Li H, Huang L, et al. Periodontal disease and risk of Alzheimer’s disease: a two-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 Mendelian randomization.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Brain Behav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2024;14(4):e3486.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doi:10.1002/brb3.3486.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 Sberro H, Fremin BJ, Zlitni S, et al. Large-scale analyses of human microbiomes reveal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thousands of small, novel genes.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Cell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2019;178(5):1245–1259.e14.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doi:10.1016/j.cell.2019.07.016.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16. Durrant MG, Bhatt AS. Automated prediction and annotation of small open reading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frames in microbial genomes.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Cell Host Microbe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2021;29(1):121–131.e4.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doi:10.1016/j.chom.2020.11.002.</w:t>
      </w:r>
    </w:p>
    <w:p>
      <w:pPr>
        <w:autoSpaceDN w:val="0"/>
        <w:autoSpaceDE w:val="0"/>
        <w:widowControl/>
        <w:spacing w:line="552" w:lineRule="exact" w:before="0" w:after="0"/>
        <w:ind w:left="1082" w:right="144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17. Lushchekina SV, Kots ED, Novichkova DA, Petrov KA, Masson P. Role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acetylcholinesterase in β-amyloid aggregation studied by accelerated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dynamics.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BioNanoScience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2017;7(2):396–402. doi:10.1007/s12668-016-0375-x.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18. Atanasova M, Dimitrov I, Ivanov S. Molecular dynamics simulations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acetylcholinesterase–beta-amyloid peptide complex.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Cybern Inf Technol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2020;20(6):140–154. doi:10.2478/cait-2020-0068.</w:t>
      </w:r>
    </w:p>
    <w:p>
      <w:pPr>
        <w:autoSpaceDN w:val="0"/>
        <w:autoSpaceDE w:val="0"/>
        <w:widowControl/>
        <w:spacing w:line="552" w:lineRule="exact" w:before="0" w:after="2038"/>
        <w:ind w:left="1082" w:right="115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19. Bartolini M, Bertucci C, Cavrini V, Andrisano V. β-Amyloid aggregation induced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acetylcholinesterase: inhibition studies.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Biochem Pharmacol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2003;65(3):407–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416. doi:10.1016/s0006-2952(02)01514-9.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29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30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0"/>
        <w:ind w:left="1082" w:right="86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 Cheung J, Rudolph MJ, Burshteyn F, et al. Structures of human acetylcholinesterase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complex with pharmacologically important ligands.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 Med Chem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2012;55(23):10282–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10286. doi:10.1021/jm300871x.</w:t>
      </w:r>
    </w:p>
    <w:p>
      <w:pPr>
        <w:autoSpaceDN w:val="0"/>
        <w:autoSpaceDE w:val="0"/>
        <w:widowControl/>
        <w:spacing w:line="552" w:lineRule="exact" w:before="0" w:after="0"/>
        <w:ind w:left="1082" w:right="72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21. Chen T, Yu WH, Izard J, et al. The Human Oral Microbiome Database: a web accessible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resource for investigating oral microbe taxonomic and genomic information.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Database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(Oxford)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2010;2010:baq013. doi:10.1093/database/baq013.</w:t>
      </w:r>
    </w:p>
    <w:p>
      <w:pPr>
        <w:autoSpaceDN w:val="0"/>
        <w:autoSpaceDE w:val="0"/>
        <w:widowControl/>
        <w:spacing w:line="552" w:lineRule="exact" w:before="0" w:after="0"/>
        <w:ind w:left="720" w:right="100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22. Belstrøm D, Jersie-Christensen RR, Lyon D, et al. Metaproteomics of saliva identifies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protein markers specific for individuals with periodontitis and dental caries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compared to orally healthy controls.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PeerJ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2016;4:e2433. doi:10.7717/peerj.2433.</w:t>
      </w:r>
    </w:p>
    <w:p>
      <w:pPr>
        <w:autoSpaceDN w:val="0"/>
        <w:autoSpaceDE w:val="0"/>
        <w:widowControl/>
        <w:spacing w:line="552" w:lineRule="exact" w:before="0" w:after="0"/>
        <w:ind w:left="720" w:right="100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23. Du Z, Ding X, Xu Y, Li Y. UniDL4BioPep: a universal deep learning architecture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binary classification in peptide bioactivity.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Brief Bioinform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2023;24(3):bbad135.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doi:10.1093/bib/bbad135.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24. Rathore AS, Jain S, Choudhury S, Raghava GPS. A large language model for predicting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neurotoxic peptides and neurotoxins.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Protein Sci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2025;34(8):e70200.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doi:10.1002/pro.70200.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25. Aptekmann AA, Buongiorno J, Giovannelli D, et al. mebipred: identifying metal-binding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potential in protein sequence.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Bioinformatics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2022;38(14):3532–3540.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doi:10.1093/bioinformatics/btac358.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26. Olsen TH, Yesiltas B, Marin FI, et al. AnOxPePred: using deep learning for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prediction of antioxidative properties of peptides.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Sci Rep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2020;10:21471.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doi:10.1038/s41598-020-78319-w.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2038"/>
        <w:ind w:left="72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 Trott O, Olson AJ. AutoDock Vina: improving the speed and accuracy of docking with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new scoring function.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 Comput Chem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2010;31(2):455–461. doi:10.1002/jcc.21334.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30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31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tabs>
          <w:tab w:pos="1082" w:val="left"/>
        </w:tabs>
        <w:autoSpaceDE w:val="0"/>
        <w:widowControl/>
        <w:spacing w:line="552" w:lineRule="exact" w:before="294" w:after="0"/>
        <w:ind w:left="72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28. Eberhardt J, Santos-Martins D, Tillack AF, Forli S. AutoDock Vina 1.2.0: new docking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methods, expanded force field, and Python bindings.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 Chem Inf 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2021;61(8):3891–3898. doi:10.1021/acs.jcim.1c00203.</w:t>
      </w:r>
    </w:p>
    <w:p>
      <w:pPr>
        <w:autoSpaceDN w:val="0"/>
        <w:autoSpaceDE w:val="0"/>
        <w:widowControl/>
        <w:spacing w:line="552" w:lineRule="exact" w:before="0" w:after="0"/>
        <w:ind w:left="1082" w:right="86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29. Abraham MJ, Murtola T, Schulz R, et al. GROMACS: high performance molecular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simulations through multi-level parallelism from laptops to supercomputers.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SoftwareX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2015;1–2:19–25. doi:10.1016/j.softx.2015.06.001.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30. Lindorff-Larsen K, Piana S, Palmo K, et al. Improved side-chain torsion potentials for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Amber ff99SB protein force field.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Proteins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2010;78(8):1950–1958.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doi:10.1002/prot.22711.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31. Torres MDT, Brooks EF, Cesaro A, et al. Mining human microbiomes reveals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untapped source of peptide antibiotics.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Cell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2024;187(19):5453–5467.e15. </w:t>
      </w:r>
    </w:p>
    <w:p>
      <w:pPr>
        <w:autoSpaceDN w:val="0"/>
        <w:autoSpaceDE w:val="0"/>
        <w:widowControl/>
        <w:spacing w:line="266" w:lineRule="exact" w:before="28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doi:10.1016/j.cell.2024.07.027.</w:t>
      </w:r>
    </w:p>
    <w:p>
      <w:pPr>
        <w:autoSpaceDN w:val="0"/>
        <w:autoSpaceDE w:val="0"/>
        <w:widowControl/>
        <w:spacing w:line="552" w:lineRule="exact" w:before="0" w:after="0"/>
        <w:ind w:left="1082" w:right="72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32. Escapa IF, Chen T, Huang Y, et al. New insights into human nostril microbiome from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expanded Human Oral Microbiome Database (eHOMD).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2018;3(3):e00187-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18. doi:10.1128/mSystems.00187-18.</w:t>
      </w:r>
    </w:p>
    <w:p>
      <w:pPr>
        <w:autoSpaceDN w:val="0"/>
        <w:tabs>
          <w:tab w:pos="1082" w:val="left"/>
        </w:tabs>
        <w:autoSpaceDE w:val="0"/>
        <w:widowControl/>
        <w:spacing w:line="552" w:lineRule="exact" w:before="0" w:after="0"/>
        <w:ind w:left="72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33. Jiang X, Zhang Y, Wang H, et al. In-depth metaproteomics analysis of oral microbiome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lung cancer.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Research (Wash D 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2022;2022:9781578. doi:10.34133/2022/9781578.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34. Yuan J, Cao Q, Chen M, et al. OSaMPle workflow for salivary metaproteomics analysis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reveals dysbiosis in inflammatory bowel disease patients.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npj Biofilms Microbiomes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2025;11:63. doi:10.1038/s41522-025-00692-z.</w:t>
      </w:r>
    </w:p>
    <w:p>
      <w:pPr>
        <w:autoSpaceDN w:val="0"/>
        <w:autoSpaceDE w:val="0"/>
        <w:widowControl/>
        <w:spacing w:line="552" w:lineRule="exact" w:before="0" w:after="2038"/>
        <w:ind w:left="1082" w:right="576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35. Gu Y, Chen P, Wang B, et al. Prediction of blood-brain barrier penetrating peptides 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data augmentation with Augur.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BMC Biol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2024;22:86. doi:10.1186/s12915-024-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01883-4.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31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700" w:bottom="2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9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32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552" w:lineRule="exact" w:before="294" w:after="13078"/>
        <w:ind w:left="1082" w:right="576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36. Kryger G, Silman I, Sussman JL. Structure of acetylcholinesterase complexed with E2020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(Aricept): implications for drug design.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1999;7(3):297–307.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doi:10.1016/s0969-2126(99)80040-9.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20955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6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Page 32 of 32 - AI Writing Submission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46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91919"/>
                <w:sz w:val="12"/>
              </w:rPr>
              <w:t>Submission ID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181818"/>
                <w:sz w:val="12"/>
              </w:rPr>
              <w:t>trn:oid:::6:262983049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0" w:right="700" w:bottom="274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