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9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 of 34 - Cover Page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850" w:after="0"/>
        <w:ind w:left="4" w:right="0" w:firstLine="0"/>
        <w:jc w:val="left"/>
      </w:pPr>
      <w:r>
        <w:rPr>
          <w:rFonts w:ascii="Lexend Deca SemiBold" w:hAnsi="Lexend Deca SemiBold" w:eastAsia="Lexend Deca SemiBold"/>
          <w:b/>
          <w:i w:val="0"/>
          <w:color w:val="191919"/>
          <w:sz w:val="40"/>
        </w:rPr>
        <w:t>Test Author</w:t>
      </w:r>
    </w:p>
    <w:p>
      <w:pPr>
        <w:autoSpaceDN w:val="0"/>
        <w:autoSpaceDE w:val="0"/>
        <w:widowControl/>
        <w:spacing w:line="240" w:lineRule="auto" w:before="160" w:after="76"/>
        <w:ind w:left="4" w:right="0" w:firstLine="0"/>
        <w:jc w:val="left"/>
      </w:pPr>
      <w:r>
        <w:rPr>
          <w:rFonts w:ascii="Lexend Deca Medium" w:hAnsi="Lexend Deca Medium" w:eastAsia="Lexend Deca Medium"/>
          <w:b w:val="0"/>
          <w:i w:val="0"/>
          <w:color w:val="191919"/>
          <w:sz w:val="34"/>
        </w:rPr>
        <w:t>English.docx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620"/>
        </w:trPr>
        <w:tc>
          <w:tcPr>
            <w:tcW w:type="dxa" w:w="32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36363"/>
                <w:sz w:val="16"/>
              </w:rPr>
              <w:t>Universidad Javeriana - Académico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0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20"/>
        </w:rPr>
        <w:t>Document Details</w:t>
      </w:r>
    </w:p>
    <w:p>
      <w:pPr>
        <w:autoSpaceDN w:val="0"/>
        <w:autoSpaceDE w:val="0"/>
        <w:widowControl/>
        <w:spacing w:line="242" w:lineRule="auto" w:before="312" w:after="24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>Submission 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414"/>
        <w:gridCol w:w="5414"/>
      </w:tblGrid>
      <w:tr>
        <w:trPr>
          <w:trHeight w:hRule="exact" w:val="1156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64" w:after="0"/>
              <w:ind w:left="20" w:right="5472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81818"/>
                <w:sz w:val="14"/>
              </w:rPr>
              <w:t xml:space="preserve">trn:oid:::6:262983049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636363"/>
                <w:sz w:val="14"/>
              </w:rPr>
              <w:t xml:space="preserve">Submission Date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Sep 28, 2026, 9:17 AM GMT</w:t>
            </w:r>
          </w:p>
        </w:tc>
        <w:tc>
          <w:tcPr>
            <w:tcW w:type="dxa" w:w="178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9" w:lineRule="auto" w:before="24" w:after="0"/>
              <w:ind w:left="240" w:right="28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 xml:space="preserve">29 Pages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 xml:space="preserve">5,791 Words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33,564 Characters</w:t>
            </w:r>
          </w:p>
        </w:tc>
      </w:tr>
    </w:tbl>
    <w:p>
      <w:pPr>
        <w:autoSpaceDN w:val="0"/>
        <w:autoSpaceDE w:val="0"/>
        <w:widowControl/>
        <w:spacing w:line="298" w:lineRule="auto" w:before="68" w:after="0"/>
        <w:ind w:left="4" w:right="8928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Download Date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Sep 28, 2026, 9:21 AM GMT</w:t>
      </w:r>
    </w:p>
    <w:p>
      <w:pPr>
        <w:autoSpaceDN w:val="0"/>
        <w:autoSpaceDE w:val="0"/>
        <w:widowControl/>
        <w:spacing w:line="298" w:lineRule="auto" w:before="248" w:after="0"/>
        <w:ind w:left="4" w:right="9936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File Name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English.docx</w:t>
      </w:r>
    </w:p>
    <w:p>
      <w:pPr>
        <w:autoSpaceDN w:val="0"/>
        <w:autoSpaceDE w:val="0"/>
        <w:widowControl/>
        <w:spacing w:line="298" w:lineRule="auto" w:before="248" w:after="2098"/>
        <w:ind w:left="0" w:right="10224" w:firstLine="0"/>
        <w:jc w:val="center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File Size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772.1 KB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7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 of 34 - Cover Page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696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9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 of 34 - Integrity Overview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54" w:lineRule="auto" w:before="314" w:after="0"/>
        <w:ind w:left="4" w:right="5184" w:firstLine="0"/>
        <w:jc w:val="left"/>
      </w:pPr>
      <w:r>
        <w:rPr>
          <w:rFonts w:ascii="Lexend Deca Medium" w:hAnsi="Lexend Deca Medium" w:eastAsia="Lexend Deca Medium"/>
          <w:b w:val="0"/>
          <w:i w:val="0"/>
          <w:color w:val="191919"/>
          <w:sz w:val="34"/>
        </w:rPr>
        <w:t>10%</w:t>
      </w:r>
      <w:r>
        <w:rPr>
          <w:rFonts w:ascii="Lexend Deca Medium" w:hAnsi="Lexend Deca Medium" w:eastAsia="Lexend Deca Medium"/>
          <w:b w:val="0"/>
          <w:i w:val="0"/>
          <w:color w:val="191919"/>
          <w:sz w:val="34"/>
        </w:rPr>
        <w:t xml:space="preserve">Overall Similarity </w:t>
      </w:r>
      <w:r>
        <w:br/>
      </w:r>
      <w:r>
        <w:rPr>
          <w:rFonts w:ascii="Noto Sans" w:hAnsi="Noto Sans" w:eastAsia="Noto Sans"/>
          <w:b w:val="0"/>
          <w:i w:val="0"/>
          <w:color w:val="636363"/>
          <w:sz w:val="14"/>
        </w:rPr>
        <w:t>The combined total of all matches, including overlapping sources, for each database.</w:t>
      </w:r>
    </w:p>
    <w:p>
      <w:pPr>
        <w:autoSpaceDN w:val="0"/>
        <w:autoSpaceDE w:val="0"/>
        <w:widowControl/>
        <w:spacing w:line="240" w:lineRule="auto" w:before="240" w:after="76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20"/>
        </w:rPr>
        <w:t>Filtered from the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6"/>
        <w:gridCol w:w="2166"/>
        <w:gridCol w:w="2166"/>
        <w:gridCol w:w="2166"/>
        <w:gridCol w:w="2166"/>
      </w:tblGrid>
      <w:tr>
        <w:trPr>
          <w:trHeight w:hRule="exact" w:val="498"/>
        </w:trPr>
        <w:tc>
          <w:tcPr>
            <w:tcW w:type="dxa" w:w="24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Quoted Text</w:t>
            </w:r>
          </w:p>
        </w:tc>
        <w:tc>
          <w:tcPr>
            <w:tcW w:type="dxa" w:w="60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6" w:after="0"/>
              <w:ind w:left="45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20"/>
              </w:rPr>
              <w:t>Top Sources</w:t>
            </w:r>
          </w:p>
        </w:tc>
      </w:tr>
      <w:tr>
        <w:trPr>
          <w:trHeight w:hRule="exact" w:val="660"/>
        </w:trPr>
        <w:tc>
          <w:tcPr>
            <w:tcW w:type="dxa" w:w="4804"/>
            <w:gridSpan w:val="2"/>
            <w:tcBorders>
              <w:top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20"/>
              </w:rPr>
              <w:t>Match Groups</w:t>
            </w:r>
          </w:p>
        </w:tc>
        <w:tc>
          <w:tcPr>
            <w:tcW w:type="dxa" w:w="6498"/>
            <w:gridSpan w:val="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06" w:after="0"/>
              <w:ind w:left="100" w:right="576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70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Not Cited or Quoted  10%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with neither in-text citation nor quotation marks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0" w:right="13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5%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950" cy="1079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0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Internet sources</w:t>
            </w:r>
          </w:p>
        </w:tc>
      </w:tr>
      <w:tr>
        <w:trPr>
          <w:trHeight w:hRule="exact" w:val="220"/>
        </w:trPr>
        <w:tc>
          <w:tcPr>
            <w:tcW w:type="dxa" w:w="2166"/>
            <w:vMerge/>
            <w:tcBorders/>
          </w:tcPr>
          <w:p/>
        </w:tc>
        <w:tc>
          <w:tcPr>
            <w:tcW w:type="dxa" w:w="216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0" w:right="13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5%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787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78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Publications</w:t>
            </w:r>
          </w:p>
        </w:tc>
      </w:tr>
      <w:tr>
        <w:trPr>
          <w:trHeight w:hRule="exact" w:val="460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6" w:after="0"/>
              <w:ind w:left="100" w:right="100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Missing Quotations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that are still very similar to source material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0" w:right="13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0%</w:t>
            </w:r>
          </w:p>
        </w:tc>
        <w:tc>
          <w:tcPr>
            <w:tcW w:type="dxa" w:w="300"/>
            <w:vMerge w:val="restart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550" cy="825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82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Submitted works (Student Papers)</w:t>
            </w:r>
          </w:p>
        </w:tc>
      </w:tr>
      <w:tr>
        <w:trPr>
          <w:trHeight w:hRule="exact" w:val="500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86" w:after="0"/>
              <w:ind w:left="100" w:right="576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Missing Citation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that have quotation marks, but no in-text citation</w:t>
            </w:r>
          </w:p>
        </w:tc>
        <w:tc>
          <w:tcPr>
            <w:tcW w:type="dxa" w:w="2166"/>
            <w:vMerge/>
            <w:tcBorders/>
          </w:tcPr>
          <w:p/>
        </w:tc>
        <w:tc>
          <w:tcPr>
            <w:tcW w:type="dxa" w:w="2166"/>
            <w:vMerge/>
            <w:tcBorders>
              <w:bottom w:sz="4.0" w:val="single" w:color="#CCCCCC"/>
            </w:tcBorders>
          </w:tcPr>
          <w:p/>
        </w:tc>
        <w:tc>
          <w:tcPr>
            <w:tcW w:type="dxa" w:w="2166"/>
            <w:vMerge/>
            <w:tcBorders/>
          </w:tcPr>
          <w:p/>
        </w:tc>
      </w:tr>
      <w:tr>
        <w:trPr>
          <w:trHeight w:hRule="exact" w:val="664"/>
        </w:trPr>
        <w:tc>
          <w:tcPr>
            <w:tcW w:type="dxa" w:w="24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86" w:after="0"/>
              <w:ind w:left="100" w:right="28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Cited and Quoted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with in-text citation present, but no quotation marks</w:t>
            </w:r>
          </w:p>
        </w:tc>
        <w:tc>
          <w:tcPr>
            <w:tcW w:type="dxa" w:w="2166"/>
            <w:vMerge/>
            <w:tcBorders/>
          </w:tcPr>
          <w:p/>
        </w:tc>
        <w:tc>
          <w:tcPr>
            <w:tcW w:type="dxa" w:w="2166"/>
            <w:vMerge/>
            <w:tcBorders>
              <w:bottom w:sz="4.0" w:val="single" w:color="#CCCCCC"/>
            </w:tcBorders>
          </w:tcPr>
          <w:p/>
        </w:tc>
        <w:tc>
          <w:tcPr>
            <w:tcW w:type="dxa" w:w="2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60" w:after="140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20"/>
        </w:rPr>
        <w:t>Integrity Flags</w:t>
      </w:r>
    </w:p>
    <w:p>
      <w:pPr>
        <w:sectPr>
          <w:pgSz w:w="12240" w:h="15840"/>
          <w:pgMar w:top="240" w:right="696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auto" w:before="0" w:after="0"/>
        <w:ind w:left="4" w:right="1296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 xml:space="preserve">0 Integrity Flags for Review </w:t>
      </w:r>
      <w:r>
        <w:br/>
      </w:r>
      <w:r>
        <w:rPr>
          <w:rFonts w:ascii="Noto Sans" w:hAnsi="Noto Sans" w:eastAsia="Noto Sans"/>
          <w:b w:val="0"/>
          <w:i w:val="0"/>
          <w:color w:val="636363"/>
          <w:sz w:val="14"/>
        </w:rPr>
        <w:t>No suspicious text manipulations found.</w:t>
      </w:r>
    </w:p>
    <w:p>
      <w:pPr>
        <w:sectPr>
          <w:type w:val="continuous"/>
          <w:pgSz w:w="12240" w:h="15840"/>
          <w:pgMar w:top="240" w:right="696" w:bottom="276" w:left="716" w:header="720" w:footer="720" w:gutter="0"/>
          <w:cols w:num="2" w:equalWidth="0">
            <w:col w:w="3980" w:space="0"/>
            <w:col w:w="6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3.9999999999998" w:type="dxa"/>
      </w:tblPr>
      <w:tblGrid>
        <w:gridCol w:w="10828"/>
      </w:tblGrid>
      <w:tr>
        <w:trPr>
          <w:trHeight w:hRule="exact" w:val="698"/>
        </w:trPr>
        <w:tc>
          <w:tcPr>
            <w:tcW w:type="dxa" w:w="5320"/>
            <w:tcBorders/>
            <w:shd w:fill="d0e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240" w:right="288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2C2C2C"/>
                <w:sz w:val="12"/>
              </w:rPr>
              <w:t xml:space="preserve">Our system's algorithms look deeply at a document for any inconsistencies that </w:t>
            </w:r>
            <w:r>
              <w:rPr>
                <w:rFonts w:ascii="Noto Sans" w:hAnsi="Noto Sans" w:eastAsia="Noto Sans"/>
                <w:b w:val="0"/>
                <w:i w:val="0"/>
                <w:color w:val="2C2C2C"/>
                <w:sz w:val="12"/>
              </w:rPr>
              <w:t xml:space="preserve">would set it apart from a normal submission. If we notice something strange, we flag </w:t>
            </w:r>
            <w:r>
              <w:rPr>
                <w:rFonts w:ascii="Noto Sans" w:hAnsi="Noto Sans" w:eastAsia="Noto Sans"/>
                <w:b w:val="0"/>
                <w:i w:val="0"/>
                <w:color w:val="2C2C2C"/>
                <w:sz w:val="12"/>
              </w:rPr>
              <w:t>it for you to review.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3.9999999999998" w:type="dxa"/>
      </w:tblPr>
      <w:tblGrid>
        <w:gridCol w:w="10828"/>
      </w:tblGrid>
      <w:tr>
        <w:trPr>
          <w:trHeight w:hRule="exact" w:val="424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00" w:right="288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2C2C2C"/>
                <w:sz w:val="12"/>
              </w:rPr>
              <w:t xml:space="preserve">A Flag is not necessarily an indicator of a problem. However, we'd recommend you </w:t>
            </w:r>
            <w:r>
              <w:rPr>
                <w:rFonts w:ascii="Noto Sans" w:hAnsi="Noto Sans" w:eastAsia="Noto Sans"/>
                <w:b w:val="0"/>
                <w:i w:val="0"/>
                <w:color w:val="2C2C2C"/>
                <w:sz w:val="12"/>
              </w:rPr>
              <w:t>focus your attention there for further review.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7314"/>
        <w:ind w:left="0" w:right="0"/>
      </w:pPr>
    </w:p>
    <w:p>
      <w:pPr>
        <w:sectPr>
          <w:type w:val="nextColumn"/>
          <w:pgSz w:w="12240" w:h="15840"/>
          <w:pgMar w:top="240" w:right="696" w:bottom="276" w:left="716" w:header="720" w:footer="720" w:gutter="0"/>
          <w:cols w:num="2" w:equalWidth="0">
            <w:col w:w="3980" w:space="0"/>
            <w:col w:w="6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1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 of 34 - Integrity Overview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40" w:right="696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460"/>
        </w:trPr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 of 34 - Integrity Overview</w:t>
            </w:r>
          </w:p>
        </w:tc>
        <w:tc>
          <w:tcPr>
            <w:tcW w:type="dxa" w:w="3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6" w:after="0"/>
              <w:ind w:left="44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20"/>
              </w:rPr>
              <w:t>Top Sources</w:t>
            </w:r>
          </w:p>
        </w:tc>
        <w:tc>
          <w:tcPr>
            <w:tcW w:type="dxa" w:w="1080"/>
            <w:vMerge w:val="restart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24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4"/>
            <w:vMerge w:val="restart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480"/>
        </w:trPr>
        <w:tc>
          <w:tcPr>
            <w:tcW w:type="dxa" w:w="4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20"/>
              </w:rPr>
              <w:t>Match Groups</w:t>
            </w:r>
          </w:p>
        </w:tc>
        <w:tc>
          <w:tcPr>
            <w:tcW w:type="dxa" w:w="4059"/>
            <w:gridSpan w:val="3"/>
            <w:vMerge/>
            <w:tcBorders/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  <w:tr>
        <w:trPr>
          <w:trHeight w:hRule="exact" w:val="340"/>
        </w:trPr>
        <w:tc>
          <w:tcPr>
            <w:tcW w:type="dxa" w:w="3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77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40" w:right="576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70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Not Cited or Quoted  10%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with neither in-text citation nor quotation marks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12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5%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950" cy="1079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0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Internet sources</w:t>
            </w:r>
          </w:p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  <w:tr>
        <w:trPr>
          <w:trHeight w:hRule="exact" w:val="240"/>
        </w:trPr>
        <w:tc>
          <w:tcPr>
            <w:tcW w:type="dxa" w:w="1353"/>
            <w:vMerge/>
            <w:tcBorders/>
          </w:tcPr>
          <w:p/>
        </w:tc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12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5%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787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7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Publications</w:t>
            </w:r>
          </w:p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  <w:tr>
        <w:trPr>
          <w:trHeight w:hRule="exact" w:val="460"/>
        </w:trPr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77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4" w:after="0"/>
              <w:ind w:left="40" w:right="100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Missing Quotations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that are still very similar to source material</w:t>
            </w:r>
          </w:p>
        </w:tc>
        <w:tc>
          <w:tcPr>
            <w:tcW w:type="dxa" w:w="760"/>
            <w:vMerge w:val="restart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0" w:right="124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0%</w:t>
            </w:r>
          </w:p>
        </w:tc>
        <w:tc>
          <w:tcPr>
            <w:tcW w:type="dxa" w:w="320"/>
            <w:vMerge w:val="restart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550" cy="825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82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12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>Submitted works (Student Papers)</w:t>
            </w:r>
          </w:p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  <w:tr>
        <w:trPr>
          <w:trHeight w:hRule="exact" w:val="500"/>
        </w:trPr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4" w:after="0"/>
              <w:ind w:left="40" w:right="576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Missing Citation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that have quotation marks, but no in-text citation</w:t>
            </w:r>
          </w:p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/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  <w:tr>
        <w:trPr>
          <w:trHeight w:hRule="exact" w:val="840"/>
        </w:trPr>
        <w:tc>
          <w:tcPr>
            <w:tcW w:type="dxa" w:w="30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77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gridSpan w:val="2"/>
            <w:tcBorders>
              <w:bottom w:sz="4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4" w:after="0"/>
              <w:ind w:left="40" w:right="28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0</w:t>
            </w:r>
            <w:r>
              <w:rPr>
                <w:rFonts w:ascii="Noto Sans" w:hAnsi="Noto Sans" w:eastAsia="Noto Sans"/>
                <w:b w:val="0"/>
                <w:i w:val="0"/>
                <w:color w:val="191919"/>
                <w:sz w:val="14"/>
              </w:rPr>
              <w:t xml:space="preserve"> Cited and Quoted  0%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636363"/>
                <w:sz w:val="14"/>
              </w:rPr>
              <w:t>Matches with in-text citation present, but no quotation marks</w:t>
            </w:r>
          </w:p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/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  <w:tc>
          <w:tcPr>
            <w:tcW w:type="dxa" w:w="1353"/>
            <w:vMerge/>
            <w:tcBorders>
              <w:bottom w:sz="4.0" w:val="single" w:color="#CCCCCC"/>
            </w:tcBorders>
          </w:tcPr>
          <w:p/>
        </w:tc>
      </w:tr>
    </w:tbl>
    <w:p>
      <w:pPr>
        <w:autoSpaceDN w:val="0"/>
        <w:autoSpaceDE w:val="0"/>
        <w:widowControl/>
        <w:spacing w:line="298" w:lineRule="auto" w:before="286" w:after="398"/>
        <w:ind w:left="4" w:right="3168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20"/>
        </w:rPr>
        <w:t xml:space="preserve">Top Sources </w:t>
      </w:r>
      <w:r>
        <w:br/>
      </w:r>
      <w:r>
        <w:rPr>
          <w:rFonts w:ascii="Noto Sans" w:hAnsi="Noto Sans" w:eastAsia="Noto Sans"/>
          <w:b w:val="0"/>
          <w:i w:val="0"/>
          <w:color w:val="636363"/>
          <w:sz w:val="14"/>
        </w:rPr>
        <w:t>The sources with the highest number of matches within the submission. Overlapping sources will not be displayed.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5"/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49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Noto Sans SemiBold" w:hAnsi="Noto Sans SemiBold" w:eastAsia="Noto Sans SemiBold"/>
                <w:b/>
                <w:i w:val="0"/>
                <w:color w:val="FEFEFE"/>
                <w:sz w:val="14"/>
              </w:rPr>
              <w:t>1</w:t>
            </w:r>
          </w:p>
        </w:tc>
        <w:tc>
          <w:tcPr>
            <w:tcW w:type="dxa" w:w="6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3" w:history="1">
                <w:r>
                  <w:rPr>
                    <w:rStyle w:val="Hyperlink"/>
                  </w:rPr>
                  <w:t>www.ijpsjournal.com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3%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4" w:history="1">
                <w:r>
                  <w:rPr>
                    <w:rStyle w:val="Hyperlink"/>
                  </w:rPr>
                  <w:t>Periodontitis associates with species-specific gene expression of the oral m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5" w:history="1">
                <w:r>
                  <w:rPr>
                    <w:rStyle w:val="Hyperlink"/>
                  </w:rPr>
                  <w:t>The impact of study factors in the association of periodontal disease and co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6" w:history="1">
                <w:r>
                  <w:rPr>
                    <w:rStyle w:val="Hyperlink"/>
                  </w:rPr>
                  <w:t>arabjchem.org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7" w:history="1">
                <w:r>
                  <w:rPr>
                    <w:rStyle w:val="Hyperlink"/>
                  </w:rPr>
                  <w:t>Inhibition mechanism of alpha-amylase, a diabetes target, by a steroidal pre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8" w:history="1">
                <w:r>
                  <w:rPr>
                    <w:rStyle w:val="Hyperlink"/>
                  </w:rPr>
                  <w:t>1 Small antimicrobial resistance proteins (SARPs)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29" w:history="1">
                <w:r>
                  <w:rPr>
                    <w:rStyle w:val="Hyperlink"/>
                  </w:rPr>
                  <w:t>article.accscience.com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0" w:history="1">
                <w:r>
                  <w:rPr>
                    <w:rStyle w:val="Hyperlink"/>
                  </w:rPr>
                  <w:t>The potential connection between inflammatory bowel disease and Alzheimer's 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1" w:history="1">
                <w:r>
                  <w:rPr>
                    <w:rStyle w:val="Hyperlink"/>
                  </w:rPr>
                  <w:t>Deciphering the mechanisms underlying the dual-target inhibition of carbohyd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2" w:history="1">
                <w:r>
                  <w:rPr>
                    <w:rStyle w:val="Hyperlink"/>
                  </w:rPr>
                  <w:t>storage.wjgnet.com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50"/>
        </w:trPr>
        <w:tc>
          <w:tcPr>
            <w:tcW w:type="dxa" w:w="126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6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6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 of 34 - Integrity Overview</w:t>
            </w: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6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6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696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  <w:gridCol w:w="1804"/>
      </w:tblGrid>
      <w:tr>
        <w:trPr>
          <w:trHeight w:hRule="exact" w:val="720"/>
        </w:trPr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4 of 34 - Integrity Overview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0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3" w:history="1">
                <w:r>
                  <w:rPr>
                    <w:rStyle w:val="Hyperlink"/>
                  </w:rPr>
                  <w:t>d-nb.info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4" w:history="1">
                <w:r>
                  <w:rPr>
                    <w:rStyle w:val="Hyperlink"/>
                  </w:rPr>
                  <w:t>haatajagroup.mycpanel.princeton.edu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5" w:history="1">
                <w:r>
                  <w:rPr>
                    <w:rStyle w:val="Hyperlink"/>
                  </w:rPr>
                  <w:t>pbmfoundation.org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6" w:history="1">
                <w:r>
                  <w:rPr>
                    <w:rStyle w:val="Hyperlink"/>
                  </w:rPr>
                  <w:t>Salivary Microbiota for Gastric Cancer Prediction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7" w:history="1">
                <w:r>
                  <w:rPr>
                    <w:rStyle w:val="Hyperlink"/>
                  </w:rPr>
                  <w:t>Nerve growth factor pathobiology during the progression of Alzheimer's disease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8" w:history="1">
                <w:r>
                  <w:rPr>
                    <w:rStyle w:val="Hyperlink"/>
                  </w:rPr>
                  <w:t>enigma.rutgers.edu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39" w:history="1">
                <w:r>
                  <w:rPr>
                    <w:rStyle w:val="Hyperlink"/>
                  </w:rPr>
                  <w:t>Functional Advantages of Porphyromonas gingivalis Vesicles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0" w:history="1">
                <w:r>
                  <w:rPr>
                    <w:rStyle w:val="Hyperlink"/>
                  </w:rPr>
                  <w:t>pneumonia. Frontiers in Rehabilitation Sciences, 5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1" w:history="1">
                <w:r>
                  <w:rPr>
                    <w:rStyle w:val="Hyperlink"/>
                  </w:rPr>
                  <w:t>search.proquest.com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2" w:history="1">
                <w:r>
                  <w:rPr>
                    <w:rStyle w:val="Hyperlink"/>
                  </w:rPr>
                  <w:t>The oral microbiome and atherosclerosis: current evidence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3" w:history="1">
                <w:r>
                  <w:rPr>
                    <w:rStyle w:val="Hyperlink"/>
                  </w:rPr>
                  <w:t>Multi-Target Mechanisms of Phytochemicals in Alzheimer's Disease: Effects on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4" w:history="1">
                <w:r>
                  <w:rPr>
                    <w:rStyle w:val="Hyperlink"/>
                  </w:rPr>
                  <w:t>The role of the oral microbiome, host response, and periodontal disease trea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5" w:history="1">
                <w:r>
                  <w:rPr>
                    <w:rStyle w:val="Hyperlink"/>
                  </w:rPr>
                  <w:t>Dichotomy of gingipains action as virulence factors: from cleaving substrate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6" w:history="1">
                <w:r>
                  <w:rPr>
                    <w:rStyle w:val="Hyperlink"/>
                  </w:rPr>
                  <w:t>Gut microbiota analysis reveals microbial signature for multi-autoimmune dis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0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60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7" w:history="1">
                <w:r>
                  <w:rPr>
                    <w:rStyle w:val="Hyperlink"/>
                  </w:rPr>
                  <w:t>Dental devices and antimicrobial resistance: challenges, innovations, and re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0"/>
        </w:trPr>
        <w:tc>
          <w:tcPr>
            <w:tcW w:type="dxa" w:w="126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4 of 34 - Integrity Overview</w:t>
            </w: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700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  <w:gridCol w:w="1804"/>
      </w:tblGrid>
      <w:tr>
        <w:trPr>
          <w:trHeight w:hRule="exact" w:val="720"/>
        </w:trPr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5 of 34 - Integrity Overview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00"/>
        </w:trPr>
        <w:tc>
          <w:tcPr>
            <w:tcW w:type="dxa" w:w="49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Noto Sans SemiBold" w:hAnsi="Noto Sans SemiBold" w:eastAsia="Noto Sans SemiBold"/>
                <w:b/>
                <w:i w:val="0"/>
                <w:color w:val="FEFEFE"/>
                <w:sz w:val="14"/>
              </w:rPr>
              <w:t>26</w:t>
            </w:r>
          </w:p>
        </w:tc>
        <w:tc>
          <w:tcPr>
            <w:tcW w:type="dxa" w:w="6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8" w:history="1">
                <w:r>
                  <w:rPr>
                    <w:rStyle w:val="Hyperlink"/>
                  </w:rPr>
                  <w:t>The Impact of Scaling and Root Planing on Porphyromonas gingivalis Load and  ...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49" w:history="1">
                <w:r>
                  <w:rPr>
                    <w:rStyle w:val="Hyperlink"/>
                  </w:rPr>
                  <w:t>www.donatogiovannelli.com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0" w:history="1">
                <w:r>
                  <w:rPr>
                    <w:rStyle w:val="Hyperlink"/>
                  </w:rPr>
                  <w:t>apothesis.eap.gr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1" w:history="1">
                <w:r>
                  <w:rPr>
                    <w:rStyle w:val="Hyperlink"/>
                  </w:rPr>
                  <w:t>www.thelancet.com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2" w:history="1">
                <w:r>
                  <w:rPr>
                    <w:rStyle w:val="Hyperlink"/>
                  </w:rPr>
                  <w:t>The human microbiome in clinical translation: from bench to bedside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Internet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3" w:history="1">
                <w:r>
                  <w:rPr>
                    <w:rStyle w:val="Hyperlink"/>
                  </w:rPr>
                  <w:t>strathprints.strath.ac.uk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d6e4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4" w:history="1">
                <w:r>
                  <w:rPr>
                    <w:rStyle w:val="Hyperlink"/>
                  </w:rPr>
                  <w:t>Structural basis of dimerization of chemokine receptors CCR5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c1ec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5" w:history="1">
                <w:r>
                  <w:rPr>
                    <w:rStyle w:val="Hyperlink"/>
                  </w:rPr>
                  <w:t>Clinical prediction of intravenous immunoglobulin-resistant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ecdf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6" w:history="1">
                <w:r>
                  <w:rPr>
                    <w:rStyle w:val="Hyperlink"/>
                  </w:rPr>
                  <w:t>Aryl hydrocarbon receptor regulates programmed cell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49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94"/>
            </w:tblGrid>
            <w:tr>
              <w:trPr>
                <w:trHeight w:hRule="exact" w:val="280"/>
              </w:trPr>
              <w:tc>
                <w:tcPr>
                  <w:tcW w:type="dxa" w:w="490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FEFEFE"/>
                      <w:sz w:val="14"/>
                    </w:rPr>
                    <w:t>35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1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6514"/>
            </w:tblGrid>
            <w:tr>
              <w:trPr>
                <w:trHeight w:hRule="exact" w:val="280"/>
              </w:trPr>
              <w:tc>
                <w:tcPr>
                  <w:tcW w:type="dxa" w:w="1400"/>
                  <w:tcBorders/>
                  <w:shd w:fill="fdd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Noto Sans SemiBold" w:hAnsi="Noto Sans SemiBold" w:eastAsia="Noto Sans SemiBold"/>
                      <w:b/>
                      <w:i w:val="0"/>
                      <w:color w:val="191919"/>
                      <w:sz w:val="14"/>
                    </w:rPr>
                    <w:t>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008"/>
            <w:gridSpan w:val="3"/>
            <w:tcBorders>
              <w:bottom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hyperlink r:id="rId57" w:history="1">
                <w:r>
                  <w:rPr>
                    <w:rStyle w:val="Hyperlink"/>
                  </w:rPr>
                  <w:t>www.frontiersin.org</w:t>
                </w:r>
              </w:hyperlink>
            </w:r>
          </w:p>
        </w:tc>
        <w:tc>
          <w:tcPr>
            <w:tcW w:type="dxa" w:w="996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6"/>
              </w:rPr>
              <w:t>&lt;1%</w:t>
            </w:r>
          </w:p>
        </w:tc>
        <w:tc>
          <w:tcPr>
            <w:tcW w:type="dxa" w:w="154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4.0" w:val="single" w:color="#E5E5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10"/>
        </w:trPr>
        <w:tc>
          <w:tcPr>
            <w:tcW w:type="dxa" w:w="1264"/>
            <w:gridSpan w:val="2"/>
            <w:tcBorders>
              <w:top w:sz="4.0" w:val="single" w:color="#E5E5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96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4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66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5 of 34 - Integrity Overview</w:t>
            </w:r>
          </w:p>
        </w:tc>
        <w:tc>
          <w:tcPr>
            <w:tcW w:type="dxa" w:w="996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66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>
              <w:top w:sz="4.0" w:val="single" w:color="#E5E5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66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700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6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30" w:lineRule="auto" w:before="824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Periodontitis oral smORFs yield micropeptides that occupy the AChE </w:t>
      </w:r>
    </w:p>
    <w:p>
      <w:pPr>
        <w:autoSpaceDN w:val="0"/>
        <w:autoSpaceDE w:val="0"/>
        <w:widowControl/>
        <w:spacing w:line="230" w:lineRule="auto" w:before="35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peripheral site: 22-task UniDL4BioPep scoring, docking, and 100-ns </w:t>
      </w:r>
    </w:p>
    <w:p>
      <w:pPr>
        <w:autoSpaceDN w:val="0"/>
        <w:autoSpaceDE w:val="0"/>
        <w:widowControl/>
        <w:spacing w:line="230" w:lineRule="auto" w:before="360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dynamics </w:t>
      </w:r>
    </w:p>
    <w:p>
      <w:pPr>
        <w:autoSpaceDN w:val="0"/>
        <w:autoSpaceDE w:val="0"/>
        <w:widowControl/>
        <w:spacing w:line="233" w:lineRule="auto" w:before="594" w:after="452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Abstract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3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Periodontitis has been tied to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Alzheimer’s disease (AD) 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clinical and experimental work, yet </w:t>
            </w:r>
          </w:p>
        </w:tc>
      </w:tr>
    </w:tbl>
    <w:p>
      <w:pPr>
        <w:autoSpaceDN w:val="0"/>
        <w:autoSpaceDE w:val="0"/>
        <w:widowControl/>
        <w:spacing w:line="458" w:lineRule="auto" w:before="242" w:after="284"/>
        <w:ind w:left="1152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peptide-level ligand that could act on a synaptic enzyme is still missing. Here we scored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already-processed oral small open reading frames (smORFs) with UniDL4BioPep, docked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twelve 7–9-residue peptides into human acetylcholinesterase (AChE, PDB 4EY6), and ran 100-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ns molecular dynamics (MD) on apo AChE and three complexes. The healthy-labelled library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(11,269,961 sequences) and the periodontitis-labelled library (11,721,988 sequences)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passed through 22 UniDL4BioPep classifiers at ≥0.80. Only the periodontitis branch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matched to oral genomic and metaproteomic catalogues. Blood–brain-barrier (BBB) hits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numbered 1,095,861 (9.72%) in the healthy library and 1,125,832 (9.60%) in the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library. Intersection of the periodontitis BBB set with 33,786 unique, catalogue-supported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 left 3,518 sequences; NTxPred2, mebipred and AnOxPePred reduced that list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twelve explicit peptides. All twelve carry a net positive charge at pH 7.4. Local AutoDock Vina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(three runs) gave best poses between −8.25 and −9.60 kcal/mol. FLLHTTR, YLSLLQR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LLHPLRL contact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peripheral anionic site (PAS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). Over 100 ns the FLLHTTR and </w:t>
            </w:r>
          </w:p>
        </w:tc>
      </w:tr>
    </w:tbl>
    <w:p>
      <w:pPr>
        <w:autoSpaceDN w:val="0"/>
        <w:autoSpaceDE w:val="0"/>
        <w:widowControl/>
        <w:spacing w:line="418" w:lineRule="auto" w:before="244" w:after="1484"/>
        <w:ind w:left="129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complexes stay more compact than apo AChE (backbone RMSD 0.1640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0.1625 nm versus 0.1897 nm). FLLHTTR keeps a dense hydrogen-bond net (7.03 ± 1.28);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shrinks solvent-accessible surface area. These calculations outline a possible route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which oral micropeptides sit on the same PAS that accelerates amyloid-β (Aβ) assembly.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6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7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96" w:lineRule="auto" w:before="580" w:after="528"/>
        <w:ind w:left="1290" w:right="68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Alzheimer’s disease;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Porphyromonas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periodontitis; smORF;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micropeptide; acetylcholinesterase; peripheral anionic site; UniDL4BioPep;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docking; molecular dynamics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15</w:t>
            </w:r>
          </w:p>
        </w:tc>
        <w:tc>
          <w:tcPr>
            <w:tcW w:type="dxa" w:w="6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Introduction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450" w:after="288"/>
        <w:ind w:left="1290" w:right="576" w:firstLine="48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Alzheimer’s disease (AD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combines amyloid deposition, tau pathology, synaptic failure,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immune activation and vascular injury over a long preclinical course [1]. Sequential cleavage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28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 by β- and γ-secretases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releases Aβ40 and Aβ42; soluble oligomers injure synapses; </w:t>
            </w:r>
          </w:p>
        </w:tc>
      </w:tr>
    </w:tbl>
    <w:p>
      <w:pPr>
        <w:autoSpaceDN w:val="0"/>
        <w:autoSpaceDE w:val="0"/>
        <w:widowControl/>
        <w:spacing w:line="418" w:lineRule="auto" w:before="242" w:after="286"/>
        <w:ind w:left="129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familial APP/PSEN mutations change peptide length and amount [2]. Amyloid load does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 the spatial or clinical heterogeneity of the disease, so peripheral inflammatory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exposures have been examined as possible modifiers of vulnerability rather than as single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causes.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35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Loss of basal-forebrain acetylcholine accounts for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large fraction of 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cognitive picture,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why AChE inhibitors remain in routine use [3]. Catalysis is only part of the enzyme’s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role. AChE accelerates Aβ fibril growth through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peripheral anionic site (PAS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), and AChE–</w:t>
            </w:r>
          </w:p>
        </w:tc>
      </w:tr>
    </w:tbl>
    <w:p>
      <w:pPr>
        <w:autoSpaceDN w:val="0"/>
        <w:autoSpaceDE w:val="0"/>
        <w:widowControl/>
        <w:spacing w:line="418" w:lineRule="auto" w:before="242" w:after="0"/>
        <w:ind w:left="129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Aβ particles are more toxic than free peptide [4]. A short hydrophobic PAS motif is sufficient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that chaperone effect [5]. PAS-directed small molecules can block AChE-induced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aggregation in biochemical assays [19]. The same protein surface therefore joins cholinergic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amyloid deposition. </w:t>
      </w:r>
    </w:p>
    <w:p>
      <w:pPr>
        <w:autoSpaceDN w:val="0"/>
        <w:autoSpaceDE w:val="0"/>
        <w:widowControl/>
        <w:spacing w:line="396" w:lineRule="auto" w:before="286" w:after="286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Chronic periodontitis maintains a low-grade inflammatory load at a disrupted mucosal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barrier and allows microbial products into blood [6]. Oral activity is species- and site-specific,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16S abundance cannot stand in for a molecular ligand [7]. Meta-analyses report associations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3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between periodontal disease and cognitive disorders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although effect sizes move with case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definitions [10]. In an AD cohort, periodontitis tracked later decline [11].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two-sample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1034"/>
        <w:ind w:left="1290" w:right="0" w:firstLine="0"/>
        <w:jc w:val="left"/>
      </w:pPr>
      <w:r>
        <w:rPr>
          <w:shd w:val="clear" w:color="auto" w:fill="ecdffd"/>
          <w:rFonts w:ascii="Times New Roman" w:hAnsi="Times New Roman" w:eastAsia="Times New Roman"/>
          <w:b w:val="0"/>
          <w:i w:val="0"/>
          <w:color w:val="000000"/>
          <w:sz w:val="24"/>
        </w:rPr>
        <w:t>Mendelian randomization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analysis did not support a genetic causal effect of periodontal disease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7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8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55" w:lineRule="auto" w:before="580" w:after="286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AD [14]. Epidemiology therefore motivates a molecular search; it does not identify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ligand.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17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Gingipains and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outer-membrane vesicles of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Porphyromonas gingivalis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supply one </w:t>
            </w:r>
          </w:p>
        </w:tc>
      </w:tr>
    </w:tbl>
    <w:p>
      <w:pPr>
        <w:autoSpaceDN w:val="0"/>
        <w:autoSpaceDE w:val="0"/>
        <w:widowControl/>
        <w:spacing w:line="418" w:lineRule="auto" w:before="242" w:after="0"/>
        <w:ind w:left="129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mapped virulence pair [8–9]. The organism and gingipains have been reported in AD brains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[12], and repeated oral infection in mice produces neuroinflammation and Aβ-related changes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[13]. Those observations justify looking at oral products. They do not, by themselves, name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 that occupies AChE. </w:t>
      </w:r>
    </w:p>
    <w:p>
      <w:pPr>
        <w:autoSpaceDN w:val="0"/>
        <w:autoSpaceDE w:val="0"/>
        <w:widowControl/>
        <w:spacing w:line="439" w:lineRule="auto" w:before="286" w:after="0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Microbiome smORFs encode a large pool of uncharted small proteins [15–16]. Mining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microbiomes for peptide antibiotics first scored millions of translated open reading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frames and then applied experimental filters [31]. UniDL4BioPep supplies more than twenty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binary bioactivity heads on ESM-2 embeddings [23]. That order—predict, then match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catalogues—is the order used here. Classifier scores do not answer the structural question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whether a 7–9-aa periodontitis peptide can occupy the Aβ-binding PAS. </w:t>
      </w:r>
    </w:p>
    <w:p>
      <w:pPr>
        <w:autoSpaceDN w:val="0"/>
        <w:autoSpaceDE w:val="0"/>
        <w:widowControl/>
        <w:spacing w:line="439" w:lineRule="auto" w:before="286" w:after="0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Accelerated MD places Aβ on the AChE surface and treats the enzyme as a nucleation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centre [17]. A 1-μs PAS-centred AChE–Aβ trajectory remains bound, with the main residence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residues 344–361 [18]. PDB 4EY6 gives a 2.40 Å human AChE frame for docking [20].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aromatic gorge that joins the catalytic triad to the PAS was mapped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Torpedo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AChE [36].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 remains missing is a peptide-level ligand drawn from oral smORFs and tested on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same PAS. </w:t>
      </w:r>
    </w:p>
    <w:p>
      <w:pPr>
        <w:autoSpaceDN w:val="0"/>
        <w:autoSpaceDE w:val="0"/>
        <w:widowControl/>
        <w:spacing w:line="439" w:lineRule="auto" w:before="286" w:after="934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Here we scored already-processed oral smORF libraries from PRJNA678453 with 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UniDL4BioPep heads, compared healthy and periodontitis hit rates, matched the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branch to oral genomic and metaproteomic catalogues, and reduced the list with NTxPred2,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and AnOxPePred. Twelve 7–9-aa peptides were docked into human AChE.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complexes, together with apo enzyme, were simulated for 100 ns to test whether the peptides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 at the PAS without unfolding the fold.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8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11"/>
        <w:gridCol w:w="2211"/>
        <w:gridCol w:w="2211"/>
        <w:gridCol w:w="2211"/>
        <w:gridCol w:w="2211"/>
      </w:tblGrid>
      <w:tr>
        <w:trPr>
          <w:trHeight w:hRule="exact" w:val="97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9 of 34 - Integrity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10</w:t>
            </w:r>
          </w:p>
        </w:tc>
        <w:tc>
          <w:tcPr>
            <w:tcW w:type="dxa" w:w="6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shd w:val="clear" w:color="auto" w:fill="d6e4fa"/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Materials and methods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510" w:after="0"/>
        <w:ind w:left="1290" w:right="0" w:firstLine="0"/>
        <w:jc w:val="left"/>
      </w:pPr>
      <w:r>
        <w:rPr>
          <w:shd w:val="clear" w:color="auto" w:fill="d6e4fa"/>
          <w:rFonts w:ascii="Times New Roman" w:hAnsi="Times New Roman" w:eastAsia="Times New Roman"/>
          <w:b/>
          <w:i/>
          <w:color w:val="000000"/>
          <w:sz w:val="24"/>
        </w:rPr>
        <w:t>Study design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8" w:lineRule="auto" w:before="346" w:after="0"/>
        <w:ind w:left="1290" w:right="678" w:firstLine="480"/>
        <w:jc w:val="both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work is computational. No new patients, specimens, sequencing runs or wet assays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added. Healthy and periodontitis tags are library labels; they are not peptide-level clinical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diagnoses. Docking used local three-run AutoDock Vina poses. MD used 100-ns GROMACS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trajectories of apo AChE and three peptide complexes. </w:t>
      </w:r>
    </w:p>
    <w:p>
      <w:pPr>
        <w:autoSpaceDN w:val="0"/>
        <w:autoSpaceDE w:val="0"/>
        <w:widowControl/>
        <w:spacing w:line="230" w:lineRule="auto" w:before="468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Source libraries </w:t>
      </w:r>
    </w:p>
    <w:p>
      <w:pPr>
        <w:autoSpaceDN w:val="0"/>
        <w:autoSpaceDE w:val="0"/>
        <w:widowControl/>
        <w:spacing w:line="439" w:lineRule="auto" w:before="346" w:after="0"/>
        <w:ind w:left="129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Translated smORFs of 4–50 aa were taken as already-processed peptide strings. We did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reassemble reads or call genes de novo. The public source of the paired oral metagenomes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metatranscriptomes is PRJNA678453 [7]. A derived MGnify third-party assembly,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PRJEB65451 (metaSPAdes v3.15.3), exists for that BioProject; it is not a second clinical cohort.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Library sizes were 11,269,961 healthy-labelled and 11,721,988 periodontitis-labelled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sequences. </w:t>
      </w:r>
    </w:p>
    <w:p>
      <w:pPr>
        <w:autoSpaceDN w:val="0"/>
        <w:autoSpaceDE w:val="0"/>
        <w:widowControl/>
        <w:spacing w:line="230" w:lineRule="auto" w:before="46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UniDL4BioPep (22 tasks) </w:t>
      </w:r>
    </w:p>
    <w:p>
      <w:pPr>
        <w:autoSpaceDN w:val="0"/>
        <w:autoSpaceDE w:val="0"/>
        <w:widowControl/>
        <w:spacing w:line="439" w:lineRule="auto" w:before="346" w:after="288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UniDL4BioPep was applied first to both full libraries, following the predict-then-filter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order used when mining microbiome peptide antibiotics [23,31]. Du et al. freeze ESM-2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shd w:val="clear" w:color="auto" w:fill="f1f4f7"/>
          <w:rFonts w:ascii="Consolas" w:hAnsi="Consolas" w:eastAsia="Consolas"/>
          <w:b w:val="0"/>
          <w:i w:val="0"/>
          <w:color w:val="000000"/>
          <w:sz w:val="24"/>
        </w:rPr>
        <w:t>esm2_t6_8M_UR50D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6 layers, 8 million parameters, 320-dimensional residue states)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 residue embeddings so that peptides of any length collapse to one fixed vector.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convolutional classifier is then trained, per bioactivity, on that vector; the same backbone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reused across datasets rather than designing a new network for each endpoint. In the original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10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report the architecture beat the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previous state of the 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 15 of 20 binary peptide tasks. We </w:t>
            </w:r>
          </w:p>
        </w:tc>
      </w:tr>
    </w:tbl>
    <w:p>
      <w:pPr>
        <w:autoSpaceDN w:val="0"/>
        <w:autoSpaceDE w:val="0"/>
        <w:widowControl/>
        <w:spacing w:line="396" w:lineRule="auto" w:before="238" w:after="662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 not retrain the networks. We scored 22 published heads: ACE inhibitory, DPP-IV inhibitory,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Bitter, Umami, Antimicrobial, Antimalarial (alternative), Antimalarial (main), Quorum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sensing, Anticancer (main), Anticancer (alternative), Anti-MRSA, TTCA, BBB (BBP), Anti-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9 of 34 - Integrity Submission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30" w:lineRule="auto" w:before="58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parasitic (APP), NeuroPred, Antibacterial, Antifungal, Antiviral, Toxicity, Antioxidant FRS,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Allergenicity, and cell-penetrating peptide (CPP). Every head used a score cut of ≥0.80. “BBB-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high” is that operational cut on the BBP head, not measured transcytosis. Other BBB peptide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tools (for example Augur) are trained on different positives and encodings, so their published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AUCs do not transfer to these 4–50-aa oral strings [35]. </w:t>
      </w:r>
    </w:p>
    <w:p>
      <w:pPr>
        <w:autoSpaceDN w:val="0"/>
        <w:autoSpaceDE w:val="0"/>
        <w:widowControl/>
        <w:spacing w:line="230" w:lineRule="auto" w:before="46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Catalogue matching (periodontitis branch only) </w:t>
      </w:r>
    </w:p>
    <w:p>
      <w:pPr>
        <w:autoSpaceDN w:val="0"/>
        <w:autoSpaceDE w:val="0"/>
        <w:widowControl/>
        <w:spacing w:line="454" w:lineRule="auto" w:before="346" w:after="0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scoring, only periodontitis-labelled sequences were exact-matched to oral genomic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metaproteomic resources and collapsed to unique peptides. HOMD and eHOMD supply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curated aerodigestive genomes [21,32]. Salivary metaproteomes record peptides inside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own false-discovery framework [22]. Further oral metaproteomic sets add sequence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observations from other clinical contexts [33–34]. A match supports prior observation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string; it does not prove expression in PRJNA678453 samples. The periodontitis library yielded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33,786 unique catalogue-supported peptides. Intersection with the 1,125,832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BBB (BBP) hits recovered 3,518 sequences (3,446 of 5–30 aa; 72 of 31–50 aa). The healthy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library was left at the 22-task score tables and was not dereplicated. </w:t>
      </w:r>
    </w:p>
    <w:p>
      <w:pPr>
        <w:autoSpaceDN w:val="0"/>
        <w:autoSpaceDE w:val="0"/>
        <w:widowControl/>
        <w:spacing w:line="230" w:lineRule="auto" w:before="46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NTxPred2 </w:t>
      </w:r>
    </w:p>
    <w:p>
      <w:pPr>
        <w:autoSpaceDN w:val="0"/>
        <w:autoSpaceDE w:val="0"/>
        <w:widowControl/>
        <w:spacing w:line="449" w:lineRule="auto" w:before="346" w:after="1006"/>
        <w:ind w:left="72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NTxPred2 trains separate peptide and protein models because a single neurotoxin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classifier does not transfer between length classes [24]. The peptide set has 877 neurotoxic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877 non-toxic sequences; the protein set has 775 of each. Composition and binary-profile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machine-learning models reach AUC 0.97 (peptides) and 0.85 (proteins). Fine-tuning ESM2-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t30 on the peptide set raises independent-set AUC to 0.98 (MCC 0.90). The public server 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ESM2-t30 for 7–50-aa inputs (default probability 0.5) and an extra-trees model for sequences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≥51 aa. We used the peptide (ESM2-t30) mode on 7–50-aa members of the 3,518-set.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positive call is a classifier label, not a neuronal assay.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30" w:lineRule="auto" w:before="580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mebipred </w:t>
      </w:r>
    </w:p>
    <w:p>
      <w:pPr>
        <w:autoSpaceDN w:val="0"/>
        <w:autoSpaceDE w:val="0"/>
        <w:widowControl/>
        <w:spacing w:line="430" w:lineRule="auto" w:before="346" w:after="286"/>
        <w:ind w:left="129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predicts metal-binding from sequence alone, without alignments, so it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applied to short translated fragments [25]. Inputs are 219 sequence features: amino-acid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composition, physicochemical descriptors, and counts of metal-binding 5-mers. A first feed-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forward net (two hidden layers of 219 ReLU units, dropout 0.2, RMSprop) separates metal-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binding from non-binding proteins; a second tier names 11 ions. The authors report &gt;80%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24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accuracy for ligand presence and an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area under the precision–recall curve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of 0.91. Default ion </w:t>
            </w:r>
          </w:p>
        </w:tc>
      </w:tr>
    </w:tbl>
    <w:p>
      <w:pPr>
        <w:autoSpaceDN w:val="0"/>
        <w:autoSpaceDE w:val="0"/>
        <w:widowControl/>
        <w:spacing w:line="396" w:lineRule="auto" w:before="242" w:after="0"/>
        <w:ind w:left="129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probability is 0.5; raising it to 0.9 increases precision at some cost in recall. We kept Cu-, Fe-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Zn-related scores at 0.50. The output is not a measured Kd and does not assign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coordination geometry. </w:t>
      </w:r>
    </w:p>
    <w:p>
      <w:pPr>
        <w:autoSpaceDN w:val="0"/>
        <w:autoSpaceDE w:val="0"/>
        <w:widowControl/>
        <w:spacing w:line="230" w:lineRule="auto" w:before="46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AnOxPePred </w:t>
      </w:r>
    </w:p>
    <w:p>
      <w:pPr>
        <w:autoSpaceDN w:val="0"/>
        <w:autoSpaceDE w:val="0"/>
        <w:widowControl/>
        <w:spacing w:line="449" w:lineRule="auto" w:before="346" w:after="0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AnOxPePred is a one-dimensional CNN with two heads, trained to score free-radical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scavenging (FRS) and metal chelation (CHEL) from one-hot peptide sequences [26]. Positives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taken from BIOPEP-UWM and from antioxidant-peptide papers; each sequence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labelled FRS, chelator, or both. Reported FRS performance exceeds a k-NN baseline;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chelator head is weaker because that training subset is small. Both heads emit a score in [0, 1].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Serial cuts here were CHEL≥0.25, then CHEL≥0.25 with FRS&lt;0.50, then CHEL≥0.25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FRS&lt;0.45. Concordance among UniDL4BioPep, NTxPred2, mebipred and AnOxPePred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filter stack, not independent experimental replication. </w:t>
      </w:r>
    </w:p>
    <w:p>
      <w:pPr>
        <w:autoSpaceDN w:val="0"/>
        <w:autoSpaceDE w:val="0"/>
        <w:widowControl/>
        <w:spacing w:line="230" w:lineRule="auto" w:before="468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Physicochemical descriptors </w:t>
      </w:r>
    </w:p>
    <w:p>
      <w:pPr>
        <w:autoSpaceDN w:val="0"/>
        <w:autoSpaceDE w:val="0"/>
        <w:widowControl/>
        <w:spacing w:line="396" w:lineRule="auto" w:before="346" w:after="1496"/>
        <w:ind w:left="129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twelve unique 7–9-aa strings we recalculated length, histidine, cysteine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Arg+Lys counts, average molecular weight, isoelectric point, net charge at pH 7.4, Kyte–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Doolittle GRAVY, Ikai aliphatic index, hydrophobic residue fraction (A, I, L, M, F, V, W, Y),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55" w:lineRule="auto" w:before="580" w:after="0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Boman index. Scales were applied to the amino-acid strings only; no experimental HPLC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CD was performed. </w:t>
      </w:r>
    </w:p>
    <w:p>
      <w:pPr>
        <w:autoSpaceDN w:val="0"/>
        <w:autoSpaceDE w:val="0"/>
        <w:widowControl/>
        <w:spacing w:line="230" w:lineRule="auto" w:before="46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Molecular docking </w:t>
      </w:r>
    </w:p>
    <w:p>
      <w:pPr>
        <w:autoSpaceDN w:val="0"/>
        <w:autoSpaceDE w:val="0"/>
        <w:widowControl/>
        <w:spacing w:line="439" w:lineRule="auto" w:before="346" w:after="286"/>
        <w:ind w:left="1290" w:right="680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recombinant AChE (PDB 4EY6, 2.40 Å) was stripped of galantamine and crystal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waters, chain breaks were repaired, and protonation was set at pH 7.4 [20]. The twelve ligands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ALLLHRC, FCLHLQLR, FLLHTTR, HLLTLKKHV, HLPLLHRCC, HVLLLRQCA,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LLHLPKRTT, LLHPLRC, LLHPLRL, WLLVHLKK, YHHLLCRR and YLSLLQR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docked with AutoDock Vina, exhaustiveness 32 [27–28]. The grid was centred on the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(Tyr72, Asp74, Thr75, Leu76, Trp286, His287, Tyr341) and covered the gorge neck (Phe295),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choline subsite (Trp86, Glu202, Tyr337) and the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catalytic triad (Ser203, His447, Glu334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). </w:t>
            </w:r>
          </w:p>
        </w:tc>
      </w:tr>
    </w:tbl>
    <w:p>
      <w:pPr>
        <w:autoSpaceDN w:val="0"/>
        <w:autoSpaceDE w:val="0"/>
        <w:widowControl/>
        <w:spacing w:line="396" w:lineRule="auto" w:before="242" w:after="0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ligand was run three times. We report best-run affinity, three-run mean ± SD, hydrogen-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bond count and PAS contact from the single best pose. Vina scores rank poses; they are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free energies. </w:t>
      </w:r>
    </w:p>
    <w:p>
      <w:pPr>
        <w:autoSpaceDN w:val="0"/>
        <w:autoSpaceDE w:val="0"/>
        <w:widowControl/>
        <w:spacing w:line="230" w:lineRule="auto" w:before="46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Molecular dynamics </w:t>
      </w:r>
    </w:p>
    <w:p>
      <w:pPr>
        <w:autoSpaceDN w:val="0"/>
        <w:autoSpaceDE w:val="0"/>
        <w:widowControl/>
        <w:spacing w:line="396" w:lineRule="auto" w:before="346" w:after="286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Four explicit-solvent systems were built in GROMACS with Amber99SB-ILDN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TIP3P water at 0.15 M NaCl [29–30]: apo AChE (chain A) and the ALLLHRC, FLLHTTR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YLSLLQR complexes. Each box was triclinic with a 1.0 nm solute-to-wall buffer.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32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Equilibration was 2,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000 steps of steepest descent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1.0 ns restrained NVT to 300 K, 1.0 ns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restrained NPT, and 1.0 ns free NPT. Production was 100 ns (dt = 2.0 fs) at 300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 and 1.0 bar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LINCS, 1.2 nm cut-offs and particle-mesh Ewald. Frames were stored every 20 ps. </w:t>
      </w:r>
    </w:p>
    <w:p>
      <w:pPr>
        <w:autoSpaceDN w:val="0"/>
        <w:autoSpaceDE w:val="0"/>
        <w:widowControl/>
        <w:spacing w:line="398" w:lineRule="auto" w:before="286" w:after="1544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Metrics matched Figures 5–7: Cα RMSD, per-residue RMSF, SASA, Rg, DSSP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occupancy, and intermolecular hydrogen bonds (</w:t>
      </w:r>
      <w:r>
        <w:rPr>
          <w:shd w:val="clear" w:color="auto" w:fill="f1f4f7"/>
          <w:rFonts w:ascii="Consolas" w:hAnsi="Consolas" w:eastAsia="Consolas"/>
          <w:b w:val="0"/>
          <w:i w:val="0"/>
          <w:color w:val="000000"/>
          <w:sz w:val="24"/>
        </w:rPr>
        <w:t>gmx hbond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donor–acceptor ≤ 3.0 Å). Peptide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self-fit RMSD and persistent contacts (7.0 Å) were stored as extras. Means ± SD use the last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13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55" w:lineRule="auto" w:before="58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 ns (80–100 ns). The design follows the AChE–Aβ MD logic of Atanasova et al., at 100 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rather than 1 μs [18]. </w:t>
      </w:r>
    </w:p>
    <w:p>
      <w:pPr>
        <w:autoSpaceDN w:val="0"/>
        <w:autoSpaceDE w:val="0"/>
        <w:widowControl/>
        <w:spacing w:line="230" w:lineRule="auto" w:before="52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Results </w:t>
      </w:r>
    </w:p>
    <w:p>
      <w:pPr>
        <w:autoSpaceDN w:val="0"/>
        <w:autoSpaceDE w:val="0"/>
        <w:widowControl/>
        <w:spacing w:line="230" w:lineRule="auto" w:before="51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Twenty-two UniDL4BioPep tasks on both libraries </w:t>
      </w:r>
    </w:p>
    <w:p>
      <w:pPr>
        <w:autoSpaceDN w:val="0"/>
        <w:autoSpaceDE w:val="0"/>
        <w:widowControl/>
        <w:spacing w:line="463" w:lineRule="auto" w:before="346" w:after="0"/>
        <w:ind w:left="72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1 summarises the cascade. Both libraries were scored at ≥0.80 on all 22 heads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(Tables 1 and 2). Hit rates sit close to each other. Antimicrobial called 10,302,093/11,721,988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periodontitis sequences (87.89%) and 9,882,657/11,269,961 healthy sequences (87.69%). BBB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(BBP) called 1,125,832 (9.60%) versus 1,095,861 (9.72%). Anti-parasitic (APP) and quorum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sensing were the next largest heads; DPP-IV inhibitory was the smallest in both libraries.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Labels overlap, so one peptide can sit in several rows. Because the two BBB rates differ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0.12 percentage points, BBB-high is not a periodontitis-specific stamp. The two libraries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close on most of the 22 heads (Table 3). Periodontitis exceeds healthy by ≥1 percentage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point only for quorum sensing (+1.39). Healthy exceeds periodontitis by ≥1 point for antifungal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(−2.50), anti-parasitic (−2.36), antioxidant FRS (−1.95), antiviral (−1.89), antibacterial (−1.42),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CPP (−1.24), anticancer-main (−1.22) and umami (−1.00). Antimicrobial is essentially tied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(87.89% vs 87.69%). These are library-wide score rates, not sequence-level differential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peptides: we do not have a row-wise overlap map, so we cannot say that the twelve docking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sequences are absent from the healthy library. Downstream docking used the periodontitis,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catalogue-matched branch only. </w:t>
      </w:r>
    </w:p>
    <w:p>
      <w:pPr>
        <w:autoSpaceDN w:val="0"/>
        <w:autoSpaceDE w:val="0"/>
        <w:widowControl/>
        <w:spacing w:line="233" w:lineRule="auto" w:before="406" w:after="76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1. UniDL4BioPep counts for the periodontitis-labelled library (11,721,988 smORFs; ≥0.80).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7"/>
        </w:trPr>
        <w:tc>
          <w:tcPr>
            <w:tcW w:type="dxa" w:w="1280"/>
            <w:tcBorders>
              <w:top w:sz="11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3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22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7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ACE inhibitory </w:t>
            </w:r>
          </w:p>
        </w:tc>
        <w:tc>
          <w:tcPr>
            <w:tcW w:type="dxa" w:w="2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1,236,442 </w:t>
            </w:r>
          </w:p>
        </w:tc>
        <w:tc>
          <w:tcPr>
            <w:tcW w:type="dxa" w:w="7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10.55 </w:t>
            </w:r>
          </w:p>
        </w:tc>
        <w:tc>
          <w:tcPr>
            <w:tcW w:type="dxa" w:w="102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6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DPP-IV inhibitory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139,056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1.19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6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Bitter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1,831,185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15.62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5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Umami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3,100,811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26.45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98"/>
        </w:trPr>
        <w:tc>
          <w:tcPr>
            <w:tcW w:type="dxa" w:w="12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95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0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Antimicrobial </w:t>
            </w:r>
          </w:p>
        </w:tc>
        <w:tc>
          <w:tcPr>
            <w:tcW w:type="dxa" w:w="225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10,302,093 </w:t>
            </w:r>
          </w:p>
        </w:tc>
        <w:tc>
          <w:tcPr>
            <w:tcW w:type="dxa" w:w="70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87.89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1090"/>
        </w:trPr>
        <w:tc>
          <w:tcPr>
            <w:tcW w:type="dxa" w:w="12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5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38" w:after="0"/>
              <w:ind w:left="14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13 of 34 - Integrity Submission</w:t>
            </w:r>
          </w:p>
        </w:tc>
        <w:tc>
          <w:tcPr>
            <w:tcW w:type="dxa" w:w="225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38" w:after="0"/>
              <w:ind w:left="16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38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974"/>
        </w:trPr>
        <w:tc>
          <w:tcPr>
            <w:tcW w:type="dxa" w:w="128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5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4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14 of 34 - Integrity Submission</w:t>
            </w:r>
          </w:p>
        </w:tc>
        <w:tc>
          <w:tcPr>
            <w:tcW w:type="dxa" w:w="225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96"/>
        </w:trPr>
        <w:tc>
          <w:tcPr>
            <w:tcW w:type="dxa" w:w="128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3956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2256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708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02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1280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956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Antimalarial (alternative) </w:t>
            </w:r>
          </w:p>
        </w:tc>
        <w:tc>
          <w:tcPr>
            <w:tcW w:type="dxa" w:w="2256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695,608 </w:t>
            </w:r>
          </w:p>
        </w:tc>
        <w:tc>
          <w:tcPr>
            <w:tcW w:type="dxa" w:w="708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5.93 </w:t>
            </w:r>
          </w:p>
        </w:tc>
        <w:tc>
          <w:tcPr>
            <w:tcW w:type="dxa" w:w="102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Antimalarial (main)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2,010,724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17.15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8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Quorum sensing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4,491,507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38.32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Anticancer (main)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2,357,718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20.11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Anticancer (alternative)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2,015,652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17.20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1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Anti-MRSA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843,977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7.20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6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TTCA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2,666,759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22.75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BBB (BBP)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1,125,832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9.60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4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Anti-parasitic (APP)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5,462,493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46.60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NeuroPred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1,714,373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14.63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0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Antibacterial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2,597,877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22.16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Antifungal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2,960,118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25.25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4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Antiviral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3,275,203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27.94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4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Toxicity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1,714,299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14.62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7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Antioxidant FRS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2,521,106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21.51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0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Allergenicity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1,713,798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14.62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28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</w:p>
        </w:tc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925,627 </w:t>
            </w:r>
          </w:p>
        </w:tc>
        <w:tc>
          <w:tcPr>
            <w:tcW w:type="dxa" w:w="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7.90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748"/>
            <w:vMerge/>
            <w:tcBorders>
              <w:bottom w:sz="12.0" w:val="single" w:color="#000000"/>
            </w:tcBorders>
          </w:tcPr>
          <w:p/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6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(CPP)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694" w:after="78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2. UniDL4BioPep counts for the healthy-labelled library (11,269,961 smORFs; ≥0.80).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280"/>
            <w:tcBorders>
              <w:top w:sz="11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3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22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7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ACE inhibitory </w:t>
            </w:r>
          </w:p>
        </w:tc>
        <w:tc>
          <w:tcPr>
            <w:tcW w:type="dxa" w:w="22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1,237,451 </w:t>
            </w:r>
          </w:p>
        </w:tc>
        <w:tc>
          <w:tcPr>
            <w:tcW w:type="dxa" w:w="7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10.98 </w:t>
            </w:r>
          </w:p>
        </w:tc>
        <w:tc>
          <w:tcPr>
            <w:tcW w:type="dxa" w:w="102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6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DPP-IV inhibitory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131,426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1.17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17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Bitter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1,840,368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16.33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5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Umami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3,094,287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27.46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10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Antimicrobial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9,882,657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87.69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Antimalarial (alternative)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703,632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6.24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Antimalarial (main)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1,954,667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17.34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8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Quorum sensing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4,161,825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36.93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6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Anticancer (main)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2,404,084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21.33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2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Anticancer (alternative)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1,979,643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17.57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1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Anti-MRSA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769,955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6.83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6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TTCA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2,618,849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23.24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11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BBB (BBP)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1,095,861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9.72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5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Anti-parasitic (APP)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5,517,278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48.96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2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3984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12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NeuroPred </w:t>
            </w:r>
          </w:p>
        </w:tc>
        <w:tc>
          <w:tcPr>
            <w:tcW w:type="dxa" w:w="222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1,690,436 </w:t>
            </w:r>
          </w:p>
        </w:tc>
        <w:tc>
          <w:tcPr>
            <w:tcW w:type="dxa" w:w="70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15.00 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948"/>
        </w:trPr>
        <w:tc>
          <w:tcPr>
            <w:tcW w:type="dxa" w:w="12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4" w:after="0"/>
              <w:ind w:left="14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14 of 34 - Integrity Submission</w:t>
            </w:r>
          </w:p>
        </w:tc>
        <w:tc>
          <w:tcPr>
            <w:tcW w:type="dxa" w:w="222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4" w:after="0"/>
              <w:ind w:left="16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974"/>
        </w:trPr>
        <w:tc>
          <w:tcPr>
            <w:tcW w:type="dxa" w:w="128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5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4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15 of 34 - Integrity Submission</w:t>
            </w:r>
          </w:p>
        </w:tc>
        <w:tc>
          <w:tcPr>
            <w:tcW w:type="dxa" w:w="225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96"/>
        </w:trPr>
        <w:tc>
          <w:tcPr>
            <w:tcW w:type="dxa" w:w="128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3956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2256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708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02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11.20000000000004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1280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3956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Antibacterial </w:t>
            </w:r>
          </w:p>
        </w:tc>
        <w:tc>
          <w:tcPr>
            <w:tcW w:type="dxa" w:w="2256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2,658,234 </w:t>
            </w:r>
          </w:p>
        </w:tc>
        <w:tc>
          <w:tcPr>
            <w:tcW w:type="dxa" w:w="708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23.59 </w:t>
            </w:r>
          </w:p>
        </w:tc>
        <w:tc>
          <w:tcPr>
            <w:tcW w:type="dxa" w:w="102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Antifungal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3,128,057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27.76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Antiviral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3,362,295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29.83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4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Toxicity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1,725,268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15.31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7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Antioxidant FRS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2,643,538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23.46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10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Allergenicity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1,635,019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14.51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280"/>
            <w:vMerge w:val="restart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</w:p>
        </w:tc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1,029,770 </w:t>
            </w:r>
          </w:p>
        </w:tc>
        <w:tc>
          <w:tcPr>
            <w:tcW w:type="dxa" w:w="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9.14 </w:t>
            </w:r>
          </w:p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748"/>
            <w:vMerge/>
            <w:tcBorders>
              <w:bottom w:sz="11.200000000000045" w:val="single" w:color="#000000"/>
            </w:tcBorders>
          </w:tcPr>
          <w:p/>
        </w:tc>
        <w:tc>
          <w:tcPr>
            <w:tcW w:type="dxa" w:w="3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16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(CPP)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748"/>
            <w:vMerge/>
            <w:tcBorders>
              <w:top w:sz="7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69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Table 3. Score-rate difference between libraries (periodontitis % minus healthy %). BBB is shown for </w:t>
      </w:r>
    </w:p>
    <w:p>
      <w:pPr>
        <w:autoSpaceDN w:val="0"/>
        <w:autoSpaceDE w:val="0"/>
        <w:widowControl/>
        <w:spacing w:line="233" w:lineRule="auto" w:before="10" w:after="92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reference.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rPr>
          <w:trHeight w:hRule="exact" w:val="377"/>
        </w:trPr>
        <w:tc>
          <w:tcPr>
            <w:tcW w:type="dxa" w:w="2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6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23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Healthy % </w:t>
            </w:r>
          </w:p>
        </w:tc>
        <w:tc>
          <w:tcPr>
            <w:tcW w:type="dxa" w:w="22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Periodontitis % </w:t>
            </w:r>
          </w:p>
        </w:tc>
        <w:tc>
          <w:tcPr>
            <w:tcW w:type="dxa" w:w="7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Δ pp 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29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Quorum sensing </w:t>
            </w:r>
          </w:p>
        </w:tc>
        <w:tc>
          <w:tcPr>
            <w:tcW w:type="dxa" w:w="2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36.93 </w:t>
            </w:r>
          </w:p>
        </w:tc>
        <w:tc>
          <w:tcPr>
            <w:tcW w:type="dxa" w:w="22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38.32 </w:t>
            </w:r>
          </w:p>
        </w:tc>
        <w:tc>
          <w:tcPr>
            <w:tcW w:type="dxa" w:w="7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+1.39 </w:t>
            </w:r>
          </w:p>
        </w:tc>
        <w:tc>
          <w:tcPr>
            <w:tcW w:type="dxa" w:w="1000"/>
            <w:vMerge w:val="restart"/>
            <w:tcBorders>
              <w:top w:sz="8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14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Umami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27.46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26.45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−1.00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Anticancer (main)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21.33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20.11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−1.22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8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(CPP)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9.14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7.90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−1.24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10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Antibacterial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23.59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22.16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−1.42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3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Antiviral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29.83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27.94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−1.89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7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Antioxidant FRS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23.46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21.51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−1.95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4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Anti-parasitic (APP)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48.96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46.60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−2.36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12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Antifungal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27.76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25.25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−2.50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88"/>
        </w:trPr>
        <w:tc>
          <w:tcPr>
            <w:tcW w:type="dxa" w:w="2920"/>
            <w:gridSpan w:val="2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BBB (BBP) </w:t>
            </w:r>
          </w:p>
        </w:tc>
        <w:tc>
          <w:tcPr>
            <w:tcW w:type="dxa" w:w="2344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9.72 </w:t>
            </w:r>
          </w:p>
        </w:tc>
        <w:tc>
          <w:tcPr>
            <w:tcW w:type="dxa" w:w="2228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9.60 </w:t>
            </w:r>
          </w:p>
        </w:tc>
        <w:tc>
          <w:tcPr>
            <w:tcW w:type="dxa" w:w="728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−0.12 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6040"/>
        </w:trPr>
        <w:tc>
          <w:tcPr>
            <w:tcW w:type="dxa" w:w="1160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4"/>
            <w:gridSpan w:val="2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788" w:after="0"/>
              <w:ind w:left="2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15 of 34 - Integrity Submission</w:t>
            </w:r>
          </w:p>
        </w:tc>
        <w:tc>
          <w:tcPr>
            <w:tcW w:type="dxa" w:w="2228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788" w:after="0"/>
              <w:ind w:left="14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788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16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1970" cy="75996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759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0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1. Screening cascade.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UniDL4BioPep (22 tasks) was applied to both libraries. Catalogue matching and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later filters were applied only to the periodontitis branch, ending in twelve 7–9-aa peptides for docking and three </w:t>
      </w:r>
    </w:p>
    <w:p>
      <w:pPr>
        <w:autoSpaceDN w:val="0"/>
        <w:autoSpaceDE w:val="0"/>
        <w:widowControl/>
        <w:spacing w:line="233" w:lineRule="auto" w:before="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complexes for 100-ns MD. </w:t>
      </w:r>
    </w:p>
    <w:p>
      <w:pPr>
        <w:autoSpaceDN w:val="0"/>
        <w:autoSpaceDE w:val="0"/>
        <w:widowControl/>
        <w:spacing w:line="230" w:lineRule="auto" w:before="188" w:after="948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Periodontitis funnel to twelve sequences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16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17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39" w:lineRule="auto" w:before="580" w:after="0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Catalogue matching of the periodontitis library kept 33,786 unique peptides. Intersection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BBB-high gave 3,518 sequences. NTxPred2 scored 3,299/3,518 (93.77%) and called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923/3,299 (27.98%) positive. Later cuts left 111 mebipred-positive peptides, 15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CHEL≥0.25, 12 with CHEL≥0.25 and FRS&lt;0.50, and 8 with the stricter FRS&lt;0.45 (Table 4).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923 NTxPred2-positive peptides were ≤30 aa, so the metal/CHEL/FRS steps kept short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 only. </w:t>
      </w:r>
    </w:p>
    <w:p>
      <w:pPr>
        <w:autoSpaceDN w:val="0"/>
        <w:autoSpaceDE w:val="0"/>
        <w:widowControl/>
        <w:spacing w:line="230" w:lineRule="auto" w:before="406" w:after="6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4. Periodontitis branch after UniDL4BioPep scoring.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621"/>
        <w:gridCol w:w="2621"/>
        <w:gridCol w:w="2621"/>
        <w:gridCol w:w="2621"/>
      </w:tblGrid>
      <w:tr>
        <w:trPr>
          <w:trHeight w:hRule="exact" w:val="394"/>
        </w:trPr>
        <w:tc>
          <w:tcPr>
            <w:tcW w:type="dxa" w:w="2256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Stage </w:t>
            </w:r>
          </w:p>
        </w:tc>
        <w:tc>
          <w:tcPr>
            <w:tcW w:type="dxa" w:w="2288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Rule </w:t>
            </w:r>
          </w:p>
        </w:tc>
        <w:tc>
          <w:tcPr>
            <w:tcW w:type="dxa" w:w="2228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2256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Denominator </w:t>
            </w:r>
          </w:p>
        </w:tc>
      </w:tr>
      <w:tr>
        <w:trPr>
          <w:trHeight w:hRule="exact" w:val="348"/>
        </w:trPr>
        <w:tc>
          <w:tcPr>
            <w:tcW w:type="dxa" w:w="2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Periodontitis smORFs </w:t>
            </w:r>
          </w:p>
        </w:tc>
        <w:tc>
          <w:tcPr>
            <w:tcW w:type="dxa" w:w="22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4–50 aa </w:t>
            </w:r>
          </w:p>
        </w:tc>
        <w:tc>
          <w:tcPr>
            <w:tcW w:type="dxa" w:w="22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11,721,988 </w:t>
            </w:r>
          </w:p>
        </w:tc>
        <w:tc>
          <w:tcPr>
            <w:tcW w:type="dxa" w:w="2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Library </w:t>
            </w:r>
          </w:p>
        </w:tc>
      </w:tr>
      <w:tr>
        <w:trPr>
          <w:trHeight w:hRule="exact" w:val="38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BBB (BBP)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score ≥0.80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1,125,832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11,721,988 </w:t>
            </w:r>
          </w:p>
        </w:tc>
      </w:tr>
      <w:tr>
        <w:trPr>
          <w:trHeight w:hRule="exact" w:val="30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Catalogue-supported </w:t>
            </w:r>
          </w:p>
        </w:tc>
        <w:tc>
          <w:tcPr>
            <w:tcW w:type="dxa" w:w="2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Exact match </w:t>
            </w:r>
          </w:p>
        </w:tc>
        <w:tc>
          <w:tcPr>
            <w:tcW w:type="dxa" w:w="2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33,786 </w:t>
            </w:r>
          </w:p>
        </w:tc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11,721,988 </w:t>
            </w:r>
          </w:p>
        </w:tc>
      </w:tr>
      <w:tr>
        <w:trPr>
          <w:trHeight w:hRule="exact" w:val="30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unique peptides 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BBB-high ∩ catalogue-</w:t>
            </w:r>
          </w:p>
        </w:tc>
        <w:tc>
          <w:tcPr>
            <w:tcW w:type="dxa" w:w="2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Intersection </w:t>
            </w:r>
          </w:p>
        </w:tc>
        <w:tc>
          <w:tcPr>
            <w:tcW w:type="dxa" w:w="2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3,518 </w:t>
            </w:r>
          </w:p>
        </w:tc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1,125,832 ∩ 33,786 </w:t>
            </w:r>
          </w:p>
        </w:tc>
      </w:tr>
      <w:tr>
        <w:trPr>
          <w:trHeight w:hRule="exact" w:val="30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supported 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Short (5–30 aa)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Length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3,446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3,518 </w:t>
            </w:r>
          </w:p>
        </w:tc>
      </w:tr>
      <w:tr>
        <w:trPr>
          <w:trHeight w:hRule="exact" w:val="38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Long (31–50 aa)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Length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3,518 </w:t>
            </w:r>
          </w:p>
        </w:tc>
      </w:tr>
      <w:tr>
        <w:trPr>
          <w:trHeight w:hRule="exact" w:val="36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NTxPred2 scored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7–50 aa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3,299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3,518 </w:t>
            </w:r>
          </w:p>
        </w:tc>
      </w:tr>
      <w:tr>
        <w:trPr>
          <w:trHeight w:hRule="exact" w:val="38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NTxPred2-positive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Model label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923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3,299 </w:t>
            </w:r>
          </w:p>
        </w:tc>
      </w:tr>
      <w:tr>
        <w:trPr>
          <w:trHeight w:hRule="exact" w:val="36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mebipred-positive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≥0.50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380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CHEL-priority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CHEL≥0.25 </w:t>
            </w:r>
          </w:p>
        </w:tc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  <w:tr>
        <w:trPr>
          <w:trHeight w:hRule="exact" w:val="300"/>
        </w:trPr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Main set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CHEL≥0.25 and </w:t>
            </w:r>
          </w:p>
        </w:tc>
        <w:tc>
          <w:tcPr>
            <w:tcW w:type="dxa" w:w="2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  <w:tr>
        <w:trPr>
          <w:trHeight w:hRule="exact" w:val="300"/>
        </w:trPr>
        <w:tc>
          <w:tcPr>
            <w:tcW w:type="dxa" w:w="2621"/>
            <w:vMerge/>
            <w:tcBorders/>
          </w:tcPr>
          <w:p/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FRS&lt;0.50 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256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Stricter subset </w:t>
            </w:r>
          </w:p>
        </w:tc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CHEL≥0.25 and </w:t>
            </w:r>
          </w:p>
        </w:tc>
        <w:tc>
          <w:tcPr>
            <w:tcW w:type="dxa" w:w="2228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256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318"/>
        </w:trPr>
        <w:tc>
          <w:tcPr>
            <w:tcW w:type="dxa" w:w="2621"/>
            <w:vMerge/>
            <w:tcBorders>
              <w:bottom w:sz="11.199999999999818" w:val="single" w:color="#000000"/>
            </w:tcBorders>
          </w:tcPr>
          <w:p/>
        </w:tc>
        <w:tc>
          <w:tcPr>
            <w:tcW w:type="dxa" w:w="228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FRS&lt;0.45 </w:t>
            </w:r>
          </w:p>
        </w:tc>
        <w:tc>
          <w:tcPr>
            <w:tcW w:type="dxa" w:w="2621"/>
            <w:vMerge/>
            <w:tcBorders>
              <w:bottom w:sz="11.199999999999818" w:val="single" w:color="#000000"/>
            </w:tcBorders>
          </w:tcPr>
          <w:p/>
        </w:tc>
        <w:tc>
          <w:tcPr>
            <w:tcW w:type="dxa" w:w="2621"/>
            <w:vMerge/>
            <w:tcBorders>
              <w:bottom w:sz="11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74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Physicochemical profile of the twelve peptides </w:t>
      </w:r>
    </w:p>
    <w:p>
      <w:pPr>
        <w:autoSpaceDN w:val="0"/>
        <w:tabs>
          <w:tab w:pos="1200" w:val="left"/>
        </w:tabs>
        <w:autoSpaceDE w:val="0"/>
        <w:widowControl/>
        <w:spacing w:line="355" w:lineRule="auto" w:before="346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descriptors characterise the twelve docking ligands. They are not a comparison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healthy and periodontitis libraries. </w:t>
      </w:r>
    </w:p>
    <w:p>
      <w:pPr>
        <w:autoSpaceDN w:val="0"/>
        <w:autoSpaceDE w:val="0"/>
        <w:widowControl/>
        <w:spacing w:line="418" w:lineRule="auto" w:before="286" w:after="566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twelve strings are unique 7–9-aa peptides of standard residues (Table 5). Eleven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 histidine; six contain cysteine; every sequence has at least one Arg or Lys.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weights fall between 825.03 and 1,097.30 Da. Isoelectric points are alkaline (8.28–11.54). Net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charge at pH 7.4 is positive for all twelve (0.85–2.08). GRAVY is positive for ten sequences,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17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18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18" w:lineRule="auto" w:before="58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line with leucine-rich cores; LLHLPKRTT (−0.36) and YHHLLCRR (−0.95) are the two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hydrophilic exceptions. Aliphatic indices run from 97.5 (YHHLLCRR) to 222.9 (LLHPLRL).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is the only peptide without histidine. These numbers describe composition;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not HPLC or CD measurements. </w:t>
      </w:r>
    </w:p>
    <w:p>
      <w:pPr>
        <w:autoSpaceDN w:val="0"/>
        <w:autoSpaceDE w:val="0"/>
        <w:widowControl/>
        <w:spacing w:line="230" w:lineRule="auto" w:before="406" w:after="6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5. Composition and calculated physicochemical descriptors of the twelve 7–9-aa peptides.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306"/>
        </w:trPr>
        <w:tc>
          <w:tcPr>
            <w:tcW w:type="dxa" w:w="902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Peptide </w:t>
            </w:r>
          </w:p>
        </w:tc>
        <w:tc>
          <w:tcPr>
            <w:tcW w:type="dxa" w:w="904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aa </w:t>
            </w:r>
          </w:p>
        </w:tc>
        <w:tc>
          <w:tcPr>
            <w:tcW w:type="dxa" w:w="90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MW </w:t>
            </w:r>
          </w:p>
        </w:tc>
        <w:tc>
          <w:tcPr>
            <w:tcW w:type="dxa" w:w="900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pI </w:t>
            </w:r>
          </w:p>
        </w:tc>
        <w:tc>
          <w:tcPr>
            <w:tcW w:type="dxa" w:w="90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z (pH </w:t>
            </w:r>
          </w:p>
        </w:tc>
        <w:tc>
          <w:tcPr>
            <w:tcW w:type="dxa" w:w="1836"/>
            <w:gridSpan w:val="2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GRAVY AI </w:t>
            </w:r>
          </w:p>
        </w:tc>
        <w:tc>
          <w:tcPr>
            <w:tcW w:type="dxa" w:w="872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His </w:t>
            </w:r>
          </w:p>
        </w:tc>
        <w:tc>
          <w:tcPr>
            <w:tcW w:type="dxa" w:w="906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Cys </w:t>
            </w:r>
          </w:p>
        </w:tc>
        <w:tc>
          <w:tcPr>
            <w:tcW w:type="dxa" w:w="902"/>
            <w:vMerge w:val="restart"/>
            <w:tcBorders>
              <w:top w:sz="12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R+K </w:t>
            </w:r>
          </w:p>
        </w:tc>
      </w:tr>
      <w:tr>
        <w:trPr>
          <w:trHeight w:hRule="exact" w:val="318"/>
        </w:trPr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902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(Da) </w:t>
            </w:r>
          </w:p>
        </w:tc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904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7.4) </w:t>
            </w:r>
          </w:p>
        </w:tc>
        <w:tc>
          <w:tcPr>
            <w:tcW w:type="dxa" w:w="2098"/>
            <w:gridSpan w:val="2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7.2000000000000455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902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ALLLH</w:t>
            </w:r>
          </w:p>
        </w:tc>
        <w:tc>
          <w:tcPr>
            <w:tcW w:type="dxa" w:w="904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02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825.03 </w:t>
            </w:r>
          </w:p>
        </w:tc>
        <w:tc>
          <w:tcPr>
            <w:tcW w:type="dxa" w:w="90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9.00 </w:t>
            </w:r>
          </w:p>
        </w:tc>
        <w:tc>
          <w:tcPr>
            <w:tcW w:type="dxa" w:w="904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0.92 </w:t>
            </w:r>
          </w:p>
        </w:tc>
        <w:tc>
          <w:tcPr>
            <w:tcW w:type="dxa" w:w="788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1.14 </w:t>
            </w:r>
          </w:p>
        </w:tc>
        <w:tc>
          <w:tcPr>
            <w:tcW w:type="dxa" w:w="1048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181.4 </w:t>
            </w:r>
          </w:p>
        </w:tc>
        <w:tc>
          <w:tcPr>
            <w:tcW w:type="dxa" w:w="872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2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RC </w:t>
            </w:r>
          </w:p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top w:sz="7.200000000000045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FCLHL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1029.26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9.00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0.92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0.69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146.2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QLR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FLLHT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887.04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11.09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1.04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0.19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111.4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HLLTL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1088.35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10.63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2.08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0.08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162.2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KKHV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HLPLL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1091.35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8.28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0.85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0.43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130.0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HRCC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HVLLL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1052.30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9.00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0.92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0.97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173.3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RQCA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LLHLP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1078.32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11.54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2.04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−0.36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130.0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KRTT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851.07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9.00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0.92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0.66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167.1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RC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861.09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11.09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1.04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0.84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222.9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RL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WLLVH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1036.32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10.63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2.04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0.46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182.5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LKK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YHHLL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1097.30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9.91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1.96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−0.95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97.5 </w:t>
            </w:r>
          </w:p>
        </w:tc>
        <w:tc>
          <w:tcPr>
            <w:tcW w:type="dxa" w:w="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CRR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YLSLL</w:t>
            </w:r>
          </w:p>
        </w:tc>
        <w:tc>
          <w:tcPr>
            <w:tcW w:type="dxa" w:w="904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02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892.06 </w:t>
            </w:r>
          </w:p>
        </w:tc>
        <w:tc>
          <w:tcPr>
            <w:tcW w:type="dxa" w:w="9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9.89 </w:t>
            </w:r>
          </w:p>
        </w:tc>
        <w:tc>
          <w:tcPr>
            <w:tcW w:type="dxa" w:w="904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0.99 </w:t>
            </w:r>
          </w:p>
        </w:tc>
        <w:tc>
          <w:tcPr>
            <w:tcW w:type="dxa" w:w="788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0.04 </w:t>
            </w:r>
          </w:p>
        </w:tc>
        <w:tc>
          <w:tcPr>
            <w:tcW w:type="dxa" w:w="1048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167.1 </w:t>
            </w:r>
          </w:p>
        </w:tc>
        <w:tc>
          <w:tcPr>
            <w:tcW w:type="dxa" w:w="872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902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324"/>
        </w:trPr>
        <w:tc>
          <w:tcPr>
            <w:tcW w:type="dxa" w:w="90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QR </w:t>
            </w:r>
          </w:p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74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Docking to human AChE </w:t>
      </w:r>
    </w:p>
    <w:p>
      <w:pPr>
        <w:autoSpaceDN w:val="0"/>
        <w:autoSpaceDE w:val="0"/>
        <w:widowControl/>
        <w:spacing w:line="418" w:lineRule="auto" w:before="346" w:after="706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twelve ligands produced favourable Vina scores (Table 6, Figure 2). Best-run values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 from −8.25 to −9.60 kcal/mol; three-run means ran from −8.07 ± 0.16 to −9.44 ± 0.09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kcal/mol. Best-pose order was FLLHTTR (−9.60), YLSLLQR (−9.49), ALLLHRC (−9.29).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 order put YLSLLQR first (−9.44 ± 0.09) and ALLLHRC second (−9.18 ± 0.11).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18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19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30" w:lineRule="auto" w:before="5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FLLHTTR has the strongest single pose and the largest SD (−8.77 ± 1.41). Best poses made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3–10 hydrogen bonds (mean length 2.83–3.28 Å; Figures 3 and 4). </w:t>
      </w:r>
    </w:p>
    <w:p>
      <w:pPr>
        <w:autoSpaceDN w:val="0"/>
        <w:autoSpaceDE w:val="0"/>
        <w:widowControl/>
        <w:spacing w:line="230" w:lineRule="auto" w:before="406" w:after="9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6. Three-run AutoDock Vina scores against human AChE (PDB 4EY6).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5"/>
        </w:trPr>
        <w:tc>
          <w:tcPr>
            <w:tcW w:type="dxa" w:w="2180"/>
            <w:gridSpan w:val="2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Peptide </w:t>
            </w:r>
          </w:p>
        </w:tc>
        <w:tc>
          <w:tcPr>
            <w:tcW w:type="dxa" w:w="1580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H-bonds </w:t>
            </w:r>
          </w:p>
        </w:tc>
        <w:tc>
          <w:tcPr>
            <w:tcW w:type="dxa" w:w="1476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Best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Mean ± SD </w:t>
            </w:r>
          </w:p>
        </w:tc>
        <w:tc>
          <w:tcPr>
            <w:tcW w:type="dxa" w:w="1504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Principal </w:t>
            </w:r>
          </w:p>
        </w:tc>
      </w:tr>
      <w:tr>
        <w:trPr>
          <w:trHeight w:hRule="exact" w:val="312"/>
        </w:trPr>
        <w:tc>
          <w:tcPr>
            <w:tcW w:type="dxa" w:w="2622"/>
            <w:gridSpan w:val="2"/>
            <w:vMerge/>
            <w:tcBorders>
              <w:bottom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bottom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bottom w:sz="7.2000000000000455" w:val="single" w:color="#000000"/>
            </w:tcBorders>
          </w:tcPr>
          <w:p/>
        </w:tc>
        <w:tc>
          <w:tcPr>
            <w:tcW w:type="dxa" w:w="1504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(n=3) </w:t>
            </w:r>
          </w:p>
        </w:tc>
        <w:tc>
          <w:tcPr>
            <w:tcW w:type="dxa" w:w="1311"/>
            <w:vMerge/>
            <w:tcBorders>
              <w:bottom w:sz="7.2000000000000455" w:val="single" w:color="#000000"/>
            </w:tcBorders>
          </w:tcPr>
          <w:p/>
        </w:tc>
        <w:tc>
          <w:tcPr>
            <w:tcW w:type="dxa" w:w="2216"/>
            <w:gridSpan w:val="2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contacts </w:t>
            </w:r>
          </w:p>
        </w:tc>
      </w:tr>
      <w:tr>
        <w:trPr>
          <w:trHeight w:hRule="exact" w:val="288"/>
        </w:trPr>
        <w:tc>
          <w:tcPr>
            <w:tcW w:type="dxa" w:w="2180"/>
            <w:gridSpan w:val="2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0" w:right="4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ALLLHRC </w:t>
            </w:r>
          </w:p>
        </w:tc>
        <w:tc>
          <w:tcPr>
            <w:tcW w:type="dxa" w:w="1580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476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−9.29 </w:t>
            </w:r>
          </w:p>
        </w:tc>
        <w:tc>
          <w:tcPr>
            <w:tcW w:type="dxa" w:w="1504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−9.18 ± 0.11 </w:t>
            </w:r>
          </w:p>
        </w:tc>
        <w:tc>
          <w:tcPr>
            <w:tcW w:type="dxa" w:w="1504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216"/>
            <w:gridSpan w:val="2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Ser125, Ser203,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1311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Tyr124 </w:t>
            </w:r>
          </w:p>
        </w:tc>
      </w:tr>
      <w:tr>
        <w:trPr>
          <w:trHeight w:hRule="exact" w:val="300"/>
        </w:trPr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FCLHLQLR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−9.27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−8.96 ± 0.48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Ser203, Thr75,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Tyr341 </w:t>
            </w:r>
          </w:p>
        </w:tc>
      </w:tr>
      <w:tr>
        <w:trPr>
          <w:trHeight w:hRule="exact" w:val="300"/>
        </w:trPr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FLLHTTR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−9.60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−8.77 ± 1.41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Asp74, Tyr72,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His287 </w:t>
            </w:r>
          </w:p>
        </w:tc>
      </w:tr>
      <w:tr>
        <w:trPr>
          <w:trHeight w:hRule="exact" w:val="36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HLLTLKKHV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−8.88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−8.69 ± 0.20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Tyr72, Phe346 </w:t>
            </w:r>
          </w:p>
        </w:tc>
      </w:tr>
      <w:tr>
        <w:trPr>
          <w:trHeight w:hRule="exact" w:val="300"/>
        </w:trPr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HLPLLHRCC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−8.35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−8.28 ± 0.07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Ser125, Tyr124,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Tyr337 </w:t>
            </w:r>
          </w:p>
        </w:tc>
      </w:tr>
      <w:tr>
        <w:trPr>
          <w:trHeight w:hRule="exact" w:val="38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HVLLLRQCA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−8.25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−8.07 ± 0.16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Thr75 </w:t>
            </w:r>
          </w:p>
        </w:tc>
      </w:tr>
      <w:tr>
        <w:trPr>
          <w:trHeight w:hRule="exact" w:val="38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LLHLPKRTT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−9.01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−8.89 ± 0.16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Adjacent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Ser203, Val340 </w:t>
            </w:r>
          </w:p>
        </w:tc>
      </w:tr>
      <w:tr>
        <w:trPr>
          <w:trHeight w:hRule="exact" w:val="36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LLHPLRC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−8.91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−8.78 ± 0.11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Ser125, Ser293 </w:t>
            </w:r>
          </w:p>
        </w:tc>
      </w:tr>
      <w:tr>
        <w:trPr>
          <w:trHeight w:hRule="exact" w:val="300"/>
        </w:trPr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LLHPLRL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−8.94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−8.91 ± 0.05 </w:t>
            </w:r>
          </w:p>
        </w:tc>
        <w:tc>
          <w:tcPr>
            <w:tcW w:type="dxa" w:w="1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Trp286, Tyr341,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His447 </w:t>
            </w:r>
          </w:p>
        </w:tc>
      </w:tr>
      <w:tr>
        <w:trPr>
          <w:trHeight w:hRule="exact" w:val="36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WLLVHLKK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−8.94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−8.64 ± 0.26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Asn283, Gln279 </w:t>
            </w:r>
          </w:p>
        </w:tc>
      </w:tr>
      <w:tr>
        <w:trPr>
          <w:trHeight w:hRule="exact" w:val="380"/>
        </w:trPr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YHHLLCRR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−9.03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−8.62 ± 0.43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Trp86, Ser203 </w:t>
            </w:r>
          </w:p>
        </w:tc>
      </w:tr>
      <w:tr>
        <w:trPr>
          <w:trHeight w:hRule="exact" w:val="300"/>
        </w:trPr>
        <w:tc>
          <w:tcPr>
            <w:tcW w:type="dxa" w:w="2180"/>
            <w:gridSpan w:val="2"/>
            <w:vMerge w:val="restart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4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YLSLLQR </w:t>
            </w:r>
          </w:p>
        </w:tc>
        <w:tc>
          <w:tcPr>
            <w:tcW w:type="dxa" w:w="1580"/>
            <w:vMerge w:val="restart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476"/>
            <w:vMerge w:val="restart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−9.49 </w:t>
            </w:r>
          </w:p>
        </w:tc>
        <w:tc>
          <w:tcPr>
            <w:tcW w:type="dxa" w:w="1504"/>
            <w:vMerge w:val="restart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−9.44 ± 0.09 </w:t>
            </w:r>
          </w:p>
        </w:tc>
        <w:tc>
          <w:tcPr>
            <w:tcW w:type="dxa" w:w="1504"/>
            <w:vMerge w:val="restart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Tyr72, Thr75, </w:t>
            </w:r>
          </w:p>
        </w:tc>
      </w:tr>
      <w:tr>
        <w:trPr>
          <w:trHeight w:hRule="exact" w:val="322"/>
        </w:trPr>
        <w:tc>
          <w:tcPr>
            <w:tcW w:type="dxa" w:w="2622"/>
            <w:gridSpan w:val="2"/>
            <w:vMerge/>
            <w:tcBorders>
              <w:bottom w:sz="11.200000000000273" w:val="single" w:color="#000000"/>
            </w:tcBorders>
          </w:tcPr>
          <w:p/>
        </w:tc>
        <w:tc>
          <w:tcPr>
            <w:tcW w:type="dxa" w:w="1311"/>
            <w:vMerge/>
            <w:tcBorders>
              <w:bottom w:sz="11.200000000000273" w:val="single" w:color="#000000"/>
            </w:tcBorders>
          </w:tcPr>
          <w:p/>
        </w:tc>
        <w:tc>
          <w:tcPr>
            <w:tcW w:type="dxa" w:w="1311"/>
            <w:vMerge/>
            <w:tcBorders>
              <w:bottom w:sz="11.200000000000273" w:val="single" w:color="#000000"/>
            </w:tcBorders>
          </w:tcPr>
          <w:p/>
        </w:tc>
        <w:tc>
          <w:tcPr>
            <w:tcW w:type="dxa" w:w="1311"/>
            <w:vMerge/>
            <w:tcBorders>
              <w:bottom w:sz="11.200000000000273" w:val="single" w:color="#000000"/>
            </w:tcBorders>
          </w:tcPr>
          <w:p/>
        </w:tc>
        <w:tc>
          <w:tcPr>
            <w:tcW w:type="dxa" w:w="1311"/>
            <w:vMerge/>
            <w:tcBorders>
              <w:bottom w:sz="11.200000000000273" w:val="single" w:color="#000000"/>
            </w:tcBorders>
          </w:tcPr>
          <w:p/>
        </w:tc>
        <w:tc>
          <w:tcPr>
            <w:tcW w:type="dxa" w:w="2216"/>
            <w:gridSpan w:val="2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Glu202 </w:t>
            </w:r>
          </w:p>
        </w:tc>
      </w:tr>
      <w:tr>
        <w:trPr>
          <w:trHeight w:hRule="exact" w:val="6846"/>
        </w:trPr>
        <w:tc>
          <w:tcPr>
            <w:tcW w:type="dxa" w:w="1260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gridSpan w:val="2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594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19 of 34 - Integrity Submission</w:t>
            </w:r>
          </w:p>
        </w:tc>
        <w:tc>
          <w:tcPr>
            <w:tcW w:type="dxa" w:w="1476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59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59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4297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4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0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2. Three-run Vina scores against human AChE (PDB 4EY6).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Blue circles, mean; whiskers, SD; </w:t>
      </w:r>
    </w:p>
    <w:p>
      <w:pPr>
        <w:autoSpaceDN w:val="0"/>
        <w:autoSpaceDE w:val="0"/>
        <w:widowControl/>
        <w:spacing w:line="233" w:lineRule="auto" w:before="10" w:after="8178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orange diamonds, best run. Order follows best-run rank.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520573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2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0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3. Best docking poses, peptides 1–6 (A–F).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Peptide, orange; contacting residues, cyan. FLLHTTR (C) </w:t>
      </w:r>
    </w:p>
    <w:p>
      <w:pPr>
        <w:autoSpaceDN w:val="0"/>
        <w:autoSpaceDE w:val="0"/>
        <w:widowControl/>
        <w:spacing w:line="230" w:lineRule="auto" w:before="10" w:after="5402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the densest PAS pose.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520573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2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8" w:after="0"/>
        <w:ind w:left="72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4. Best docking poses, peptides 7–12 (G–L).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LLHPLRL (I) spans PAS Trp286/Tyr341 to catalytic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His447. YLSLLQR (L) bridges PAS and the gorge mouth. </w:t>
      </w:r>
    </w:p>
    <w:p>
      <w:pPr>
        <w:autoSpaceDN w:val="0"/>
        <w:autoSpaceDE w:val="0"/>
        <w:widowControl/>
        <w:spacing w:line="439" w:lineRule="auto" w:before="70" w:after="2306"/>
        <w:ind w:left="720" w:right="682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 contacts in the best pose were seen for FLLHTTR (Figure 3C), YLSLLQR (Figure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4L), FCLHLQLR, HVLLLRQCA, HLLTLKKHV and LLHPLRL (Figure 4I). ALLLHRC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binds catalytic Ser203 with the shortest mean hydrogen bond (2.83 Å) rather than the outer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 aromatics (Figure 3A). Three-run means separate ligands that stay strong across runs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(YLSLLQR, ALLLHRC, LLHPLRL) from ligands whose best pose is better than the run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 (FLLHTTR, FCLHLQLR, YHHLLCRR).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23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30" w:lineRule="auto" w:before="58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100-ns dynamics of apo AChE and three complexes </w:t>
      </w:r>
    </w:p>
    <w:p>
      <w:pPr>
        <w:autoSpaceDN w:val="0"/>
        <w:autoSpaceDE w:val="0"/>
        <w:widowControl/>
        <w:spacing w:line="418" w:lineRule="auto" w:before="346" w:after="11914"/>
        <w:ind w:left="720" w:right="680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Production runs finished for apo AChE and the ALLLHRC, FLLHTTR and YLSLLQR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complexes (Table 7, Figures 5–7). Each six-panel figure compares apo with one complex: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RMSD (A), RMSF (B), SASA (C), Rg (D), last-20-ns DSSP (E) and intermolecular hydrogen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bonds (F).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23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24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69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6" w:after="0"/>
        <w:ind w:left="72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5. Apo AChE versus AChE–ALLLHRC.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Panels A–F match Table 7. Complex RMSD (A) tracks apo;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hydrogen bonds (F) fall from early occupancy to about two in the last 20 ns. </w:t>
      </w:r>
    </w:p>
    <w:p>
      <w:pPr>
        <w:autoSpaceDN w:val="0"/>
        <w:autoSpaceDE w:val="0"/>
        <w:widowControl/>
        <w:spacing w:line="240" w:lineRule="auto" w:before="6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696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8" w:after="1756"/>
        <w:ind w:left="72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6. Apo AChE versus AChE–FLLHTTR.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After ~50 ns, complex RMSD (A) lies below apo. Hydrogen-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bond counts (F) stay in the 6–10 range for the full 100 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24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25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69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6" w:after="0"/>
        <w:ind w:left="72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7. Apo AChE versus AChE–YLSLLQR.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Late RMSD (A) is below apo. SASA (C) is the only complex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contracts relative to apo. </w:t>
      </w:r>
    </w:p>
    <w:p>
      <w:pPr>
        <w:autoSpaceDN w:val="0"/>
        <w:autoSpaceDE w:val="0"/>
        <w:widowControl/>
        <w:spacing w:line="230" w:lineRule="auto" w:before="130" w:after="58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7. Last-20-ns metrics (mean ± SD) for apo AChE and three complexes.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097"/>
        <w:gridCol w:w="2097"/>
        <w:gridCol w:w="2097"/>
        <w:gridCol w:w="2097"/>
        <w:gridCol w:w="2097"/>
      </w:tblGrid>
      <w:tr>
        <w:trPr>
          <w:trHeight w:hRule="exact" w:val="398"/>
        </w:trPr>
        <w:tc>
          <w:tcPr>
            <w:tcW w:type="dxa" w:w="1808"/>
            <w:tcBorders>
              <w:top w:sz="12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Metric </w:t>
            </w:r>
          </w:p>
        </w:tc>
        <w:tc>
          <w:tcPr>
            <w:tcW w:type="dxa" w:w="1804"/>
            <w:tcBorders>
              <w:top w:sz="12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apo AChE </w:t>
            </w:r>
          </w:p>
        </w:tc>
        <w:tc>
          <w:tcPr>
            <w:tcW w:type="dxa" w:w="1806"/>
            <w:tcBorders>
              <w:top w:sz="12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ALLLHRC </w:t>
            </w:r>
          </w:p>
        </w:tc>
        <w:tc>
          <w:tcPr>
            <w:tcW w:type="dxa" w:w="1804"/>
            <w:tcBorders>
              <w:top w:sz="12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FLLHTTR </w:t>
            </w:r>
          </w:p>
        </w:tc>
        <w:tc>
          <w:tcPr>
            <w:tcW w:type="dxa" w:w="1806"/>
            <w:tcBorders>
              <w:top w:sz="12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YLSLLQR </w:t>
            </w:r>
          </w:p>
        </w:tc>
      </w:tr>
      <w:tr>
        <w:trPr>
          <w:trHeight w:hRule="exact" w:val="358"/>
        </w:trPr>
        <w:tc>
          <w:tcPr>
            <w:tcW w:type="dxa" w:w="1808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Cα RMSD (nm) </w:t>
            </w:r>
          </w:p>
        </w:tc>
        <w:tc>
          <w:tcPr>
            <w:tcW w:type="dxa" w:w="1804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0.1897 ± 0.0090 </w:t>
            </w:r>
          </w:p>
        </w:tc>
        <w:tc>
          <w:tcPr>
            <w:tcW w:type="dxa" w:w="1806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0.1916 ± 0.0092 </w:t>
            </w:r>
          </w:p>
        </w:tc>
        <w:tc>
          <w:tcPr>
            <w:tcW w:type="dxa" w:w="1804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0.1640 ± 0.0080 </w:t>
            </w:r>
          </w:p>
        </w:tc>
        <w:tc>
          <w:tcPr>
            <w:tcW w:type="dxa" w:w="1806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0.1625 ± 0.0078 </w:t>
            </w:r>
          </w:p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Peptide self-fit 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0.2518 ± 0.0136 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0.1752 ± 0.0111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0.0911 ± 0.0098 </w:t>
            </w:r>
          </w:p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RMSD (nm) 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RMSF mean (nm)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0.0835 ± 0.0659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0.0876 ± 0.0581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0.0778 ± 0.0504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0.0771 ± 0.0498 </w:t>
            </w:r>
          </w:p>
        </w:tc>
      </w:tr>
      <w:tr>
        <w:trPr>
          <w:trHeight w:hRule="exact" w:val="38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SASA (nm²)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212.25 ± 2.89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217.47 ± 2.49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213.88 ± 2.36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209.71 ± 2.35 </w:t>
            </w:r>
          </w:p>
        </w:tc>
      </w:tr>
      <w:tr>
        <w:trPr>
          <w:trHeight w:hRule="exact" w:val="36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Rg (nm)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2.3045 ± 0.0056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2.3107 ± 0.0052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2.2967 ± 0.0047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2.3028 ± 0.0051 </w:t>
            </w:r>
          </w:p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Intermolecular H-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2.19 ± 0.80 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7.03 ± 1.28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2.93 ± 1.14 </w:t>
            </w:r>
          </w:p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bonds 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Persistent contact 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pairs 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DSSP α-helix / β-</w:t>
            </w:r>
          </w:p>
        </w:tc>
        <w:tc>
          <w:tcPr>
            <w:tcW w:type="dxa" w:w="1804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33.44 / 17.35 </w:t>
            </w:r>
          </w:p>
        </w:tc>
        <w:tc>
          <w:tcPr>
            <w:tcW w:type="dxa" w:w="1806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33.66 / 16.76 </w:t>
            </w:r>
          </w:p>
        </w:tc>
        <w:tc>
          <w:tcPr>
            <w:tcW w:type="dxa" w:w="1804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32.92 / 17.52 </w:t>
            </w:r>
          </w:p>
        </w:tc>
        <w:tc>
          <w:tcPr>
            <w:tcW w:type="dxa" w:w="1806"/>
            <w:vMerge w:val="restart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4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33.31 / 17.02 </w:t>
            </w:r>
          </w:p>
        </w:tc>
      </w:tr>
      <w:tr>
        <w:trPr>
          <w:trHeight w:hRule="exact" w:val="328"/>
        </w:trPr>
        <w:tc>
          <w:tcPr>
            <w:tcW w:type="dxa" w:w="180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sheet (%) </w:t>
            </w:r>
          </w:p>
        </w:tc>
        <w:tc>
          <w:tcPr>
            <w:tcW w:type="dxa" w:w="2097"/>
            <w:vMerge/>
            <w:tcBorders>
              <w:bottom w:sz="11.199999999999818" w:val="single" w:color="#000000"/>
            </w:tcBorders>
          </w:tcPr>
          <w:p/>
        </w:tc>
        <w:tc>
          <w:tcPr>
            <w:tcW w:type="dxa" w:w="2097"/>
            <w:vMerge/>
            <w:tcBorders>
              <w:bottom w:sz="11.199999999999818" w:val="single" w:color="#000000"/>
            </w:tcBorders>
          </w:tcPr>
          <w:p/>
        </w:tc>
        <w:tc>
          <w:tcPr>
            <w:tcW w:type="dxa" w:w="2097"/>
            <w:vMerge/>
            <w:tcBorders>
              <w:bottom w:sz="11.199999999999818" w:val="single" w:color="#000000"/>
            </w:tcBorders>
          </w:tcPr>
          <w:p/>
        </w:tc>
        <w:tc>
          <w:tcPr>
            <w:tcW w:type="dxa" w:w="2097"/>
            <w:vMerge/>
            <w:tcBorders>
              <w:bottom w:sz="11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18" w:lineRule="auto" w:before="602" w:after="894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Apo RMSD levels near 0.19 nm (Figures 5A–7A). ALLLHRC follows that control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(complex 0.1916 nm). FLLHTTR and YLSLLQR drop below apo after 50–70 ns (0.1640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0.1625 nm), which reads as rigidification, not unfolding. Peptide self-fit RMSD is highest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 (0.2518 nm) and lowest for YLSLLQR (0.0911 nm). Catalytic-core RMSF stays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25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26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44" w:lineRule="auto" w:before="58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low; mean RMSF is below apo for FLLHTTR and YLSLLQR. Rg remains 2.30–2.31 nm.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 rises for ALLLHRC (217.47 nm²), sits near apo for FLLHTTR (213.88 nm²), and falls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for YLSLLQR (209.71 nm²; Figure 7C). Hydrogen-bond histories differ: ALLLHRC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decays to 2.19 ± 0.80; FLLHTTR holds 7.03 ± 1.28 for the whole run (Figure 6F); YLSLLQR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averages 2.93 ± 1.14. Helix (~33%) and sheet (~17%) overlay the apo bars. Each complex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keeps seven persistent contact pairs. Centre-of-mass RDF peaks lie at 1.22 nm (ALLLHRC),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1.80 nm (FLLHTTR) and 1.62 nm (YLSLLQR), i.e. surface residence rather than bulk solvent. </w:t>
      </w:r>
    </w:p>
    <w:p>
      <w:pPr>
        <w:autoSpaceDN w:val="0"/>
        <w:autoSpaceDE w:val="0"/>
        <w:widowControl/>
        <w:spacing w:line="233" w:lineRule="auto" w:before="52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Discussion </w:t>
      </w:r>
    </w:p>
    <w:p>
      <w:pPr>
        <w:autoSpaceDN w:val="0"/>
        <w:autoSpaceDE w:val="0"/>
        <w:widowControl/>
        <w:spacing w:line="230" w:lineRule="auto" w:before="51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Principal findings </w:t>
      </w:r>
    </w:p>
    <w:p>
      <w:pPr>
        <w:autoSpaceDN w:val="0"/>
        <w:autoSpaceDE w:val="0"/>
        <w:widowControl/>
        <w:spacing w:line="456" w:lineRule="auto" w:before="346" w:after="0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Twenty-two UniDL4BioPep heads scored 11.27 million healthy-labelled and 11.72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million periodontitis-labelled oral smORFs at ≥0.80. Catalogue matching, NTxPred2,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and AnOxPePred then reduced the periodontitis branch to twelve explicit 7–9-aa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peptides. All twelve docked to human AChE with best-run Vina affinities between −8.25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−9.60 kcal/mol (Figure 2, Table 6). FLLHTTR, YLSLLQR and LLHPLRL contact the PAS.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100 ns, apo AChE and the ALLLHRC, FLLHTTR and YLSLLQR complexes remain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globular; FLLHTTR and YLSLLQR become more compact than apo, and FLLHTTR keeps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densest intermolecular hydrogen-bond net (Table 7, Figures 5–7). These objects define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ligand set for the same PAS that accelerates Aβ assembly [4,18]. They do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demonstrate transport, expression or disease causality. </w:t>
      </w:r>
    </w:p>
    <w:p>
      <w:pPr>
        <w:autoSpaceDN w:val="0"/>
        <w:autoSpaceDE w:val="0"/>
        <w:widowControl/>
        <w:spacing w:line="230" w:lineRule="auto" w:before="46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How the two libraries differ </w:t>
      </w:r>
    </w:p>
    <w:p>
      <w:pPr>
        <w:autoSpaceDN w:val="0"/>
        <w:autoSpaceDE w:val="0"/>
        <w:widowControl/>
        <w:spacing w:line="418" w:lineRule="auto" w:before="346" w:after="674"/>
        <w:ind w:left="72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healthy and periodontitis libraries are close on most UniDL4BioPep heads (Tables 1–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3). BBB (BBP) rates differ by 0.12 percentage points (9.72% versus 9.60%), so a BBB-high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 is not a periodontitis stamp. Periodontitis exceeds healthy by ≥1 percentage point only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quorum sensing (+1.39). Healthy is higher for antifungal (−2.50), anti-parasitic (−2.36),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26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27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39" w:lineRule="auto" w:before="58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antioxidant FRS (−1.95), antiviral (−1.89), antibacterial (−1.42), CPP (−1.24), anticancer-main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(−1.22) and umami (−1.00). Antimicrobial is essentially tied (87.89% versus 87.69%). Those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percentages are library-wide score rates. Without a row-wise overlap map, the twelve docking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sequences cannot be shown to be absent from the healthy library, and the periodontitis label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cannot be transferred to an individual peptide. Physicochemical descriptors in Table 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characterise the docking ligands; they are not a disease contrast. </w:t>
      </w:r>
    </w:p>
    <w:p>
      <w:pPr>
        <w:autoSpaceDN w:val="0"/>
        <w:autoSpaceDE w:val="0"/>
        <w:widowControl/>
        <w:spacing w:line="449" w:lineRule="auto" w:before="286" w:after="0"/>
        <w:ind w:left="72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Serial agreement among UniDL4BioPep, NTxPred2, mebipred and AnOxPePred is a filter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stack. ESM embeddings, composition features and task-specific training sets can share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correlated errors [23–26]. Near-universal antimicrobial positivity in both libraries illustrates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point: a score above 0.80 ranks sequences, it does not establish BBB transport,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neurotoxicity, metal binding or redox chemistry. The same predict-then-filter order used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mine microbiome peptide antibiotics [31] is therefore retained as triage. Catalogue matches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 HOMD, eHOMD and oral metaproteomes support prior observation of a string [21–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22,32–34]; they do not prove translation in PRJNA678453 samples [7,15–16]. </w:t>
      </w:r>
    </w:p>
    <w:p>
      <w:pPr>
        <w:autoSpaceDN w:val="0"/>
        <w:autoSpaceDE w:val="0"/>
        <w:widowControl/>
        <w:spacing w:line="230" w:lineRule="auto" w:before="46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A possible PAS-centred path from oral peptides to AD </w:t>
      </w:r>
    </w:p>
    <w:p>
      <w:pPr>
        <w:autoSpaceDN w:val="0"/>
        <w:autoSpaceDE w:val="0"/>
        <w:widowControl/>
        <w:spacing w:line="456" w:lineRule="auto" w:before="346" w:after="694"/>
        <w:ind w:left="72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 pairs amyloid deposition with cholinergic failure [2–3]. Independently of catalysis,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 accelerates Aβ fibril assembly through the PAS, and AChE–Aβ complexes are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 than Aβ alone [4]. A hydrophobic PAS motif is sufficient to promote that chaperone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activity [5]. PAS-directed ligands suppress AChE-induced aggregation in biochemical assays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[19]. Accelerated MD places Aβ on the AChE surface as a nucleation centre [17]. A 1-μs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trajectory keeps Aβ at the PAS, with principal residence at residues 344–361 [18].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P.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supply an exposure context: the organism and gingipains have been reported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 brains, and repeated oral infection in mice produces neuroinflammation and Aβ-related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[6,12–13]. Docking and 100-ns trajectories indicate that periodontitis-derived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micropeptides can occupy that same PAS. Four linked steps outline a possible mechanism.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27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28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30" w:lineRule="auto" w:before="58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PAS recognition and gorge-entrance occupancy. </w:t>
      </w:r>
    </w:p>
    <w:p>
      <w:pPr>
        <w:autoSpaceDN w:val="0"/>
        <w:autoSpaceDE w:val="0"/>
        <w:widowControl/>
        <w:spacing w:line="456" w:lineRule="auto" w:before="286" w:after="0"/>
        <w:ind w:left="720" w:right="576" w:firstLine="60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Best poses of the twelve peptides concentrate at the PAS and gorge mouth of human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 (PDB 4EY6; Figures 2–4). FLLHTTR anchors the canonical PAS residues Asp74,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Tyr72 and His287 (best-run −9.60 kcal/mol; Figure 3C). YLSLLQR contacts PAS (Tyr72,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Thr75) and the catalytic entrance (three-run mean −9.44 ± 0.09 kcal/mol; Figure 4L).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LLHPLRL spans the PAS gatekeepers Trp286/Tyr341 to catalytic His447 (Figure 4I).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HLLTLKKHV reaches Tyr72 and Phe346 in the 344–361 residence zone reported for Aβ.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geometry is the PAS Inestrosa identified as the pro-fibrillar site and that Atanasova occupied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Aβ. The aromatic gorge that joins the triad to the PAS was mapped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Torpedo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[20,36]. Vina ranks poses inside a fixed grid; the scores are not experimental free energies [27–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28].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 surface-bound enzyme–peptide complex. </w:t>
      </w:r>
    </w:p>
    <w:p>
      <w:pPr>
        <w:autoSpaceDN w:val="0"/>
        <w:autoSpaceDE w:val="0"/>
        <w:widowControl/>
        <w:spacing w:line="458" w:lineRule="auto" w:before="286" w:after="0"/>
        <w:ind w:left="720" w:right="678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Over 100 ns the enzyme remains globular (RMSD 0.16–0.19 nm, Rg 2.30–2.31 nm,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helix ~33% / sheet ~17%; Figures 5–7). FLLHTTR and YLSLLQR complexes become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compact than apo in late RMSD (0.1640 and 0.1625 nm versus 0.1897 nm), so the peptide stays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surface and stiffens the fold. Intermolecular hydrogen bonds persist: FLLHTTR holds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dense polar net throughout (7.03 ± 1.28; Figure 6F), YLSLLQR averages 2.93 ± 1.14,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 retains seven contact pairs after early rearrangement. Peptide self-fit RMSD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 for YLSLLQR (0.0911 nm) and highest for ALLLHRC (0.2518 nm). Centre-of-mass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RDF peaks lie at 1.22–1.80 nm, consistent with surface residence rather than bulk solvent.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Lushchekina and Atanasova described a surface-bound, non-dissociating AChE–Aβ complex;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occupancy pattern appears here for oral micropeptides, on a 100-ns rather than 1-μs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window. </w:t>
      </w:r>
    </w:p>
    <w:p>
      <w:pPr>
        <w:autoSpaceDN w:val="0"/>
        <w:autoSpaceDE w:val="0"/>
        <w:widowControl/>
        <w:spacing w:line="230" w:lineRule="auto" w:before="286" w:after="1484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Restricted acetylcholine access.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28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29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430" w:lineRule="auto" w:before="580" w:after="0"/>
        <w:ind w:left="1290" w:right="678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PAS sits at the mouth of the 20-Å gorge that feeds the catalytic triad [3,20].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occupancy of Asp74/Tyr72/Trp286/Tyr341 can hinder substrate entry even while the catalytic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core remains folded (low RMSF in panels B of Figures 5–7). A pose that docks to the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 intersects the cholinergic axis of AD: reduced access of acetylcholine at synapses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already depleted after basal-forebrain loss. </w:t>
      </w:r>
    </w:p>
    <w:p>
      <w:pPr>
        <w:autoSpaceDN w:val="0"/>
        <w:autoSpaceDE w:val="0"/>
        <w:widowControl/>
        <w:spacing w:line="230" w:lineRule="auto" w:before="28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Pathological chaperone activity. </w:t>
      </w:r>
    </w:p>
    <w:p>
      <w:pPr>
        <w:autoSpaceDN w:val="0"/>
        <w:autoSpaceDE w:val="0"/>
        <w:widowControl/>
        <w:spacing w:line="449" w:lineRule="auto" w:before="286" w:after="0"/>
        <w:ind w:left="1290" w:right="678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Because the PAS is a documented pro-fibrillar site [4–5], a heterologous peptide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remains there can lower the nucleation barrier for endogenous Aβ. FLLHTTR supplies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persistent polar net on the PAS (Figure 6F) that matches its docking pose (Figure 3C).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buries surface (SASA 209.71 versus 212.25 nm²; Figure 7C) and is the most rigid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 peptide. Folded AChE then presents a peptide-coated PAS on which Aβ oligomers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co-assemble, which is Lushchekina’s nucleation-centre picture applied to an oral ligand.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AChE–Aβ assemblies are already more synaptotoxic than free Aβ [4]. A bacterial micropeptide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same site is a possible route to hybrid nuclei. </w:t>
      </w:r>
    </w:p>
    <w:p>
      <w:pPr>
        <w:autoSpaceDN w:val="0"/>
        <w:autoSpaceDE w:val="0"/>
        <w:widowControl/>
        <w:spacing w:line="230" w:lineRule="auto" w:before="466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From the oral cavity to cortical AChE </w:t>
      </w:r>
    </w:p>
    <w:p>
      <w:pPr>
        <w:autoSpaceDN w:val="0"/>
        <w:autoSpaceDE w:val="0"/>
        <w:widowControl/>
        <w:spacing w:line="444" w:lineRule="auto" w:before="346" w:after="286"/>
        <w:ind w:left="1290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Chronic periodontitis can move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P.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products into blood through a disrupted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epithelium, gingipains and outer-membrane vesicles [8–9]. Systemic cytokines and proteases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 BBB leakiness [6]. Short, leucine-rich, cationic peptides that scored BBB-high—a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 almost as common in the healthy library—could in principle reach interstitial fluid [12,35].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 docking then supplies a landing site on an enzyme that is both a cholinergic hydrolase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amyloid chaperone. Meta-analyses link periodontal disease to cognitive disorders, although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 sizes move with case definitions [10], and periodontitis tracked later decline in an 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8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cohort [11].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two-sample Mendelian randomization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analysis did not support a genetic causal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694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 of periodontal disease on AD [14]. The twelve sequences are treated as pathogenic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candidates because they occupy the experimentally mapped Aβ-binding PAS and remain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29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55" w:lineRule="auto" w:before="580" w:after="0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 for 100 ns. Complex RMSD that stays at or below apo is local adaptation of a folded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enzyme, not evidence that the peptide is harmless or that it is proven to seed amyloid in tissue. </w:t>
      </w:r>
    </w:p>
    <w:p>
      <w:pPr>
        <w:autoSpaceDN w:val="0"/>
        <w:autoSpaceDE w:val="0"/>
        <w:widowControl/>
        <w:spacing w:line="418" w:lineRule="auto" w:before="286" w:after="0"/>
        <w:ind w:left="1290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calculation therefore connects three literatures that are usually kept apart: oral smORF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 space [15,31], the PAS chaperone activity of AChE [4,18], and the periodontitis–AD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 context [12–13]. What it supports is a bounded structural hypothesis. What it does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replace is measured expression, transport, affinity or an Aβ-aggregation assay. </w:t>
      </w:r>
    </w:p>
    <w:p>
      <w:pPr>
        <w:autoSpaceDN w:val="0"/>
        <w:autoSpaceDE w:val="0"/>
        <w:widowControl/>
        <w:spacing w:line="233" w:lineRule="auto" w:before="528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Conclusions </w:t>
      </w:r>
    </w:p>
    <w:p>
      <w:pPr>
        <w:autoSpaceDN w:val="0"/>
        <w:autoSpaceDE w:val="0"/>
        <w:widowControl/>
        <w:spacing w:line="454" w:lineRule="auto" w:before="450" w:after="0"/>
        <w:ind w:left="1290" w:right="680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Twelve 7–9-aa peptides from a periodontitis-labelled oral smORF library dock to human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AChE. FLLHTTR, YLSLLQR and ALLLHRC remain on the surface for 100 ns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unfolding the enzyme. FLLHTTR forms the densest PAS hydrogen-bond net; YLSLLQR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only complex that buries solvent-accessible surface. Healthy and periodontitis libraries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 little on BBB-high rate; quorum sensing is the only head at which periodontitis is higher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≥1 percentage point. Read against the amyloid cascade [2], the cholinergic hypothesis [3],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PAS chaperone work of Inestrosa, Lushchekina and Atanasova, the calculations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a possible mechanism in which oral pathogenic peptides occupy AChE, hinder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acetylcholine access, and co-nucleate Aβ on the same PAS. </w:t>
      </w:r>
    </w:p>
    <w:p>
      <w:pPr>
        <w:autoSpaceDN w:val="0"/>
        <w:autoSpaceDE w:val="0"/>
        <w:widowControl/>
        <w:spacing w:line="230" w:lineRule="auto" w:before="528" w:after="452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9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Scheltens P, De Strooper B, Kivipelto M, et al. Alzheimer’s disease.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Lancet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2021;397(10284):1577–1590. doi:10.1016/S0140-6736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(20)32205-4.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15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 Selkoe DJ, Hardy J.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amyloid hypothesis of Alzheimer’s disease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 25 years.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EMBO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/>
          <w:color w:val="000000"/>
          <w:sz w:val="24"/>
        </w:rPr>
        <w:t>Mol Med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. 2016;8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(6):595–608. doi:10.15252/emmm.201606210.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9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Hampel H, Mesulam MM, Cuello AC, et al. The cholinergic system in 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582"/>
        <w:ind w:left="1650" w:right="864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pathophysiology and treatment of Alzheimer’s disease. </w:t>
      </w:r>
      <w:r>
        <w:rPr>
          <w:shd w:val="clear" w:color="auto" w:fill="fddce7"/>
          <w:rFonts w:ascii="Times New Roman" w:hAnsi="Times New Roman" w:eastAsia="Times New Roman"/>
          <w:b w:val="0"/>
          <w:i/>
          <w:color w:val="000000"/>
          <w:sz w:val="24"/>
        </w:rPr>
        <w:t>Brain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. 2018;141(7):1917–1933.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doi:10.1093/brain/awy132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30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11"/>
        <w:gridCol w:w="2211"/>
        <w:gridCol w:w="2211"/>
        <w:gridCol w:w="2211"/>
        <w:gridCol w:w="2211"/>
      </w:tblGrid>
      <w:tr>
        <w:trPr>
          <w:trHeight w:hRule="exact" w:val="970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6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Inestrosa NC, Alvarez A, Pérez CA, et al. Acetylcholinesterase accelerates assembly 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2160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 xml:space="preserve">amyloid-β-peptides into Alzheimer’s fibrils. </w:t>
      </w:r>
      <w:r>
        <w:rPr>
          <w:shd w:val="clear" w:color="auto" w:fill="fddce7"/>
          <w:rFonts w:ascii="Times New Roman" w:hAnsi="Times New Roman" w:eastAsia="Times New Roman"/>
          <w:b w:val="0"/>
          <w:i/>
          <w:color w:val="000000"/>
          <w:sz w:val="24"/>
        </w:rPr>
        <w:t>Neuron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. 1996;16(4):881–891.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doi:10.1016/s0896-6273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(00)80108-7.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 Ferrari GV, Canales MA, Shin 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et al.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structural motif of acetylcholinesterase that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864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promotes amyloid β-peptide fibril formation. </w:t>
      </w:r>
      <w:r>
        <w:rPr>
          <w:shd w:val="clear" w:color="auto" w:fill="fddce7"/>
          <w:rFonts w:ascii="Times New Roman" w:hAnsi="Times New Roman" w:eastAsia="Times New Roman"/>
          <w:b w:val="0"/>
          <w:i/>
          <w:color w:val="000000"/>
          <w:sz w:val="24"/>
        </w:rPr>
        <w:t>Biochemistry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. 2001;40(35):10447–10457.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doi:10.1021/bi0101392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 Chalmers JC, Hernandez-Kapila YL.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role of the oral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microbiome, host response, and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886" w:right="0" w:firstLine="0"/>
              <w:jc w:val="left"/>
            </w:pP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periodontal disease treatment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 Alzheimer’s disease: 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primer.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Periodontol 2000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2025;98(1):220–227. doi:10.1111/prd.12631.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</w:t>
            </w:r>
          </w:p>
        </w:tc>
        <w:tc>
          <w:tcPr>
            <w:tcW w:type="dxa" w:w="10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Belstrøm D, Constancias F, Drautz-Moses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DI,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et al. Periodontitis associates with species-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1008" w:firstLine="0"/>
        <w:jc w:val="left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gene expression of the oral microbiota. </w:t>
      </w:r>
      <w:r>
        <w:rPr>
          <w:shd w:val="clear" w:color="auto" w:fill="d6e4fa"/>
          <w:rFonts w:ascii="Times New Roman" w:hAnsi="Times New Roman" w:eastAsia="Times New Roman"/>
          <w:b w:val="0"/>
          <w:i/>
          <w:color w:val="000000"/>
          <w:sz w:val="24"/>
        </w:rPr>
        <w:t>npj Biofilms Microbiomes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2021;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7:76.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doi:10.1038/s41522-021-00247-y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23</w:t>
            </w: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 Guo Y, Nguyen KA, Potempa J.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Dichotomy of gingipains action as virulence factors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Periodontol 2000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2010;54(1):15–44.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doi:10.1111/j.1600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-0757.2010.00377.x.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9. Ho MH, Chen CH, Goodwin JS, et al.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Functional advantages of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Porphyromonas gingivalis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vesicles.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PLoS 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2015;10(4):e0123448.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doi:10.1371/journal.pone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.0123448.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Larvin H, Gao C, Kang J, et al. The impact of study factors in the association 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periodontal disease and cognitive disorders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Age Ageing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2023;52(2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):afad015.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doi:10.1093/ageing/afad015.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19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11. Ide M, Harris M, Stevens A, et al. Periodontitis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cognitive decline in Alzheimer’s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4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4" w:after="0"/>
              <w:ind w:left="88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disease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PLoS 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2016;11(3):e0151081.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doi:10.1371/journal.pone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.0151081.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Dominy SS, Lynch C, Ermini 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 al.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Porphyromonas gingivalis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 Alzheimer’s disease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036"/>
        <w:ind w:left="1650" w:right="0" w:firstLine="0"/>
        <w:jc w:val="left"/>
      </w:pPr>
      <w:r>
        <w:rPr>
          <w:shd w:val="clear" w:color="auto" w:fill="c1ecdf"/>
          <w:rFonts w:ascii="Times New Roman" w:hAnsi="Times New Roman" w:eastAsia="Times New Roman"/>
          <w:b w:val="0"/>
          <w:i w:val="0"/>
          <w:color w:val="000000"/>
          <w:sz w:val="24"/>
        </w:rPr>
        <w:t xml:space="preserve">brains. </w:t>
      </w:r>
      <w:r>
        <w:rPr>
          <w:shd w:val="clear" w:color="auto" w:fill="c1ecdf"/>
          <w:rFonts w:ascii="Times New Roman" w:hAnsi="Times New Roman" w:eastAsia="Times New Roman"/>
          <w:b w:val="0"/>
          <w:i/>
          <w:color w:val="000000"/>
          <w:sz w:val="24"/>
        </w:rPr>
        <w:t>Sci Adv</w:t>
      </w:r>
      <w:r>
        <w:rPr>
          <w:shd w:val="clear" w:color="auto" w:fill="c1ecdf"/>
          <w:rFonts w:ascii="Times New Roman" w:hAnsi="Times New Roman" w:eastAsia="Times New Roman"/>
          <w:b w:val="0"/>
          <w:i w:val="0"/>
          <w:color w:val="000000"/>
          <w:sz w:val="24"/>
        </w:rPr>
        <w:t>. 2019;5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(1):</w:t>
      </w:r>
      <w:r>
        <w:rPr>
          <w:shd w:val="clear" w:color="auto" w:fill="c1ecdf"/>
          <w:rFonts w:ascii="Times New Roman" w:hAnsi="Times New Roman" w:eastAsia="Times New Roman"/>
          <w:b w:val="0"/>
          <w:i w:val="0"/>
          <w:color w:val="000000"/>
          <w:sz w:val="24"/>
        </w:rPr>
        <w:t>eaau3333. doi:10.1126/sciadv.aau3333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31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tabs>
          <w:tab w:pos="1650" w:val="left"/>
        </w:tabs>
        <w:autoSpaceDE w:val="0"/>
        <w:widowControl/>
        <w:spacing w:line="355" w:lineRule="auto" w:before="580" w:after="286"/>
        <w:ind w:left="129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Ilievski V, Zuchowska PK, Green SJ, et al. Chronic oral application of a periodontal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pathogen results in brain inflammation, neurodegeneration and amyloid beta production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7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wild type mice.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PLoS 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2018;13(10):e0204941.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doi:10.1371/journal.pone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.0204941.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 Hu C, Li H, Huang L, et al. Periodontal disease and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risk of Alzheimer’s disease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two-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2880" w:firstLine="0"/>
        <w:jc w:val="left"/>
      </w:pPr>
      <w:r>
        <w:rPr>
          <w:shd w:val="clear" w:color="auto" w:fill="ecdffd"/>
          <w:rFonts w:ascii="Times New Roman" w:hAnsi="Times New Roman" w:eastAsia="Times New Roman"/>
          <w:b w:val="0"/>
          <w:i w:val="0"/>
          <w:color w:val="000000"/>
          <w:sz w:val="24"/>
        </w:rPr>
        <w:t>sample Mendelian randomization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Brain Behav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2024;14(4):e3486.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doi:10.1002/brb3.3486.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6</w:t>
            </w:r>
          </w:p>
        </w:tc>
        <w:tc>
          <w:tcPr>
            <w:tcW w:type="dxa" w:w="10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Sberro H, Fremin BJ, Zlitni S, et al. Large-scale analyses of human microbiomes reveal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 xml:space="preserve">thousands of small, novel genes. </w:t>
      </w:r>
      <w:r>
        <w:rPr>
          <w:shd w:val="clear" w:color="auto" w:fill="d6e4fa"/>
          <w:rFonts w:ascii="Times New Roman" w:hAnsi="Times New Roman" w:eastAsia="Times New Roman"/>
          <w:b w:val="0"/>
          <w:i/>
          <w:color w:val="000000"/>
          <w:sz w:val="24"/>
        </w:rPr>
        <w:t>Cell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2019;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178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(5):1245–1259.e14.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9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doi:10.1016/j.cell.2019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.07.016.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16. Durrant MG, Bhatt AS. Automated prediction and annotation of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small open reading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frames 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microbial genomes.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Cell Host Microbe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2021;29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(1):121–131.e4.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doi:10.1016/j.chom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.2020.11.002. </w:t>
            </w:r>
          </w:p>
        </w:tc>
      </w:tr>
    </w:tbl>
    <w:p>
      <w:pPr>
        <w:autoSpaceDN w:val="0"/>
        <w:autoSpaceDE w:val="0"/>
        <w:widowControl/>
        <w:spacing w:line="396" w:lineRule="auto" w:before="242" w:after="0"/>
        <w:ind w:left="1650" w:right="144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 Lushchekina SV, Kots ED, Novichkova DA, Petrov KA, Masson P. Role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acetylcholinesterase in β-amyloid aggregation studied by accelerated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dynamics.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BioNanoScience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2017;7(2):396–402. doi:10.1007/s12668-016-0375-x. </w:t>
      </w:r>
    </w:p>
    <w:p>
      <w:pPr>
        <w:autoSpaceDN w:val="0"/>
        <w:tabs>
          <w:tab w:pos="1650" w:val="left"/>
        </w:tabs>
        <w:autoSpaceDE w:val="0"/>
        <w:widowControl/>
        <w:spacing w:line="355" w:lineRule="auto" w:before="286" w:after="0"/>
        <w:ind w:left="129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 Atanasova M, Dimitrov I, Ivanov S. Molecular dynamics simulations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acetylcholinesterase–beta-amyloid peptide complex.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Cybern Inf Technol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286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2020;20(6):140–154. doi:10.2478/cait-2020-0068. </w:t>
      </w:r>
    </w:p>
    <w:p>
      <w:pPr>
        <w:autoSpaceDN w:val="0"/>
        <w:autoSpaceDE w:val="0"/>
        <w:widowControl/>
        <w:spacing w:line="398" w:lineRule="auto" w:before="286" w:after="286"/>
        <w:ind w:left="1650" w:right="115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19. Bartolini M, Bertucci C, Cavrini V, Andrisano V. β-Amyloid aggregation induced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acetylcholinesterase: inhibition studies.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Biochem Pharmacol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2003;65(3):407–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416. doi:10.1016/s0006-2952(02)01514-9.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9</w:t>
            </w:r>
          </w:p>
        </w:tc>
        <w:tc>
          <w:tcPr>
            <w:tcW w:type="dxa" w:w="10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Cheung J, Rudolph MJ, Burshteyn 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et al.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Structures of human acetylcholinesterase 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31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complex with pharmacologically important ligands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J Med Chem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2012;55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(23):10282–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1484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10286. doi:10.1021/jm300871x.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32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43"/>
        <w:gridCol w:w="1843"/>
        <w:gridCol w:w="1843"/>
        <w:gridCol w:w="1843"/>
        <w:gridCol w:w="1843"/>
        <w:gridCol w:w="1843"/>
      </w:tblGrid>
      <w:tr>
        <w:trPr>
          <w:trHeight w:hRule="exact" w:val="970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33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18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215d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30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21. Chen T, Yu WH, Izard J, et al.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Human Oral Microbiome Database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web accessible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0"/>
        <w:ind w:left="1650" w:right="1008" w:firstLine="0"/>
        <w:jc w:val="left"/>
      </w:pPr>
      <w:r>
        <w:rPr>
          <w:shd w:val="clear" w:color="auto" w:fill="ecdffd"/>
          <w:rFonts w:ascii="Times New Roman" w:hAnsi="Times New Roman" w:eastAsia="Times New Roman"/>
          <w:b w:val="0"/>
          <w:i w:val="0"/>
          <w:color w:val="000000"/>
          <w:sz w:val="24"/>
        </w:rPr>
        <w:t xml:space="preserve">resource for investigating oral microbe taxonomic and genomic information. </w:t>
      </w:r>
      <w:r>
        <w:rPr>
          <w:shd w:val="clear" w:color="auto" w:fill="ecdffd"/>
          <w:rFonts w:ascii="Times New Roman" w:hAnsi="Times New Roman" w:eastAsia="Times New Roman"/>
          <w:b w:val="0"/>
          <w:i/>
          <w:color w:val="000000"/>
          <w:sz w:val="24"/>
        </w:rPr>
        <w:t>Database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(Oxford)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2010;2010:baq013. doi:10.1093/database/baq013. </w:t>
      </w:r>
    </w:p>
    <w:p>
      <w:pPr>
        <w:autoSpaceDN w:val="0"/>
        <w:autoSpaceDE w:val="0"/>
        <w:widowControl/>
        <w:spacing w:line="230" w:lineRule="auto" w:before="286" w:after="286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 Belstrøm D, Jersie-Christensen RR, Lyon D, et al. Metaproteomics of saliva identifies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</w:t>
            </w:r>
          </w:p>
        </w:tc>
        <w:tc>
          <w:tcPr>
            <w:tcW w:type="dxa" w:w="9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human protein markers specific for individuals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periodontitis and dental caries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1650" w:val="left"/>
        </w:tabs>
        <w:autoSpaceDE w:val="0"/>
        <w:widowControl/>
        <w:spacing w:line="418" w:lineRule="auto" w:before="242" w:after="286"/>
        <w:ind w:left="129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compared to orally healthy controls.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PeerJ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2016;4:e2433. doi:10.7717/peerj.2433.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23. Du Z, Ding X, Xu Y, Li Y. UniDL4BioPep: a universal deep learning architecture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binary classification in peptide bioactivity.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Brief Bioinform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2023;24(3):bbad135.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doi:10.1093/bib/bbad135.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10</w:t>
            </w:r>
          </w:p>
        </w:tc>
        <w:tc>
          <w:tcPr>
            <w:tcW w:type="dxa" w:w="10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24. Rathore AS, Jain S, Choudhury S, Raghava GPS.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large language model for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predicting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 peptides and neurotoxins.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Protein Sci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2025;34(8):e70200.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doi:10.1002/pro.70200.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16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25.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Aptekmann AA, Buongiorno J, Giovannelli 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et al.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mebipred: identifying metal-binding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2448" w:firstLine="0"/>
        <w:jc w:val="left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in protein sequence. </w:t>
      </w:r>
      <w:r>
        <w:rPr>
          <w:shd w:val="clear" w:color="auto" w:fill="d6e4fa"/>
          <w:rFonts w:ascii="Times New Roman" w:hAnsi="Times New Roman" w:eastAsia="Times New Roman"/>
          <w:b w:val="0"/>
          <w:i/>
          <w:color w:val="000000"/>
          <w:sz w:val="24"/>
        </w:rPr>
        <w:t>Bioinformatics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. 2022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;38(14):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3532–3540.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doi:10.1093/bioinformatics/btac358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0074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33</w:t>
            </w:r>
          </w:p>
        </w:tc>
        <w:tc>
          <w:tcPr>
            <w:tcW w:type="dxa" w:w="9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26. Olsen TH, Yesiltas B, Marin FI, et al. AnOxPePred: using deep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learning for 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shd w:val="clear" w:color="auto" w:fill="c1ecdf"/>
          <w:rFonts w:ascii="Times New Roman" w:hAnsi="Times New Roman" w:eastAsia="Times New Roman"/>
          <w:b w:val="0"/>
          <w:i w:val="0"/>
          <w:color w:val="000000"/>
          <w:sz w:val="24"/>
        </w:rPr>
        <w:t>prediction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antioxidative properties of peptides.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Sci Rep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2020;10:21471.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85"/>
        <w:gridCol w:w="3685"/>
        <w:gridCol w:w="3685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5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8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doi:10.1038/s41598-020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-78319-w.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0074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27.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Trott O, Olson AJ. AutoDock Vina: improving the speed and accuracy of docking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886" w:right="0" w:firstLine="0"/>
              <w:jc w:val="left"/>
            </w:pPr>
            <w:r>
              <w:rPr>
                <w:shd w:val="clear" w:color="auto" w:fill="c1ecdf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new scoring function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J Comput Chem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2010;31(2):455–461. doi:10.1002/jcc.21334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  <w:tr>
        <w:trPr>
          <w:trHeight w:hRule="exact" w:val="554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28.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Eberhardt J, Santos-Martins D, Tillack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AF,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Forli S. AutoDock Vina 1.2.0: new docking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6"/>
        <w:ind w:left="1650" w:right="0" w:firstLine="0"/>
        <w:jc w:val="left"/>
      </w:pPr>
      <w:r>
        <w:rPr>
          <w:shd w:val="clear" w:color="auto" w:fill="ecdffd"/>
          <w:rFonts w:ascii="Times New Roman" w:hAnsi="Times New Roman" w:eastAsia="Times New Roman"/>
          <w:b w:val="0"/>
          <w:i w:val="0"/>
          <w:color w:val="000000"/>
          <w:sz w:val="24"/>
        </w:rPr>
        <w:t>methods, expanded force field, and Python bindings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 Chem Inf 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11"/>
        <w:gridCol w:w="2211"/>
        <w:gridCol w:w="2211"/>
        <w:gridCol w:w="2211"/>
        <w:gridCol w:w="2211"/>
      </w:tblGrid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4</w:t>
            </w:r>
          </w:p>
        </w:tc>
        <w:tc>
          <w:tcPr>
            <w:tcW w:type="dxa" w:w="7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96" w:right="0" w:firstLine="0"/>
              <w:jc w:val="left"/>
            </w:pP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2021;61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(8):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3891–3898. doi:10.1021/acs.jcim.1c00203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24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33 of 34 - Integrity Submission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24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2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6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43"/>
        <w:gridCol w:w="1843"/>
        <w:gridCol w:w="1843"/>
        <w:gridCol w:w="1843"/>
        <w:gridCol w:w="1843"/>
        <w:gridCol w:w="1843"/>
      </w:tblGrid>
      <w:tr>
        <w:trPr>
          <w:trHeight w:hRule="exact" w:val="970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34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5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29.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Abraham MJ, Murtola T, Schulz 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et al.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GROMACS: high performance molecular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5" w:lineRule="auto" w:before="242" w:after="286"/>
        <w:ind w:left="1650" w:right="864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simulations through multi-level parallelism from laptops to supercomputers. </w:t>
      </w:r>
      <w:r>
        <w:rPr>
          <w:shd w:val="clear" w:color="auto" w:fill="fddce7"/>
          <w:rFonts w:ascii="Times New Roman" w:hAnsi="Times New Roman" w:eastAsia="Times New Roman"/>
          <w:b w:val="0"/>
          <w:i/>
          <w:color w:val="000000"/>
          <w:sz w:val="24"/>
        </w:rPr>
        <w:t>SoftwareX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2015;1–2:</w:t>
      </w: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19–25. doi:10.1016/j.softx.2015.06.001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12</w:t>
            </w:r>
          </w:p>
        </w:tc>
        <w:tc>
          <w:tcPr>
            <w:tcW w:type="dxa" w:w="10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30.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Lindorff-Larsen K, Piana S, Palmo 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et al.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Improved side-chain torsion potentials for 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0"/>
        <w:ind w:left="1650" w:right="0" w:firstLine="0"/>
        <w:jc w:val="left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 xml:space="preserve">Amber ff99SB protein force field. </w:t>
      </w:r>
      <w:r>
        <w:rPr>
          <w:shd w:val="clear" w:color="auto" w:fill="d6e4fa"/>
          <w:rFonts w:ascii="Times New Roman" w:hAnsi="Times New Roman" w:eastAsia="Times New Roman"/>
          <w:b w:val="0"/>
          <w:i/>
          <w:color w:val="000000"/>
          <w:sz w:val="24"/>
        </w:rPr>
        <w:t>Proteins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2010;78(8):1950–1958. </w:t>
      </w:r>
    </w:p>
    <w:p>
      <w:pPr>
        <w:autoSpaceDN w:val="0"/>
        <w:autoSpaceDE w:val="0"/>
        <w:widowControl/>
        <w:spacing w:line="230" w:lineRule="auto" w:before="286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doi:10.1002/prot.22711. </w:t>
      </w:r>
    </w:p>
    <w:p>
      <w:pPr>
        <w:autoSpaceDN w:val="0"/>
        <w:tabs>
          <w:tab w:pos="1650" w:val="left"/>
        </w:tabs>
        <w:autoSpaceDE w:val="0"/>
        <w:widowControl/>
        <w:spacing w:line="355" w:lineRule="auto" w:before="286" w:after="286"/>
        <w:ind w:left="129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 Torres MDT, Brooks EF, Cesaro A, et al. Mining human microbiomes reveals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untapped source of peptide antibiotics.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2024;187(19):5453–5467.e15.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64"/>
        <w:gridCol w:w="2764"/>
        <w:gridCol w:w="2764"/>
        <w:gridCol w:w="2764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7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doi:10.1016/j.cell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.2024.07.027.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01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410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32.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Escapa IF, Chen T, Huang 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et al. New insights into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human nostril microbiome from 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7432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476" w:right="0" w:firstLine="0"/>
              <w:jc w:val="left"/>
            </w:pP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expanded Human Oral Microbiome Database (eHOMD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mSystems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2018;3(3):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e00187-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0"/>
        <w:ind w:left="1650" w:right="0" w:firstLine="0"/>
        <w:jc w:val="left"/>
      </w:pPr>
      <w:r>
        <w:rPr>
          <w:shd w:val="clear" w:color="auto" w:fill="ecdffd"/>
          <w:rFonts w:ascii="Times New Roman" w:hAnsi="Times New Roman" w:eastAsia="Times New Roman"/>
          <w:b w:val="0"/>
          <w:i w:val="0"/>
          <w:color w:val="000000"/>
          <w:sz w:val="24"/>
        </w:rPr>
        <w:t>18. doi:10.1128/mSystems.00187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-18. </w:t>
      </w:r>
    </w:p>
    <w:p>
      <w:pPr>
        <w:autoSpaceDN w:val="0"/>
        <w:tabs>
          <w:tab w:pos="1650" w:val="left"/>
        </w:tabs>
        <w:autoSpaceDE w:val="0"/>
        <w:widowControl/>
        <w:spacing w:line="396" w:lineRule="auto" w:before="286" w:after="286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33. Jiang X, Zhang Y, Wang H, et al. In-depth metaproteomics analysis of oral microbiome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lung cancer.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Research (Wash D 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2022;2022:9781578. doi:10.34133/2022/9781578.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34. Yuan J, Cao Q, Chen M, et al. OSaMPle workflow for salivary metaproteomics analysis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215d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20</w:t>
            </w:r>
          </w:p>
        </w:tc>
        <w:tc>
          <w:tcPr>
            <w:tcW w:type="dxa" w:w="10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reveals dysbiosis in inflammatory bowel disease patients. 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npj Biofilms Microbiomes</w:t>
            </w:r>
            <w:r>
              <w:rPr>
                <w:shd w:val="clear" w:color="auto" w:fill="d6e4fa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0"/>
        <w:ind w:left="1650" w:right="0" w:firstLine="0"/>
        <w:jc w:val="left"/>
      </w:pP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2025;11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:63. </w:t>
      </w:r>
      <w:r>
        <w:rPr>
          <w:shd w:val="clear" w:color="auto" w:fill="d6e4fa"/>
          <w:rFonts w:ascii="Times New Roman" w:hAnsi="Times New Roman" w:eastAsia="Times New Roman"/>
          <w:b w:val="0"/>
          <w:i w:val="0"/>
          <w:color w:val="000000"/>
          <w:sz w:val="24"/>
        </w:rPr>
        <w:t>doi:10.1038/s41522-025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-00692-z. </w:t>
      </w:r>
    </w:p>
    <w:p>
      <w:pPr>
        <w:autoSpaceDN w:val="0"/>
        <w:autoSpaceDE w:val="0"/>
        <w:widowControl/>
        <w:spacing w:line="230" w:lineRule="auto" w:before="286" w:after="286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 Gu Y, Chen P, Wang B, et al. Prediction of blood-brain barrier penetrating peptides based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7432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8</w:t>
            </w: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data augmentation with Augur.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BMC Biol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2024;22:86. </w:t>
            </w:r>
            <w:r>
              <w:rPr>
                <w:shd w:val="clear" w:color="auto" w:fill="ecdffd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doi:10.1186/s12915-024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88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01883-4.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310"/>
        </w:trPr>
        <w:tc>
          <w:tcPr>
            <w:tcW w:type="dxa" w:w="354"/>
            <w:tcBorders/>
            <w:shd w:fill="cb13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97.50000238418579"/>
                <w:rFonts w:ascii="Noto Sans SemiBold" w:hAnsi="Noto Sans SemiBold" w:eastAsia="Noto Sans SemiBold"/>
                <w:b/>
                <w:i w:val="0"/>
                <w:color w:val="FEFEFE"/>
                <w:sz w:val="16"/>
              </w:rPr>
              <w:t>11</w:t>
            </w: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36. 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Kryger G, Silman I, Sussman JL. Structure of acetylcholinesterase complexed with E2020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2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"/>
            </w:tblGrid>
            <w:tr>
              <w:trPr>
                <w:trHeight w:hRule="exact" w:val="290"/>
              </w:trPr>
              <w:tc>
                <w:tcPr>
                  <w:tcW w:type="dxa" w:w="354"/>
                  <w:tcBorders/>
                  <w:shd w:fill="cb13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97.50000238418579"/>
                      <w:rFonts w:ascii="Noto Sans SemiBold" w:hAnsi="Noto Sans SemiBold" w:eastAsia="Noto Sans SemiBold"/>
                      <w:b/>
                      <w:i w:val="0"/>
                      <w:color w:val="FEFEFE"/>
                      <w:sz w:val="16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296" w:right="0" w:firstLine="0"/>
              <w:jc w:val="left"/>
            </w:pP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(Aricept): implications for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drug design.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Structure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1999;7(3):297–</w:t>
            </w:r>
            <w:r>
              <w:rPr>
                <w:shd w:val="clear" w:color="auto" w:fill="fddce7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036"/>
        <w:ind w:left="1650" w:right="0" w:firstLine="0"/>
        <w:jc w:val="left"/>
      </w:pPr>
      <w:r>
        <w:rPr>
          <w:shd w:val="clear" w:color="auto" w:fill="fddce7"/>
          <w:rFonts w:ascii="Times New Roman" w:hAnsi="Times New Roman" w:eastAsia="Times New Roman"/>
          <w:b w:val="0"/>
          <w:i w:val="0"/>
          <w:color w:val="000000"/>
          <w:sz w:val="24"/>
        </w:rPr>
        <w:t>doi:10.1016/s0969-2126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(99)80040-9.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64"/>
        <w:gridCol w:w="2764"/>
        <w:gridCol w:w="2764"/>
        <w:gridCol w:w="2764"/>
      </w:tblGrid>
      <w:tr>
        <w:trPr>
          <w:trHeight w:hRule="exact" w:val="3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34 of 34 - Integrity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700" w:bottom="276" w:left="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www.ijpsjournal.com/article/computational-screening-of-lignans-and-tannins-from-phyllanthus-amarus-against-alzheimer-s-disease-targets" TargetMode="External"/><Relationship Id="rId24" Type="http://schemas.openxmlformats.org/officeDocument/2006/relationships/hyperlink" Target="https://doi.org/10.1038/s41522-021-00247-y" TargetMode="External"/><Relationship Id="rId25" Type="http://schemas.openxmlformats.org/officeDocument/2006/relationships/hyperlink" Target="https://doi.org/10.1093/ageing/afad015" TargetMode="External"/><Relationship Id="rId26" Type="http://schemas.openxmlformats.org/officeDocument/2006/relationships/hyperlink" Target="https://arabjchem.org/in-silico-design-and-molecular-modeling-of-finasteride-analog-compounds-with-potential-inhibitory-activity-on-enzyme-5-reductase-type-2-a-target-in-treating-benign-prostatic-hyperplasia/" TargetMode="External"/><Relationship Id="rId27" Type="http://schemas.openxmlformats.org/officeDocument/2006/relationships/hyperlink" Target="https://www.frontiersin.org/journals/molecular-biosciences/articles/10.3389/fmolb.2022.866719/full" TargetMode="External"/><Relationship Id="rId28" Type="http://schemas.openxmlformats.org/officeDocument/2006/relationships/hyperlink" Target="https://arxiv.org/pdf/2310.17905" TargetMode="External"/><Relationship Id="rId29" Type="http://schemas.openxmlformats.org/officeDocument/2006/relationships/hyperlink" Target="https://article.accscience.com/journal/IMO/2/4/full/IMO_2_4_1f1568.pdf" TargetMode="External"/><Relationship Id="rId30" Type="http://schemas.openxmlformats.org/officeDocument/2006/relationships/hyperlink" Target="https://www.frontiersin.org/journals/immunology/articles/10.3389/fimmu.2026.1910604/full" TargetMode="External"/><Relationship Id="rId31" Type="http://schemas.openxmlformats.org/officeDocument/2006/relationships/hyperlink" Target="https://www.semanticscholar.org/paper/0eb299fca01b8d18ee39576c1a7930530a486de2" TargetMode="External"/><Relationship Id="rId32" Type="http://schemas.openxmlformats.org/officeDocument/2006/relationships/hyperlink" Target="https://storage.wjgnet.com/ejournals-1949-8470/WJRv17i11.pdf" TargetMode="External"/><Relationship Id="rId33" Type="http://schemas.openxmlformats.org/officeDocument/2006/relationships/hyperlink" Target="https://d-nb.info/1113391421/34" TargetMode="External"/><Relationship Id="rId34" Type="http://schemas.openxmlformats.org/officeDocument/2006/relationships/hyperlink" Target="https://haatajagroup.mycpanel.princeton.edu/wp-content/uploads/2023/11/Jalai_etal_JPhysChemB2023.pdf" TargetMode="External"/><Relationship Id="rId35" Type="http://schemas.openxmlformats.org/officeDocument/2006/relationships/hyperlink" Target="https://pbmfoundation.org/wp-content/uploads/2026/04/Abdominal-Photobiomodulation-and-the-Gut-Brain-Axis-A-Systematic-Review-of-Mechanistic-and-Translat.pdf" TargetMode="External"/><Relationship Id="rId36" Type="http://schemas.openxmlformats.org/officeDocument/2006/relationships/hyperlink" Target="https://www.frontiersin.org/journals/cellular-and-infection-microbiology/articles/10.3389/fcimb.2021.640309/full" TargetMode="External"/><Relationship Id="rId37" Type="http://schemas.openxmlformats.org/officeDocument/2006/relationships/hyperlink" Target="https://www.frontiersin.org/journals/neuroscience/articles/10.3389/fnins.2019.00533/full" TargetMode="External"/><Relationship Id="rId38" Type="http://schemas.openxmlformats.org/officeDocument/2006/relationships/hyperlink" Target="https://enigma.rutgers.edu/publications/" TargetMode="External"/><Relationship Id="rId39" Type="http://schemas.openxmlformats.org/officeDocument/2006/relationships/hyperlink" Target="https://doi.org/10.1371/journal.pone.0123448" TargetMode="External"/><Relationship Id="rId40" Type="http://schemas.openxmlformats.org/officeDocument/2006/relationships/hyperlink" Target="https://doi.org/10.3389/fresc.2024.1337920" TargetMode="External"/><Relationship Id="rId41" Type="http://schemas.openxmlformats.org/officeDocument/2006/relationships/hyperlink" Target="https://search.proquest.com/openview/56d7c88c1754f01ca3c371df3d612b51/1?pq-origsite=gscholar&amp;cbl=18750&amp;diss=y" TargetMode="External"/><Relationship Id="rId42" Type="http://schemas.openxmlformats.org/officeDocument/2006/relationships/hyperlink" Target="https://www.frontiersin.org/journals/immunology/articles/10.3389/fimmu.2025.1640904/full" TargetMode="External"/><Relationship Id="rId43" Type="http://schemas.openxmlformats.org/officeDocument/2006/relationships/hyperlink" Target="https://doi.org/10.3390/jpm12091515" TargetMode="External"/><Relationship Id="rId44" Type="http://schemas.openxmlformats.org/officeDocument/2006/relationships/hyperlink" Target="https://doi.org/10.1111/prd.12631" TargetMode="External"/><Relationship Id="rId45" Type="http://schemas.openxmlformats.org/officeDocument/2006/relationships/hyperlink" Target="https://doi.org/10.1111/j.1600-0757.2010.00377.x" TargetMode="External"/><Relationship Id="rId46" Type="http://schemas.openxmlformats.org/officeDocument/2006/relationships/hyperlink" Target="https://www.semanticscholar.org/paper/e272bd8194ad863940af08b476841055a63da313" TargetMode="External"/><Relationship Id="rId47" Type="http://schemas.openxmlformats.org/officeDocument/2006/relationships/hyperlink" Target="https://public-pages-files-2025.frontiersin.org/journals/medical-technology/articles/10.3389/fmedt.2026.1750006/pdf" TargetMode="External"/><Relationship Id="rId48" Type="http://schemas.openxmlformats.org/officeDocument/2006/relationships/hyperlink" Target="https://doi.org/10.66224/ari.80.6.3392" TargetMode="External"/><Relationship Id="rId49" Type="http://schemas.openxmlformats.org/officeDocument/2006/relationships/hyperlink" Target="https://www.donatogiovannelli.com/publications/" TargetMode="External"/><Relationship Id="rId50" Type="http://schemas.openxmlformats.org/officeDocument/2006/relationships/hyperlink" Target="https://apothesis.eap.gr/archive/item/241578" TargetMode="External"/><Relationship Id="rId51" Type="http://schemas.openxmlformats.org/officeDocument/2006/relationships/hyperlink" Target="https://www.thelancet.com/article/S0140-6736(24)01296-0/abstract" TargetMode="External"/><Relationship Id="rId52" Type="http://schemas.openxmlformats.org/officeDocument/2006/relationships/hyperlink" Target="https://doi.org/10.3389/fmicb.2025.1632435" TargetMode="External"/><Relationship Id="rId53" Type="http://schemas.openxmlformats.org/officeDocument/2006/relationships/hyperlink" Target="https://strathprints.strath.ac.uk/91287/1/Ben-Ahmed-etal-JDMD-2024-Alpha-glucosidase-and-alpha-amylase-inhibitory-activity-of-Pistacia-atlantica.pdf" TargetMode="External"/><Relationship Id="rId54" Type="http://schemas.openxmlformats.org/officeDocument/2006/relationships/hyperlink" Target="https://www.nature.com/articles/s41467-023-42082-z.pdf" TargetMode="External"/><Relationship Id="rId55" Type="http://schemas.openxmlformats.org/officeDocument/2006/relationships/hyperlink" Target="https://journals.plos.org/plosone/article?id=10.1371/journal.pone.0327564" TargetMode="External"/><Relationship Id="rId56" Type="http://schemas.openxmlformats.org/officeDocument/2006/relationships/hyperlink" Target="https://www.frontiersin.org/journals/immunology/articles/10.3389/fimmu.2026.1881079/full" TargetMode="External"/><Relationship Id="rId57" Type="http://schemas.openxmlformats.org/officeDocument/2006/relationships/hyperlink" Target="https://www.frontiersin.org" TargetMode="External"/><Relationship Id="rId58" Type="http://schemas.openxmlformats.org/officeDocument/2006/relationships/image" Target="media/image15.png"/><Relationship Id="rId59" Type="http://schemas.openxmlformats.org/officeDocument/2006/relationships/image" Target="media/image16.png"/><Relationship Id="rId60" Type="http://schemas.openxmlformats.org/officeDocument/2006/relationships/image" Target="media/image17.png"/><Relationship Id="rId61" Type="http://schemas.openxmlformats.org/officeDocument/2006/relationships/image" Target="media/image18.png"/><Relationship Id="rId62" Type="http://schemas.openxmlformats.org/officeDocument/2006/relationships/image" Target="media/image19.png"/><Relationship Id="rId63" Type="http://schemas.openxmlformats.org/officeDocument/2006/relationships/image" Target="media/image20.png"/><Relationship Id="rId64" Type="http://schemas.openxmlformats.org/officeDocument/2006/relationships/image" Target="media/image21.png"/><Relationship Id="rId6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